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Screening &amp; Exclusion Log — Jul 22, 2026 Export</w:t>
      </w:r>
    </w:p>
    <w:p>
      <w:r>
        <w:rPr>
          <w:b/>
        </w:rPr>
        <w:t>Source:</w:t>
      </w:r>
      <w:r>
        <w:t xml:space="preserve"> </w:t>
      </w:r>
      <w:r>
        <w:rPr>
          <w:rFonts w:ascii="Courier New" w:hAnsi="Courier New"/>
        </w:rPr>
        <w:t>raw_export_2026-07-22.csv</w:t>
      </w:r>
      <w:r>
        <w:t xml:space="preserve"> (Qualtrics export, 23 raw recorded responses)</w:t>
      </w:r>
    </w:p>
    <w:p>
      <w:r>
        <w:rPr>
          <w:b/>
        </w:rPr>
        <w:t>Method:</w:t>
      </w:r>
      <w:r>
        <w:t xml:space="preserve"> </w:t>
      </w:r>
      <w:r>
        <w:rPr>
          <w:rFonts w:ascii="Courier New" w:hAnsi="Courier New"/>
        </w:rPr>
        <w:t>clean_and_screen.py</w:t>
      </w:r>
      <w:r>
        <w:t xml:space="preserve"> — deterministic screening, not manual judgment calls, to keep this defensible.</w:t>
      </w:r>
    </w:p>
    <w:p>
      <w:pPr>
        <w:pStyle w:val="Heading2"/>
      </w:pPr>
      <w:r>
        <w:t>Result: only four to five usable responses (of 23 raw)</w:t>
      </w:r>
    </w:p>
    <w:p>
      <w:r>
        <w:t>The surviving cases were recorded between 30 June and 15 July 2026. Respondent identifiers and per-case notes are withheld from this public log; they are retained in the private record and available to the instructor on request.</w:t>
      </w:r>
    </w:p>
    <w:p>
      <w:r>
        <w:rPr>
          <w:i/>
        </w:rPr>
        <w:t>(Respondent-level demographics withheld from this public log per IRB confidentiality; available in the private dataset shared directly with the advisor.)</w:t>
      </w:r>
    </w:p>
    <w:p>
      <w:pPr>
        <w:pStyle w:val="Heading2"/>
      </w:pPr>
      <w:r>
        <w:t>Exclusion breakdown (19 excluded) — v2, corrected labels (2026-07-22 re-run)</w:t>
      </w:r>
    </w:p>
    <w:p>
      <w:r>
        <w:t>| Reason | Count |</w:t>
      </w:r>
    </w:p>
    <w:p>
      <w:r>
        <w:t>|---|---|</w:t>
      </w:r>
    </w:p>
    <w:p>
      <w:r>
        <w:t>| Did not finish (Finished=False, 3-39% progress) | 9 |</w:t>
      </w:r>
    </w:p>
    <w:p>
      <w:r>
        <w:t>| Finished=True but substantive Likert blocks blank | 5 |</w:t>
      </w:r>
    </w:p>
    <w:p>
      <w:r>
        <w:t>| Failed screen S1: not US-based | 2 |</w:t>
      </w:r>
    </w:p>
    <w:p>
      <w:r>
        <w:t>| Failed screen S3: no audit role in last 24mo | 1 |</w:t>
      </w:r>
    </w:p>
    <w:p>
      <w:r>
        <w:t>| Researcher's own survey preview | 1 |</w:t>
      </w:r>
    </w:p>
    <w:p>
      <w:r>
        <w:t>| Self-identified "Test run" | 1 |</w:t>
      </w:r>
    </w:p>
    <w:p>
      <w:r>
        <w:rPr>
          <w:b/>
        </w:rPr>
        <w:t>Correction vs. v1:</w:t>
      </w:r>
      <w:r>
        <w:t xml:space="preserve"> one response previously labeled "failed attention check AC1" was in fact substantively blank — reclassified. Among complete, eligible respondents, </w:t>
      </w:r>
      <w:r>
        <w:rPr>
          <w:b/>
        </w:rPr>
        <w:t>zero failed either attention check</w:t>
      </w:r>
      <w:r>
        <w:t xml:space="preserve"> (consistent with the 95% Qualtrics response-quality score). All screens now applied exactly as built into the IRB-approved instrument, including S4 (continuing-engagement) and S5 (attestation) — every surviving respondent passes all five screens.</w:t>
      </w:r>
    </w:p>
    <w:p>
      <w:pPr>
        <w:pStyle w:val="Heading2"/>
      </w:pPr>
      <w:r>
        <w:t>Recoverable-if-criteria-relaxed (complete + substantive, failed exactly one screen)</w:t>
      </w:r>
    </w:p>
    <w:p>
      <w:pPr>
        <w:pStyle w:val="ListBullet"/>
      </w:pPr>
      <w:r>
        <w:t>One case — failed only S1 (non-US); complete, 11-15yr internal audit experience.</w:t>
      </w:r>
    </w:p>
    <w:p>
      <w:pPr>
        <w:pStyle w:val="ListBullet"/>
      </w:pPr>
      <w:r>
        <w:t>One case — failed only S1 (non-US); complete.</w:t>
      </w:r>
    </w:p>
    <w:p>
      <w:pPr>
        <w:pStyle w:val="ListBullet"/>
      </w:pPr>
      <w:r>
        <w:t>One case — failed only S3 (audit-role); complete; D2_ROLE self-report ("Audit support / other audit-related role") arguably contradicts the S3=No answer — possible respondent confusion, worth manual review.</w:t>
      </w:r>
    </w:p>
    <w:p>
      <w:r>
        <w:t>If the US-only restriction is relaxed: a small number of additional complete cases become admissible (7 if the S3-conflict case is also admitted). Still below any CFA/EFA feasibility threshold, but materially better for descriptive + reliability reporting.</w:t>
      </w:r>
    </w:p>
    <w:p>
      <w:pPr>
        <w:pStyle w:val="Heading2"/>
      </w:pPr>
      <w:r>
        <w:t>Why CFA is not feasible at this n</w:t>
      </w:r>
    </w:p>
    <w:p>
      <w:r>
        <w:t>11 constructs × 5 items = 55 observed variables. A CFA model of this size has far more free parameters (factor loadings, error variances, factor covariances) than there are data points at n=4 — the model is not identified, and even where software would return a solution, it would be a computational artifact, not a valid statistical result. This must be raised with Dr. Rey before Friday — his instruction (CFA via Jamovi) was almost certainly given without knowing the true screened n is 4, not the ~22-23 raw count.</w:t>
      </w:r>
    </w:p>
    <w:p>
      <w:pPr>
        <w:pStyle w:val="Heading2"/>
      </w:pPr>
      <w:r>
        <w:t>Recommended path (for Friday's meeting)</w:t>
      </w:r>
    </w:p>
    <w:p>
      <w:pPr>
        <w:pStyle w:val="ListNumber"/>
      </w:pPr>
      <w:r>
        <w:t>Report the honest screening result and why formal CFA is not viable at this n.</w:t>
      </w:r>
    </w:p>
    <w:p>
      <w:pPr>
        <w:pStyle w:val="ListNumber"/>
      </w:pPr>
      <w:r>
        <w:t>Offer the recoverable-criteria option (n=7) for his input — is US-only a hard requirement given the research question is about auditor judgment generally, or was it a convenience restriction?</w:t>
      </w:r>
    </w:p>
    <w:p>
      <w:pPr>
        <w:pStyle w:val="ListNumber"/>
      </w:pPr>
      <w:r>
        <w:t>Propose the fallback already pre-agreed in the small-n contingency plan (</w:t>
      </w:r>
      <w:r>
        <w:rPr>
          <w:rFonts w:ascii="Courier New" w:hAnsi="Courier New"/>
        </w:rPr>
        <w:t>Daily_Sprint_Jul09_to_Jul19.md</w:t>
      </w:r>
      <w:r>
        <w:t>): at n&lt;30, default to descriptives + reliability (if computable) + item-level qualitative analysis of the open-text responses, presenting the study honestly as a pilot/feasibility study rather than a validated CFA.</w:t>
      </w:r>
    </w:p>
    <w:p>
      <w:pPr>
        <w:pStyle w:val="ListNumber"/>
      </w:pPr>
      <w:r>
        <w:t>The four (or seven) open-text responses are genuinely rich and audit-literate — worth a short qualitative synthesis regardless of what quantitative path is chosen.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