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Thank You — and What I Did With Your Review</w:t>
      </w:r>
    </w:p>
    <w:p>
      <w:r>
        <w:rPr>
          <w:b/>
        </w:rPr>
        <w:t>To:</w:t>
      </w:r>
      <w:r>
        <w:t xml:space="preserve"> Richard</w:t>
      </w:r>
    </w:p>
    <w:p>
      <w:r>
        <w:rPr>
          <w:b/>
        </w:rPr>
        <w:t>From:</w:t>
      </w:r>
      <w:r>
        <w:t xml:space="preserve"> Yasir A. Malik</w:t>
      </w:r>
    </w:p>
    <w:p>
      <w:r>
        <w:rPr>
          <w:b/>
        </w:rPr>
        <w:t>Date:</w:t>
      </w:r>
      <w:r>
        <w:t xml:space="preserve"> June 21, 2026</w:t>
      </w:r>
    </w:p>
    <w:p>
      <w:r>
        <w:rPr>
          <w:b/>
        </w:rPr>
        <w:t>Re:</w:t>
      </w:r>
      <w:r>
        <w:t xml:space="preserve"> Your review of the audit-judgment survey instrument</w:t>
      </w:r>
    </w:p>
    <w:p>
      <w:r>
        <w:br/>
      </w:r>
    </w:p>
    <w:p>
      <w:r>
        <w:t>Richard — thank you. This was a genuinely useful review. You caught several things I could not see from the inside, and at least six of your comments are real validity improvements that are now in the instrument. Below is exactly what I did with each point and why, so you can see your fingerprints on it.</w:t>
      </w:r>
    </w:p>
    <w:p>
      <w:r>
        <w:t xml:space="preserve">A quick note on how to read this: the eleven constructs and the five-items-each structure did not change — so the analysis plan is intact. Everything you see below is wording, coverage, or an added control. Nothing changed </w:t>
      </w:r>
      <w:r>
        <w:rPr>
          <w:i/>
        </w:rPr>
        <w:t>what</w:t>
      </w:r>
      <w:r>
        <w:t xml:space="preserve"> a construct measures.</w:t>
      </w:r>
    </w:p>
    <w:p>
      <w:r>
        <w:br/>
      </w:r>
    </w:p>
    <w:p>
      <w:pPr>
        <w:pStyle w:val="Heading2"/>
      </w:pPr>
      <w:r>
        <w:t>Changes I made because of you (accepted)</w:t>
      </w:r>
    </w:p>
    <w:p>
      <w:r>
        <w:t>| You flagged | What I changed it to | Why |</w:t>
      </w:r>
    </w:p>
    <w:p>
      <w:r>
        <w:t>|---|---|---|</w:t>
      </w:r>
    </w:p>
    <w:p>
      <w:r>
        <w:t xml:space="preserve">| </w:t>
      </w:r>
      <w:r>
        <w:rPr>
          <w:b/>
        </w:rPr>
        <w:t>TA_5</w:t>
      </w:r>
      <w:r>
        <w:t xml:space="preserve"> — offered a cleaner version | "I can recognize when an initial reference point is influencing my professional judgment." | Yours is clearer and drops the word "anchor," which respondents shouldn't have to decode. |</w:t>
      </w:r>
    </w:p>
    <w:p>
      <w:r>
        <w:t xml:space="preserve">| </w:t>
      </w:r>
      <w:r>
        <w:rPr>
          <w:b/>
        </w:rPr>
        <w:t>RA_5</w:t>
      </w:r>
      <w:r>
        <w:t xml:space="preserve"> — add "requirements / auditees" | "Rotation policies or requirements in my firm meaningfully reduce over-familiarity with clients or auditees." | Makes the item fair to internal auditors, who have auditees rather than clients. |</w:t>
      </w:r>
    </w:p>
    <w:p>
      <w:r>
        <w:t xml:space="preserve">| </w:t>
      </w:r>
      <w:r>
        <w:rPr>
          <w:b/>
        </w:rPr>
        <w:t>AT_3</w:t>
      </w:r>
      <w:r>
        <w:t xml:space="preserve"> — add "(multiple sources of evidence)" | "…draw on data beyond the client's own ledgers (i.e., multiple sources of evidence)." | Your parenthetical removes the ambiguity about what "beyond the ledgers" means. |</w:t>
      </w:r>
    </w:p>
    <w:p>
      <w:r>
        <w:t xml:space="preserve">| </w:t>
      </w:r>
      <w:r>
        <w:rPr>
          <w:b/>
        </w:rPr>
        <w:t>SAP_5</w:t>
      </w:r>
      <w:r>
        <w:t xml:space="preserve"> — insert "audit methodology" | "The structure of my firm's audit methodology reduces reliance on mental shortcuts." | Small but right — names the thing precisely. |</w:t>
      </w:r>
    </w:p>
    <w:p>
      <w:r>
        <w:t xml:space="preserve">| </w:t>
      </w:r>
      <w:r>
        <w:rPr>
          <w:b/>
        </w:rPr>
        <w:t>IR_1</w:t>
      </w:r>
      <w:r>
        <w:t xml:space="preserve"> — "define qualified auditor" | "…reviewed by a senior or equally qualified auditor who was not involved in forming the original judgment." | Removes the vagueness you flagged. |</w:t>
      </w:r>
    </w:p>
    <w:p>
      <w:r>
        <w:t xml:space="preserve">| </w:t>
      </w:r>
      <w:r>
        <w:rPr>
          <w:b/>
        </w:rPr>
        <w:t>IR_3</w:t>
      </w:r>
      <w:r>
        <w:t xml:space="preserve"> — don't tie to a "prior-year figure" | "Reviewers challenge whether my judgments rely too heavily on prior-year audit conclusions." | You were right that the old phrasing was awkward and process-confused. This is your suggested wording. |</w:t>
      </w:r>
    </w:p>
    <w:p>
      <w:r>
        <w:t xml:space="preserve">| </w:t>
      </w:r>
      <w:r>
        <w:rPr>
          <w:b/>
        </w:rPr>
        <w:t>RPG_1</w:t>
      </w:r>
      <w:r>
        <w:t xml:space="preserve"> — add IIA, COSO | "Regulatory and professional standards (e.g., PCAOB, AICPA, IIA, COSO) meaningfully shape how I exercise judgment." | Broadens it beyond external audit so internal auditors see themselves in it. |</w:t>
      </w:r>
    </w:p>
    <w:p>
      <w:r>
        <w:t xml:space="preserve">| </w:t>
      </w:r>
      <w:r>
        <w:rPr>
          <w:b/>
        </w:rPr>
        <w:t>RPG_2</w:t>
      </w:r>
      <w:r>
        <w:t xml:space="preserve"> — reword around inspection | "The possibility of inspection encourages me to double-check the support and analysis behind my judgments." | Your version is more behavioral and concrete. |</w:t>
      </w:r>
    </w:p>
    <w:p>
      <w:r>
        <w:t xml:space="preserve">| </w:t>
      </w:r>
      <w:r>
        <w:rPr>
          <w:b/>
        </w:rPr>
        <w:t>PMI_4 (R)</w:t>
      </w:r>
      <w:r>
        <w:t xml:space="preserve"> — "this may contaminate; budget pressure always exists" | "My firm's incentive and evaluation system discourages spending the extra time needed to challenge prior-year balances." | This was your best catch. The old item measured universal time pressure, not the incentive construct. Now it measures the </w:t>
      </w:r>
      <w:r>
        <w:rPr>
          <w:i/>
        </w:rPr>
        <w:t>firm's system</w:t>
      </w:r>
      <w:r>
        <w:t>, which is what PMI is about. |</w:t>
      </w:r>
    </w:p>
    <w:p>
      <w:r>
        <w:t xml:space="preserve">| </w:t>
      </w:r>
      <w:r>
        <w:rPr>
          <w:b/>
        </w:rPr>
        <w:t>APR_5</w:t>
      </w:r>
      <w:r>
        <w:t xml:space="preserve"> — "potential repeat" | "Critical audit procedures are consistently followed across all my engagements." | You were right it overlapped APR_1/APR_3. This is your suggested replacement. |</w:t>
      </w:r>
    </w:p>
    <w:p>
      <w:r>
        <w:t xml:space="preserve">| </w:t>
      </w:r>
      <w:r>
        <w:rPr>
          <w:b/>
        </w:rPr>
        <w:t>Demographics</w:t>
      </w:r>
      <w:r>
        <w:t xml:space="preserve"> — split external vs internal years | Two items now: years of external audit experience, and years of internal audit experience. | Your point that internal auditors often have prior external experience — the single item was hiding that. |</w:t>
      </w:r>
    </w:p>
    <w:p>
      <w:pPr>
        <w:pStyle w:val="Heading2"/>
      </w:pPr>
      <w:r>
        <w:t>New control items your questions prompted</w:t>
      </w:r>
    </w:p>
    <w:p>
      <w:r>
        <w:t>| You asked | What I added | Why |</w:t>
      </w:r>
    </w:p>
    <w:p>
      <w:r>
        <w:t>|---|---|---|</w:t>
      </w:r>
    </w:p>
    <w:p>
      <w:r>
        <w:t xml:space="preserve">| </w:t>
      </w:r>
      <w:r>
        <w:rPr>
          <w:b/>
        </w:rPr>
        <w:t>"Does every auditor have access to the prior audit file?"</w:t>
      </w:r>
      <w:r>
        <w:t xml:space="preserve"> | A new context item: </w:t>
      </w:r>
      <w:r>
        <w:rPr>
          <w:i/>
        </w:rPr>
        <w:t>"On my engagements, prior-year workpapers and conclusions are typically accessible to the audit team."</w:t>
      </w:r>
      <w:r>
        <w:t xml:space="preserve"> | The whole anchoring idea assumes the auditor is exposed to the prior-year number. Rather than bend an item, I added a control so the analysis can check whether the effect differs by access. Your question became a testable variable. |</w:t>
      </w:r>
    </w:p>
    <w:p>
      <w:r>
        <w:br/>
      </w:r>
    </w:p>
    <w:p>
      <w:pPr>
        <w:pStyle w:val="Heading2"/>
      </w:pPr>
      <w:r>
        <w:t>Your follow-up points (from chat) — all done</w:t>
      </w:r>
    </w:p>
    <w:p>
      <w:r>
        <w:t>| You added | What I did | Why |</w:t>
      </w:r>
    </w:p>
    <w:p>
      <w:r>
        <w:t>|---|---|---|</w:t>
      </w:r>
    </w:p>
    <w:p>
      <w:r>
        <w:t xml:space="preserve">| </w:t>
      </w:r>
      <w:r>
        <w:rPr>
          <w:b/>
        </w:rPr>
        <w:t>"Add the definition of anchoring bias."</w:t>
      </w:r>
      <w:r>
        <w:t xml:space="preserve"> | A brief, plain-language definition now appears on an orientation screen right after consent. | Helps every respondent answer from the same understanding. I kept it neutral and general (not tied to any item) so it aids comprehension without nudging answers. |</w:t>
      </w:r>
    </w:p>
    <w:p>
      <w:r>
        <w:t xml:space="preserve">| </w:t>
      </w:r>
      <w:r>
        <w:rPr>
          <w:b/>
        </w:rPr>
        <w:t>"Access to previous audit files could vary audit by audit — pursue a control variable."</w:t>
      </w:r>
      <w:r>
        <w:t xml:space="preserve"> | I kept the prior-file control and </w:t>
      </w:r>
      <w:r>
        <w:rPr>
          <w:b/>
        </w:rPr>
        <w:t>changed it to a frequency scale</w:t>
      </w:r>
      <w:r>
        <w:t xml:space="preserve"> — "On every / most / about half / some / rarely-or-never engagement." | You're right it varies engagement-by-engagement, so a single agree/disagree wasn't enough. A frequency scale captures that variation and lets the analysis test whether anchoring differs by how often the team sees the prior file. |</w:t>
      </w:r>
    </w:p>
    <w:p>
      <w:r>
        <w:t xml:space="preserve">| </w:t>
      </w:r>
      <w:r>
        <w:rPr>
          <w:b/>
        </w:rPr>
        <w:t>"Add firm size — Big 4 / mid-tier / small."</w:t>
      </w:r>
      <w:r>
        <w:t xml:space="preserve"> | New demographic added: Big 4 / Mid-tier / Small / Sole practitioner, separate from organization type. | Firm scale is a meaningful control that organization type alone didn't capture. |</w:t>
      </w:r>
    </w:p>
    <w:p>
      <w:r>
        <w:br/>
      </w:r>
    </w:p>
    <w:p>
      <w:pPr>
        <w:pStyle w:val="Heading2"/>
      </w:pPr>
      <w:r>
        <w:t>Things I thought hard about but kept — and why</w:t>
      </w:r>
    </w:p>
    <w:p>
      <w:r>
        <w:t>I didn't want to just accept everything; a couple of your points I weighed and decided to hold, with reasons:</w:t>
      </w:r>
    </w:p>
    <w:p>
      <w:r>
        <w:rPr>
          <w:b/>
        </w:rPr>
        <w:t>1. 7-point vs 5-point scale.</w:t>
      </w:r>
      <w:r>
        <w:t xml:space="preserve"> You asked about going to 7-point. I'm keeping 5-point. The measurement research shows the reliability and validity gains flatten out by about 7 points, and 5- and 7-point scales perform about the same (Preston &amp; Colman, 2000, </w:t>
      </w:r>
      <w:r>
        <w:rPr>
          <w:i/>
        </w:rPr>
        <w:t>Acta Psychologica</w:t>
      </w:r>
      <w:r>
        <w:t xml:space="preserve">; Dawes, 2008, </w:t>
      </w:r>
      <w:r>
        <w:rPr>
          <w:i/>
        </w:rPr>
        <w:t>International Journal of Market Research</w:t>
      </w:r>
      <w:r>
        <w:t>). With 55 items, a 5-point scale is less fatiguing and renders better on phones, and it keeps the neutral midpoint. It's an easy switch before launch if my advisor wants 7 — but my recommendation is 5.</w:t>
      </w:r>
    </w:p>
    <w:p>
      <w:r>
        <w:rPr>
          <w:b/>
        </w:rPr>
        <w:t>2. Splitting Regulatory vs Professional guidance into two constructs.</w:t>
      </w:r>
      <w:r>
        <w:t xml:space="preserve"> Good instinct. I'm keeping them as one </w:t>
      </w:r>
      <w:r>
        <w:rPr>
          <w:i/>
        </w:rPr>
        <w:t>for now</w:t>
      </w:r>
      <w:r>
        <w:t>, because in this study's theory both work the same way (they raise accountability, which prompts the more deliberate thinking that overrides the bias). But I'm letting the factor analysis decide — if those five items split into two factors in the data, that's a finding and I'll revise the model. So your question isn't dismissed; it's now something I'm explicitly watching for in the results.</w:t>
      </w:r>
    </w:p>
    <w:p>
      <w:r>
        <w:rPr>
          <w:b/>
        </w:rPr>
        <w:t>3. "Skepticism or judgment?" in the incentives block.</w:t>
      </w:r>
      <w:r>
        <w:t xml:space="preserve"> I kept "professional skepticism." In this model, skepticism and judgment-quality are deliberately separate things (judgment-quality is its own variable later in the survey), and keeping the words distinct is what lets the analysis tell them apart.</w:t>
      </w:r>
    </w:p>
    <w:p>
      <w:r>
        <w:rPr>
          <w:b/>
        </w:rPr>
        <w:t>4. "Process rigor depends on the auditor-in-charge."</w:t>
      </w:r>
      <w:r>
        <w:t xml:space="preserve"> You're right that it does — and that's exactly the variation the construct is meant to capture. If rigor were the same everywhere, the item couldn't distinguish anyone. So I kept the construct and used your APR_5 fix to remove the redundancy.</w:t>
      </w:r>
    </w:p>
    <w:p>
      <w:r>
        <w:br/>
      </w:r>
    </w:p>
    <w:p>
      <w:pPr>
        <w:pStyle w:val="Heading2"/>
      </w:pPr>
      <w:r>
        <w:t>Bottom line</w:t>
      </w:r>
    </w:p>
    <w:p>
      <w:r>
        <w:t>Net effect: eight items sharpened, two controls added, zero constructs redefined. The survey is stronger and still fields on schedule this week. Thank you for the time and the sharp eye — it genuinely made this better.</w:t>
      </w:r>
    </w:p>
    <w:p>
      <w:r>
        <w:t>If anything here doesn't sit right, tell me and I'll take another pass.</w:t>
      </w:r>
    </w:p>
    <w:p>
      <w:r>
        <w:t>— Yasir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