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sz w:val="32"/>
        </w:rPr>
        <w:t>Read Me First — Files in This Folder</w:t>
      </w:r>
    </w:p>
    <w:p>
      <w:pPr>
        <w:spacing w:after="240"/>
        <w:jc w:val="center"/>
      </w:pPr>
      <w:r>
        <w:rPr>
          <w:rFonts w:ascii="Calibri" w:hAnsi="Calibri"/>
          <w:b w:val="0"/>
          <w:i/>
          <w:sz w:val="22"/>
        </w:rPr>
        <w:t>Yasir A. Malik  |  FIU DBA Cohort 7.16  |  May 27, 2026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sz w:val="28"/>
        </w:rPr>
        <w:t>What's in this update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Final_Proposal_YMalik_v3.docx — revised Research Project proposal. Adds a Section 2.1 narrative explaining the eleven-construct selection logic, a new Section 4.6 (Ethical Considerations), an expanded Section 6 with five recent AI/LLM-audit citations, and five new entries in the reference list.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Weekly_Update_W01_v2.docx — revised Week 1 status. Clarifies the re-baselined July 19 manuscript deadline, adds a Stage Completion Snapshot, and flags LinkedIn outreach copy as pending advisor sign-off.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LinkedIn_Outreach_Pack.docx — IRB-approved recruitment templates for the LinkedIn channel: connection-request variants, post-connection follow-up, and IIA-chapter outreach, with compliance and sequencing notes.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scholar-reading-list.md (in the git repo) — 46-paper curated reading list supporting the AI-extension future-work section only.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sz w:val="28"/>
        </w:rPr>
        <w:t>Do I need to send LinkedIn messages?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Yes. </w:t>
      </w:r>
      <w:r>
        <w:rPr>
          <w:rFonts w:ascii="Calibri" w:hAnsi="Calibri"/>
          <w:b w:val="0"/>
          <w:i w:val="0"/>
          <w:sz w:val="22"/>
        </w:rPr>
        <w:t>LinkedIn is one of three IRB-approved recruitment channels in the sampling plan, alongside the MTurk HIT and IIA chapter referrals. The study needs 60–80 valid responses. Realistic per-channel targets are roughly 30 from MTurk, 25 from LinkedIn outreach, and 15 from IIA referrals.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Workflow: get advisor sign-off on the outreach copy, then send Template A connection requests, wait for accepts, send Template B with the Qualtrics survey link and Informational Letter, and track sends in a simple CSV (date, role, accepted Y/N, survey link sent Y/N). Do not log respondent identities tied to submissions — the survey is anonymous.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sz w:val="28"/>
        </w:rPr>
        <w:t>What changed and why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Proposal v3 changes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New narrative paragraph in Section 2.1 explaining the eight intervention constructs as a coordinated debiasing toolkit, the two mediators as parallel cognitive and procedural pathways, and the triangulated logic used to select the eleven-construct set from the audit-judgment literature.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New Section 4.6 (Ethical Considerations) covering IRB-exempt status, voluntary participation, anonymous Qualtrics collection with no IP retention, FIU-secured storage, informed consent via the Informational Letter, right of withdrawal, and the absence of clinical, financial, or otherwise sensitive personal data.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Expanded Section 6 (Recommendations for Future Research) naming three candidate LLM/AI constructs — LLM-Assisted Audit Workpaper Generation, AI Anomaly Detection in Substantive Procedures, and Human-in-the-Loop Oversight of Agentic Audit Workflows — and citing five recent AI/LLM-audit papers as methodological anchors. Longitudinal and cross-industry extensions retained but compressed.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Five new references added in alphabetical order: Ansari et al. (2025); Deng, Holstein, &amp; Eslami (2026); Elbouanani, Tuo, &amp; Popescu (2026); Törnberg &amp; Schimmel (2026); and Zhao, Esmaeili, &amp; Fard (2026).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Weekly Update v2 changes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Header revision banner calling out the re-baselined July 19 manuscript deadline and the LinkedIn-copy sign-off dependency.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New Stage Completion Snapshot section with explicit percent-complete figures per stage.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Added "Obtain Prof. Rey sign-off on LinkedIn outreach copy before sending" to Next Week Priorities.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sz w:val="24"/>
        </w:rPr>
        <w:t>Scope note on the Scholar reading list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46-paper Scholar reading list is relevant only to Section 6 (future-work LLM extensions), not to the core EFA study. The core study is grounded in the classical audit-judgment literature already cited in the proposal — Earley, Nelson, Bonner, Knechel, DeFond &amp; Francis, and Tversky &amp; Kahneman remain the load-bearing references for the eleven-construct model.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sz w:val="28"/>
        </w:rPr>
        <w:t>Schedule snapshot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Now: Week 1 of 9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Critical milestone: manuscript draft due July 19, 2026 (was August 9 — tightened by program guidance).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Weeks 6–8: manuscript drafting accelerated to meet the July 19 milestone.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IRB PI-change amendment to be filed in Topaz this week.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sz w:val="28"/>
        </w:rPr>
        <w:t>Where these files live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Upload folder (local): /root/.claude/uploads/7b0587bd-2167-451f-934b-8a8a233909a9/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Git repo branch: claude/scholar-links-review-Plgk6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Git repo folder: dba/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