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Mitigating Anchoring Bias in Long-Term Auditor Engagements</w:t>
      </w:r>
    </w:p>
    <w:p>
      <w:r>
        <w:rPr>
          <w:b/>
        </w:rPr>
        <w:t>A Pilot and Feasibility Study</w:t>
      </w:r>
    </w:p>
    <w:p>
      <w:r>
        <w:rPr>
          <w:b/>
        </w:rPr>
        <w:t>Yasir A. Malik</w:t>
      </w:r>
      <w:r>
        <w:t xml:space="preserve"> (PID 1687105)</w:t>
      </w:r>
    </w:p>
    <w:p>
      <w:r>
        <w:t>Florida International University — College of Business</w:t>
      </w:r>
    </w:p>
    <w:p>
      <w:r>
        <w:t>Doctor of Business Administration — Cohort 7.16</w:t>
      </w:r>
    </w:p>
    <w:p>
      <w:r>
        <w:t>GEB7913 — Research Project · Instructor: Professor Juan Rey</w:t>
      </w:r>
    </w:p>
    <w:p>
      <w:r>
        <w:t>July 2026</w:t>
      </w:r>
    </w:p>
    <w:p>
      <w:pPr>
        <w:ind w:left="432"/>
      </w:pPr>
      <w:r>
        <w:rPr>
          <w:b/>
        </w:rPr>
        <w:t>WORKING DRAFT — full assembly for advisor review.</w:t>
      </w:r>
      <w:r>
        <w:t xml:space="preserve"> Chapters 1, 4, 5, and 6 revised per the late-July advisor meeting; Chapters 2–3 and Appendix A stand as previously approved. Reference list appears in two parts pending final merge.</w:t>
      </w:r>
    </w:p>
    <w:p>
      <w:r>
        <w:br/>
      </w:r>
    </w:p>
    <w:p>
      <w:pPr>
        <w:pStyle w:val="Heading1"/>
      </w:pPr>
      <w:r>
        <w:t>CHAPTER 1 — INTRODUCTION</w:t>
      </w:r>
    </w:p>
    <w:p>
      <w:pPr>
        <w:pStyle w:val="Heading2"/>
      </w:pPr>
      <w:r>
        <w:t>1.1  Background of the Study</w:t>
      </w:r>
    </w:p>
    <w:p>
      <w:r>
        <w:t xml:space="preserve">Auditing is, at its core, a discipline of professional judgment exercised under uncertainty. Auditors form expectations about account balances, estimates, and risks, then test those expectations against evidence. Decades of research in judgment and decision-making have established that such expectation-formation is systematically vulnerable to cognitive heuristics — and among these, </w:t>
      </w:r>
      <w:r>
        <w:rPr>
          <w:b/>
        </w:rPr>
        <w:t>anchoring</w:t>
      </w:r>
      <w:r>
        <w:t xml:space="preserve"> is one of the most robust: when a judgment begins from an initial reference point, subsequent adjustment away from that reference point is typically insufficient, leaving the final judgment biased toward the anchor (Tversky &amp; Kahneman, 1974). In the audit context, anchors are structural, not incidental. Prior-year balances, management's estimates, budgets, and prior working papers are embedded in the audit process itself; the auditor does not need to seek an anchor, because the engagement file supplies one.</w:t>
      </w:r>
    </w:p>
    <w:p>
      <w:r>
        <w:t xml:space="preserve">This vulnerability is sharpest in </w:t>
      </w:r>
      <w:r>
        <w:rPr>
          <w:b/>
        </w:rPr>
        <w:t>long-term, continuing engagements</w:t>
      </w:r>
      <w:r>
        <w:t xml:space="preserve"> — multi-year relationships in which the same audit team returns to the same client, carrying forward the same working papers and conclusions. Recent experimental evidence with practicing auditors confirms that internally generated anchors such as prior-year working papers exert the strongest pull on audit judgments, and that susceptibility varies with experience and with the auditor's awareness of behavioral heuristics (Henrizi, Himmelsbach, &amp; Hunziker, 2021). What begins as engagement efficiency — leveraging prior knowledge of the client — can quietly become engagement risk: an expectation inherited rather than formed, tested against evidence chosen in its own shadow.</w:t>
      </w:r>
    </w:p>
    <w:p>
      <w:r>
        <w:t>The profession is not defenseless. Audit firms and standard-setters have developed an arsenal of practices with the potential to disrupt anchoring: bias-awareness training, rotation of engagement personnel, data-analytical tools that generate independent expectations, structured audit processes and decision aids, feedback and reflection practices, independent reviews, regulatory and professional guidance, and performance-evaluation systems that reward judgment quality over speed. Yet these interventions have largely been studied piecemeal. What the literature lacks — and what this study set out to build — is an integrated measurement framework that captures these interventions, the judgment conditions they operate through, and the outcome they target, in a single validated instrument grounded in the experience of practicing auditors.</w:t>
      </w:r>
    </w:p>
    <w:p>
      <w:pPr>
        <w:pStyle w:val="Heading2"/>
      </w:pPr>
      <w:r>
        <w:t>1.2  Problem Statement</w:t>
      </w:r>
    </w:p>
    <w:p>
      <w:r>
        <w:t xml:space="preserve">Anchoring bias in long-term auditor engagements threatens audit quality at precisely the point where audit failures are most costly: the evaluation of recurring balances and estimates against inherited expectations. Although individual mitigation practices are known, there is no validated, integrated measurement model of the organizational interventions that reduce anchoring in continuing engagements, nor of the mechanisms — the quality of auditor judgment and the rigor of the audit process — through which those interventions plausibly operate. Without validated measurement, firms cannot assess which of their quality-control investments actually reach the judgment behaviors that matter, and researchers cannot test intervention effectiveness at scale. The problem this study addresses is therefore a </w:t>
      </w:r>
      <w:r>
        <w:rPr>
          <w:b/>
        </w:rPr>
        <w:t>measurement problem with practical stakes</w:t>
      </w:r>
      <w:r>
        <w:t>: the absence of a validated instrument linking anchoring-mitigation interventions to reduced anchoring bias in the professionals most exposed to it.</w:t>
      </w:r>
    </w:p>
    <w:p>
      <w:pPr>
        <w:pStyle w:val="Heading2"/>
      </w:pPr>
      <w:r>
        <w:t>1.3  Purpose of the Study</w:t>
      </w:r>
    </w:p>
    <w:p>
      <w:r>
        <w:t>The purpose of this study was to develop and begin validating an eleven-construct measurement model of anchoring-bias mitigation in long-term auditor engagements. The model comprises eight organizational interventions (Training &amp; Awareness; Rotation of Auditors; Use of Analytical Tools; Structured Auditing Processes; Feedback &amp; Reflection; Independent Reviews; Regulatory &amp; Professional Guidance; Performance Metrics &amp; Incentives), two mediating conditions (Auditor Judgment Quality; Audit Process Rigor), and one outcome construct (Reduction in Anchoring Bias), operationalized as a 55-item survey instrument administered to practicing U.S. auditors with continuing-engagement experience. The empirical scope of the present study, set in consultation with the faculty advisor, was the measurement stage: exploratory factor analysis and reliability assessment of the instrument, with the full structural model — sixteen hypothesized relationships across direct and mediated paths — specified as the framework for subsequent testing.</w:t>
      </w:r>
    </w:p>
    <w:p>
      <w:r>
        <w:t xml:space="preserve">As Chapters 5 and 6 report candidly, the study's data-collection effort encountered a structural constraint — the extreme narrowness of the eligible population — that converted the planned validation study into a </w:t>
      </w:r>
      <w:r>
        <w:rPr>
          <w:b/>
        </w:rPr>
        <w:t>pilot and feasibility study</w:t>
      </w:r>
      <w:r>
        <w:t>. The purpose statement above therefore describes both what the study set out to do and the apparatus it delivers intact for the next stage of the research program; what changed in execution, and what was learned from that change, is itself a central contribution of this paper.</w:t>
      </w:r>
    </w:p>
    <w:p>
      <w:pPr>
        <w:pStyle w:val="Heading2"/>
      </w:pPr>
      <w:r>
        <w:t>1.4  Research Questions</w:t>
      </w:r>
    </w:p>
    <w:p>
      <w:r>
        <w:t>The study is organized around three questions:</w:t>
      </w:r>
    </w:p>
    <w:p>
      <w:pPr>
        <w:pStyle w:val="ListBullet"/>
      </w:pPr>
      <w:r>
        <w:rPr>
          <w:b/>
        </w:rPr>
        <w:t>RQ1.</w:t>
      </w:r>
      <w:r>
        <w:t xml:space="preserve"> Can the eight anchoring-mitigation interventions, two mediating conditions, and the anchoring-reduction outcome be measured as distinct, reliable constructs among practicing auditors in long-term engagements?</w:t>
      </w:r>
    </w:p>
    <w:p>
      <w:pPr>
        <w:pStyle w:val="ListBullet"/>
      </w:pPr>
      <w:r>
        <w:rPr>
          <w:b/>
        </w:rPr>
        <w:t>RQ2.</w:t>
      </w:r>
      <w:r>
        <w:t xml:space="preserve"> What is the underlying factor structure of the 55-item instrument — do the items cohere into the eleven theorized constructs?</w:t>
      </w:r>
    </w:p>
    <w:p>
      <w:pPr>
        <w:pStyle w:val="ListBullet"/>
      </w:pPr>
      <w:r>
        <w:rPr>
          <w:b/>
        </w:rPr>
        <w:t>RQ3.</w:t>
      </w:r>
      <w:r>
        <w:t xml:space="preserve"> As the framework for subsequent research: how are the interventions associated with reduced anchoring bias, directly and through auditor judgment quality and audit process rigor?</w:t>
      </w:r>
    </w:p>
    <w:p>
      <w:r>
        <w:t>The present study's empirical work addresses RQ1 and RQ2 to the extent the achieved sample permits; RQ3 is developed theoretically in Chapter 3 and reserved, with its sixteen hypotheses, for the adequately powered study this paper prepares.</w:t>
      </w:r>
    </w:p>
    <w:p>
      <w:pPr>
        <w:pStyle w:val="Heading2"/>
      </w:pPr>
      <w:r>
        <w:t>1.5  Significance of the Study</w:t>
      </w:r>
    </w:p>
    <w:p>
      <w:r>
        <w:t xml:space="preserve">The study matters to three audiences. </w:t>
      </w:r>
      <w:r>
        <w:rPr>
          <w:b/>
        </w:rPr>
        <w:t>For audit practice</w:t>
      </w:r>
      <w:r>
        <w:t xml:space="preserve">, a validated instrument would let firms measure — rather than assume — whether their training, rotation, analytics, review, and incentive structures actually reach anchoring behavior in continuing engagements, converting quality-control spending into testable interventions. </w:t>
      </w:r>
      <w:r>
        <w:rPr>
          <w:b/>
        </w:rPr>
        <w:t>For the research literature</w:t>
      </w:r>
      <w:r>
        <w:t xml:space="preserve">, the study integrates intervention constructs that have been examined only in isolation, and grounds them in a dual-process theoretical frame with explicit mediating mechanisms. </w:t>
      </w:r>
      <w:r>
        <w:rPr>
          <w:b/>
        </w:rPr>
        <w:t>For the emerging technology agenda</w:t>
      </w:r>
      <w:r>
        <w:t>, the framework arrives as the profession absorbs AI- and LLM-based audit tools, where the central open question — developed in Chapter 6 — is whether algorithmic decision aids attenuate human anchors or substitute algorithmic anchors of their own (Commerford, Dennis, Joe, &amp; Ulla, 2022; Kokina, Blanchette, Davenport, &amp; Pachamanova, 2025). A validated human-side baseline is the precondition for answering that question, and this study builds it. Finally, the study's candid documentation of its data-collection experience — the true cost and feasibility of reaching a narrow professional population — is itself significant for doctoral researchers designing studies of specialized populations.</w:t>
      </w:r>
    </w:p>
    <w:p>
      <w:pPr>
        <w:pStyle w:val="Heading2"/>
      </w:pPr>
      <w:r>
        <w:t>1.6  Definitions of Key Terms</w:t>
      </w:r>
    </w:p>
    <w:p>
      <w:pPr>
        <w:pStyle w:val="ListBullet"/>
      </w:pPr>
      <w:r>
        <w:rPr>
          <w:b/>
        </w:rPr>
        <w:t>Anchoring bias</w:t>
      </w:r>
      <w:r>
        <w:t xml:space="preserve"> — the tendency for judgments to remain biased toward an initial reference value (prior-year balance, management estimate, budget) after insufficient adjustment (Tversky &amp; Kahneman, 1974).</w:t>
      </w:r>
    </w:p>
    <w:p>
      <w:pPr>
        <w:pStyle w:val="ListBullet"/>
      </w:pPr>
      <w:r>
        <w:rPr>
          <w:b/>
        </w:rPr>
        <w:t>Long-term (continuing) engagement</w:t>
      </w:r>
      <w:r>
        <w:t xml:space="preserve"> — a multi-year audit relationship in which engagement personnel, working papers, and conclusions carry forward across periods.</w:t>
      </w:r>
    </w:p>
    <w:p>
      <w:pPr>
        <w:pStyle w:val="ListBullet"/>
      </w:pPr>
      <w:r>
        <w:rPr>
          <w:b/>
        </w:rPr>
        <w:t>Anchoring-mitigation interventions</w:t>
      </w:r>
      <w:r>
        <w:t xml:space="preserve"> — the eight organizational practices theorized to reduce anchoring: training and awareness, auditor rotation, analytical tools, structured processes, feedback and reflection, independent reviews, regulatory and professional guidance, and performance metrics and incentives.</w:t>
      </w:r>
    </w:p>
    <w:p>
      <w:pPr>
        <w:pStyle w:val="ListBullet"/>
      </w:pPr>
      <w:r>
        <w:rPr>
          <w:b/>
        </w:rPr>
        <w:t>Auditor Judgment Quality (AJQ)</w:t>
      </w:r>
      <w:r>
        <w:t xml:space="preserve"> — the degree to which audit judgments rest on careful, objective evaluation of independent evidence (cognitive mediator).</w:t>
      </w:r>
    </w:p>
    <w:p>
      <w:pPr>
        <w:pStyle w:val="ListBullet"/>
      </w:pPr>
      <w:r>
        <w:rPr>
          <w:b/>
        </w:rPr>
        <w:t>Audit Process Rigor (APR)</w:t>
      </w:r>
      <w:r>
        <w:t xml:space="preserve"> — the thoroughness, consistency, and disciplined evidence-ordering of the audit process as executed (procedural mediator).</w:t>
      </w:r>
    </w:p>
    <w:p>
      <w:pPr>
        <w:pStyle w:val="ListBullet"/>
      </w:pPr>
      <w:r>
        <w:rPr>
          <w:b/>
        </w:rPr>
        <w:t>Reduction in Anchoring Bias (RAB)</w:t>
      </w:r>
      <w:r>
        <w:t xml:space="preserve"> — the outcome construct: the extent to which final judgments are driven by current evidence rather than initial reference points.</w:t>
      </w:r>
    </w:p>
    <w:p>
      <w:pPr>
        <w:pStyle w:val="ListBullet"/>
      </w:pPr>
      <w:r>
        <w:rPr>
          <w:b/>
        </w:rPr>
        <w:t>Pilot / feasibility study</w:t>
      </w:r>
      <w:r>
        <w:t xml:space="preserve"> — a study whose achieved scope is the demonstration that the instrument, procedures, and analytic pipeline function as designed, and the identification of the constraints a full-scale study must solve.</w:t>
      </w:r>
    </w:p>
    <w:p>
      <w:pPr>
        <w:pStyle w:val="Heading2"/>
      </w:pPr>
      <w:r>
        <w:t>1.7  Organization of the Study</w:t>
      </w:r>
    </w:p>
    <w:p>
      <w:r>
        <w:t>Chapter 2 reviews the literature: the theoretical foundations, each of the eleven constructs, and the research gap. Chapter 3 presents the research model and develops the sixteen hypotheses that constitute the study's structural framework. Chapter 4 specifies the complete methodology as an analysis contract — design, instrument, sampling plan, data-preparation protocol, and the full analytic sequence from exploratory factor analysis through reliability, confirmatory factor analysis, regression, and PLS-SEM, with the decision criteria governing each stage. Chapter 5 documents the data-collection experience and its outcome, and states what the achieved sample did and did not permit. Chapter 6 draws conclusions: the study's limitations, recommendations for researchers facing comparable populations, and the transition from this qualifying study to the dissertation, including its extension into AI-augmented audit judgment.</w:t>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Wilson, Houston, Etling, and Brekke (1996), in the </w:t>
      </w:r>
      <w:r>
        <w:rPr>
          <w:i/>
        </w:rPr>
        <w:t>Journal of Experimental Psychology: General</w:t>
      </w:r>
      <w:r>
        <w:t xml:space="preserve">, demonstrated "basic anchoring" — that uninformative numerical anchors influence subsequent judgments even when no explicit comparison to the target is requested, expanding the conditions under which anchoring is now known to operate.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 and Northcraft and Neale (1987), in </w:t>
      </w:r>
      <w:r>
        <w:rPr>
          <w:i/>
        </w:rPr>
        <w:t>Organizational Behavior and Human Decision Processes</w:t>
      </w:r>
      <w:r>
        <w:t>, supplied an early demonstration that experts in an information-rich professional setting (real-estate appraisers) anchor on listing prices much as novices do — undermining the assumption that domain expertise alone neutralizes the bias.</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Mussweiler and Strack (1999), in the </w:t>
      </w:r>
      <w:r>
        <w:rPr>
          <w:i/>
        </w:rPr>
        <w:t>Journal of Experimental Social Psychology</w:t>
      </w:r>
      <w:r>
        <w:t xml:space="preserve">, extended the account by showing that the mechanism is </w:t>
      </w:r>
      <w:r>
        <w:rPr>
          <w:i/>
        </w:rPr>
        <w:t>hypothesis-consistent testing</w:t>
      </w:r>
      <w:r>
        <w:t>: judges implicitly test the hypothesis that the anchor is the correct value, which selectively raises the accessibility of anchor-consistent knowledge used in the subsequent judgment. The selective-accessibility model explains why anchoring is so resistant to simple warnings and why a particularly effective countermeasure is the deliberate "consider-the-opposite" strategy (Lord, Lepper, &amp; Preston, 1984; Mussweiler, Strack, &amp; Pfeiffer, 2000),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Kahneman and Frederick (2002), in their "representativeness revisited" chapter, formalized the dual-process account through the concept of </w:t>
      </w:r>
      <w:r>
        <w:rPr>
          <w:i/>
        </w:rPr>
        <w:t>attribute substitution</w:t>
      </w:r>
      <w:r>
        <w:t xml:space="preserve"> — when a target attribute is hard to assess, individuals unwittingly substitute a related but easier-to-evaluate attribute — providing a unifying mechanism that links anchoring, representativeness, and availability under the same theoretical umbrella.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Wilson et al. (1996) and Northcraft and Neale (1987) generalized the concern to expert populations more broadly, showing that uninformative anchors influence judgments even of professionals operating in their home domains.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 Hurtt, Brown-Liburd, Earley, and Krishnamoorthy (2013), synthesizing the auditor-skepticism literature in </w:t>
      </w:r>
      <w:r>
        <w:rPr>
          <w:i/>
        </w:rPr>
        <w:t>Auditing: A Journal of Practice &amp; Theory</w:t>
      </w:r>
      <w:r>
        <w:t>, identify training and experience as among the most studied antecedents of professional skepticism — the auditor mindset most directly implicated in resisting anchors — and document that the evidence on training's effect is positive but heterogeneous across study designs.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Solomon and Trotman (2003), in their </w:t>
      </w:r>
      <w:r>
        <w:rPr>
          <w:i/>
        </w:rPr>
        <w:t>Accounting, Organizations and Society</w:t>
      </w:r>
      <w:r>
        <w:t xml:space="preserve"> review of twenty-five years of auditing judgment research, similarly note that interventions targeting knowledge structures are more effective when they alter how auditors </w:t>
      </w:r>
      <w:r>
        <w:rPr>
          <w:i/>
        </w:rPr>
        <w:t>process</w:t>
      </w:r>
      <w:r>
        <w:t xml:space="preserve"> evidence rather than merely what they </w:t>
      </w:r>
      <w:r>
        <w:rPr>
          <w:i/>
        </w:rPr>
        <w:t>know</w:t>
      </w:r>
      <w:r>
        <w:t xml:space="preserve"> about biases.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archival evidence on tenure is, however, decidedly mixed, and that mixed pattern is itself diagnostic. Carcello and Nagy (2004), in </w:t>
      </w:r>
      <w:r>
        <w:rPr>
          <w:i/>
        </w:rPr>
        <w:t>Auditing: A Journal of Practice &amp; Theory</w:t>
      </w:r>
      <w:r>
        <w:t xml:space="preserve">, found that fraudulent financial reporting is more likely in the </w:t>
      </w:r>
      <w:r>
        <w:rPr>
          <w:i/>
        </w:rPr>
        <w:t>first three years</w:t>
      </w:r>
      <w:r>
        <w:t xml:space="preserve"> of an auditor–client relationship and find no evidence that long tenure increases fraud risk — implying that start-up unfamiliarity, not familiarity, is the more proximate threat. Myers, Myers, and Omer (2003), in </w:t>
      </w:r>
      <w:r>
        <w:rPr>
          <w:i/>
        </w:rPr>
        <w:t>The Accounting Review</w:t>
      </w:r>
      <w:r>
        <w:t xml:space="preserve">, similarly report that longer auditor tenure is associated with </w:t>
      </w:r>
      <w:r>
        <w:rPr>
          <w:i/>
        </w:rPr>
        <w:t>higher</w:t>
      </w:r>
      <w:r>
        <w:t xml:space="preserve"> earnings quality (smaller absolute abnormal accruals), again challenging the assumption that long tenure mechanically degrades audit quality. The experimental evidence sharpens the picture: Bowlin, Hobson, and Piercey (2015), in </w:t>
      </w:r>
      <w:r>
        <w:rPr>
          <w:i/>
        </w:rPr>
        <w:t>The Accounting Review</w:t>
      </w:r>
      <w:r>
        <w:t xml:space="preserve">, found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and the field-level archival evidence shows that simple "tenure-is-bad" intuitions are unsupported.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and the net direction is an empirical question this model is designed to estimate.</w:t>
      </w: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 The longer arc of this transition is captured by Vasarhelyi, Alles, and Kogan (2004), whose foundational treatment of continuous auditing in the </w:t>
      </w:r>
      <w:r>
        <w:rPr>
          <w:i/>
        </w:rPr>
        <w:t>Journal of Emerging Technologies in Accounting</w:t>
      </w:r>
      <w:r>
        <w:t xml:space="preserve"> sets out how information-technology-enabled monitoring can convert episodic, retrospective testing into ongoing analytic comparison — structurally raising the salience of current-period anomalies relative to prior-year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xml:space="preserve">,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 Carpenter (2007), in </w:t>
      </w:r>
      <w:r>
        <w:rPr>
          <w:i/>
        </w:rPr>
        <w:t>The Accounting Review</w:t>
      </w:r>
      <w:r>
        <w:t xml:space="preserve">, provided causal evidence for one form of imposed structure: SAS No. 99 brainstorming sessions raised the quality of fraud-risk ideas generated by audit teams above what individual auditors produced alone, and team fraud-risk assessments after brainstorming were significantly higher — demonstrating that a structured group procedure can override the prior-year frame an individual auditor would otherwise default to. Trotman, Bauer, and Humphreys (2015), reviewing group judgment-and-decision-making research in auditing in </w:t>
      </w:r>
      <w:r>
        <w:rPr>
          <w:i/>
        </w:rPr>
        <w:t>Accounting, Organizations and Society</w:t>
      </w:r>
      <w:r>
        <w:t xml:space="preserve">, situate brainstorming, hierarchical review, and consultation as the three principal structured processes through which audit teams produce judgments that exceed any single member's, and they highlight the importance of </w:t>
      </w:r>
      <w:r>
        <w:rPr>
          <w:i/>
        </w:rPr>
        <w:t>process design</w:t>
      </w:r>
      <w:r>
        <w:t xml:space="preserve"> in whether these benefits are realized.</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 The cognitive-psychology evidence reinforces the mechanism: Lord, Lepper, and Preston (1984), in the </w:t>
      </w:r>
      <w:r>
        <w:rPr>
          <w:i/>
        </w:rPr>
        <w:t>Journal of Personality and Social Psychology</w:t>
      </w:r>
      <w:r>
        <w:t xml:space="preserve">, showed that inducing judges to </w:t>
      </w:r>
      <w:r>
        <w:rPr>
          <w:i/>
        </w:rPr>
        <w:t>consider the opposite</w:t>
      </w:r>
      <w:r>
        <w:t xml:space="preserve"> of their initial impression is among the most reliably effective debiasing strategies known, and Mussweiler and Strack (1999) tied this finding directly to anchoring by showing that the bias is mediated by hypothesis-consistent testing — precisely the cognitive habit that structured reflection is designed to interrupt.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xml:space="preserve">, refined this by showing that reviewers at different ranks detect different kinds of errors — managers catching conceptual errors that seniors miss — establishing that review quality depends on reviewer expertise and focus. Tan and Trotman (2003), in </w:t>
      </w:r>
      <w:r>
        <w:rPr>
          <w:i/>
        </w:rPr>
        <w:t>The Accounting Review</w:t>
      </w:r>
      <w:r>
        <w:t xml:space="preserve">, sharpened the construct further by demonstrating that reviewers' judgments are themselves influenced by the </w:t>
      </w:r>
      <w:r>
        <w:rPr>
          <w:i/>
        </w:rPr>
        <w:t>structure and conclusions</w:t>
      </w:r>
      <w:r>
        <w:t xml:space="preserve"> documented in the preparer's workpapers — meaning the independence of the reviewer's contribution is contingent on the format in which the preparer's work is presented. Solomon and Trotman (2003), reviewing twenty-five years of </w:t>
      </w:r>
      <w:r>
        <w:rPr>
          <w:i/>
        </w:rPr>
        <w:t>Accounting, Organizations and Society</w:t>
      </w:r>
      <w:r>
        <w:t xml:space="preserve"> judgment research, situate the review process as the audit profession's primary structural mechanism for upgrading individual judgment to team judgment.</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(Tan &amp; Trotman, 2003). Review is therefore debiasing in proportion to its genuine </w:t>
      </w:r>
      <w:r>
        <w:rPr>
          <w:i/>
        </w:rPr>
        <w:t>independence</w:t>
      </w:r>
      <w:r>
        <w:t>, which is why it is modeled (with SAP) as a driver of Audit Process Rigor rather than a purely cognitive lever.</w:t>
      </w: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xml:space="preserve">, analyze PCAOB inspection findings for large firms, documenting that estimate- and judgment-related deficiencies — exactly the territory of anchoring — recur in inspections. Francis (2011), in </w:t>
      </w:r>
      <w:r>
        <w:rPr>
          <w:i/>
        </w:rPr>
        <w:t>Auditing: A Journal of Practice &amp; Theory</w:t>
      </w:r>
      <w:r>
        <w:t xml:space="preserve">, develops a multi-level framework for understanding audit quality in which inputs, processes, the firm, the audit industry, institutions, and economic consequences each operate as a distinct level of analysis — locating regulatory and professional guidance squarely at the institutional level that conditions, but does not determine, judgment at the engagement level. Tan and Kao (1999), in the </w:t>
      </w:r>
      <w:r>
        <w:rPr>
          <w:i/>
        </w:rPr>
        <w:t>Journal of Accounting Research</w:t>
      </w:r>
      <w:r>
        <w:t>, supply complementary experimental evidence that accountability — the proximal mechanism through which inspection pressure operates — improves auditor performance only when the auditor possesses sufficient knowledge and problem-solving ability for the task, implying that guidance amplifies but does not substitute for capability.</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Tan &amp; Kao, 1999).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 The institutional-economics rationale for taking firm-level incentives seriously goes back to DeAngelo (1981), whose </w:t>
      </w:r>
      <w:r>
        <w:rPr>
          <w:i/>
        </w:rPr>
        <w:t>Journal of Accounting Economics</w:t>
      </w:r>
      <w:r>
        <w:t xml:space="preserve"> analysis shows that large audit firms have stronger incentives to deliver high quality because the loss of a single client imposes a smaller marginal cost on their reputation capital — making quality-aligned incentives endogenous to firm structure and not merely an evaluation-system design choice. Tan and Kao (1999) reinforce the effort-contingency from the experimental side: incentives and accountability raise performance specifically when the task is complex and the auditor has the knowledge to deploy the additional effort productively.</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xml:space="preserve">, review judgment-and-decision-making research in auditing and locate judgment quality as the proximal outcome that links auditor and task characteristics to audit quality. The fifty-year synthesis by Trotman, Tan, and Ang (2011), in </w:t>
      </w:r>
      <w:r>
        <w:rPr>
          <w:i/>
        </w:rPr>
        <w:t>Accounting &amp; Finance</w:t>
      </w:r>
      <w:r>
        <w:t xml:space="preserve">, surveys roughly 5,700 JDM-in-accounting papers and confirms that </w:t>
      </w:r>
      <w:r>
        <w:rPr>
          <w:i/>
        </w:rPr>
        <w:t>judgment quality</w:t>
      </w:r>
      <w:r>
        <w:t xml:space="preserve"> — operationalized variously through accuracy, consensus, consistency, and self-insight — has been the central dependent measure of the field, providing the empirical scaffolding on which the present mediator rests. Hurtt et al. (2013) further locate judgment quality at the proximal end of an antecedents-to-skepticism chain, in which interventions raise skeptical judgment quality which then improves audit outcomes — the same logic operationalized here through AJQ.</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xml:space="preserve">,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 Francis (2011) makes the levels-of-analysis case explicitly in his </w:t>
      </w:r>
      <w:r>
        <w:rPr>
          <w:i/>
        </w:rPr>
        <w:t>Auditing: A Journal of Practice &amp; Theory</w:t>
      </w:r>
      <w:r>
        <w:t xml:space="preserve"> framework, distinguishing audit </w:t>
      </w:r>
      <w:r>
        <w:rPr>
          <w:i/>
        </w:rPr>
        <w:t>processes</w:t>
      </w:r>
      <w:r>
        <w:t xml:space="preserve"> from audit </w:t>
      </w:r>
      <w:r>
        <w:rPr>
          <w:i/>
        </w:rPr>
        <w:t>inputs</w:t>
      </w:r>
      <w:r>
        <w:t xml:space="preserve"> and from firm-level attributes as separate sources of variance in audit quality — supplying the strongest theoretical warrant for modeling process rigor as a mechanism distinct from individual judgment. Trotman et al. (2015) extend the procedural account to </w:t>
      </w:r>
      <w:r>
        <w:rPr>
          <w:i/>
        </w:rPr>
        <w:t>group</w:t>
      </w:r>
      <w:r>
        <w:t xml:space="preserve"> judgment-and-decision-making in auditing, documenting that hierarchical review, brainstorming, and consultation operate as structural processes whose rigor is partly independent of any single auditor's cognition.</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r>
        <w:rPr>
          <w:i/>
        </w:rPr>
        <w:t>(Figure 1 — the research model. Image file: `Anchoring_Bias_Research_Model.png`; embedded as a rendered figure in the Word/Canvas submission.)</w:t>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 xml:space="preserve">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w:t>
      </w:r>
      <w:r>
        <w:rPr>
          <w:b/>
        </w:rPr>
        <w:t>exploratory-factor-analytic validation</w:t>
      </w:r>
      <w:r>
        <w:t xml:space="preserve"> through which the measurement model is established. The present study scopes its empirical analysis to </w:t>
      </w:r>
      <w:r>
        <w:rPr>
          <w:b/>
        </w:rPr>
        <w:t>exploratory factor analysis (principal-axis factoring with Direct Oblimin rotation) and reliability assessment (Cronbach's α)</w:t>
      </w:r>
      <w:r>
        <w:t xml:space="preserve"> on a target of </w:t>
      </w:r>
      <w:r>
        <w:rPr>
          <w:b/>
        </w:rPr>
        <w:t>n = 100 valid responses</w:t>
      </w:r>
      <w:r>
        <w:t>; the sixteen directional and mediated hypotheses constitute the proposed framework and are reserved for subsequent structural testing in future research.</w:t>
      </w:r>
    </w:p>
    <w:p>
      <w:pPr>
        <w:pStyle w:val="Heading1"/>
      </w:pPr>
      <w:r>
        <w:t>CHAPTER 4 — RESEARCH METHODOLOGY</w:t>
      </w:r>
    </w:p>
    <w:p>
      <w:pPr>
        <w:pStyle w:val="Heading2"/>
      </w:pPr>
      <w:r>
        <w:t>4.1  Introduction to the Chapter</w:t>
      </w:r>
    </w:p>
    <w:p>
      <w:r>
        <w:t>This chapter specifies, in full detail and in execution order, the complete analytic program for a study of this design: the research design, the instrument, the sampling plan, the data-preparation protocol, and the full analytic sequence — exploratory factor analysis and reliability assessment (this study's scoped empirical requirement, per the advisor's directive of June 30, 2026, and Section 3.5), followed by the confirmatory factor analysis, multiple regression, and partial-least-squares structural modeling that constitute the subsequent stages of the same research program — with the decision criteria that would govern each step. The chapter is deliberately written at the level of an analysis contract: a researcher receiving this chapter and an adequate dataset should be able to execute the entire study without further instruction. Chapter 5 then reports what happened when this plan met the field.</w:t>
      </w:r>
    </w:p>
    <w:p>
      <w:pPr>
        <w:pStyle w:val="Heading2"/>
      </w:pPr>
      <w:r>
        <w:t>4.2  Research Design</w:t>
      </w:r>
    </w:p>
    <w:p>
      <w:r>
        <w:t>The study employs a cross-sectional, quantitative, self-report survey design. Practicing auditors rate, on validated Likert scales, the presence of eight anchoring-mitigation interventions in their work environment (TA, RA, AT, SAP, FR, IR, RPG, PMI), two proposed mediating conditions (Auditor Judgment Quality; Audit Process Rigor), and the outcome construct (Reduction in Anchoring Bias). The design is correlational and non-experimental: no variable is manipulated, and the aim at this stage is measurement validation and association, not causal identification. A survey design was selected because the constructs are perceptions of organizational practice best reported by the practitioners embedded in those practices, and because it permits standardized measurement across heterogeneous firms and roles.</w:t>
      </w:r>
    </w:p>
    <w:p>
      <w:pPr>
        <w:pStyle w:val="Heading2"/>
      </w:pPr>
      <w:r>
        <w:t>4.3  Population and Sampling Plan</w:t>
      </w:r>
    </w:p>
    <w:p>
      <w:r>
        <w:t xml:space="preserve">The target population is </w:t>
      </w:r>
      <w:r>
        <w:rPr>
          <w:b/>
        </w:rPr>
        <w:t>auditors practicing in the United States</w:t>
      </w:r>
      <w:r>
        <w:t xml:space="preserve"> — external auditors, internal auditors, and audit-support professionals — with current or recent (within 24 months) audit responsibility and exposure to at least one continuing (multi-year) engagement. This population was chosen deliberately: anchoring on prior-year figures is a phenomenon of </w:t>
      </w:r>
      <w:r>
        <w:rPr>
          <w:i/>
        </w:rPr>
        <w:t>recurring</w:t>
      </w:r>
      <w:r>
        <w:t xml:space="preserve"> engagements, so eligibility required exactly the experience the model theorizes about. The planned sample was </w:t>
      </w:r>
      <w:r>
        <w:rPr>
          <w:b/>
        </w:rPr>
        <w:t>n = 100 valid responses</w:t>
      </w:r>
      <w:r>
        <w:t>. This figure is stated honestly for what it is: a pragmatic minimum anchored to the absolute floor of roughly 100 cases commonly cited for stable factor recovery (Hair et al., 2019), not to the stricter observations-per-item ratio — under the conventional 5:1 rule, a single 55-item factoring would imply approximately 275 cases (10:1 would imply 550). The n = 100 plan was defensible on two grounds: sample requirements relax substantially when communalities are high and factors are well-determined by multiple strong indicators (MacCallum, Widaman, Zhang, &amp; Hong, 1999), conditions the 5-items-per-construct design targets deliberately; and the analysis plan (Section 4.6) permits factoring in theoretically defined item subsets, for which n = 100 satisfies the per-item ratio, as a fallback if the full-pool solution proves unstable. Recruitment was planned through two complementary channels: (1) organic professional outreach through LinkedIn, professional WhatsApp groups, and direct contacts in the auditing community; and (2) paid research panels (CloudResearch Connect and Prolific) with professional screening, at fixed compensation of $6.00 per completed 18-minute response under the IRB-approved compensation language (IRB-25-0462), implying a panel budget of roughly $600–$1,000 for the target sample.</w:t>
      </w:r>
    </w:p>
    <w:p>
      <w:pPr>
        <w:pStyle w:val="Heading2"/>
      </w:pPr>
      <w:r>
        <w:t>4.4  Instrumentation</w:t>
      </w:r>
    </w:p>
    <w:p>
      <w:r>
        <w:t xml:space="preserve">The instrument (Appendix A) operationalizes each of the eleven constructs with five Likert items (1 = </w:t>
      </w:r>
      <w:r>
        <w:rPr>
          <w:i/>
        </w:rPr>
        <w:t>Strongly disagree</w:t>
      </w:r>
      <w:r>
        <w:t xml:space="preserve"> … 5 = </w:t>
      </w:r>
      <w:r>
        <w:rPr>
          <w:i/>
        </w:rPr>
        <w:t>Strongly agree</w:t>
      </w:r>
      <w:r>
        <w:t>), 55 substantive items in total, with one reverse-worded item per construct to disrupt acquiescent response sets. Quality architecture is built into the instrument itself: five eligibility screens (U.S. location; English fluency; audit role within 24 months; continuing-engagement experience; an attestation of independent, first-time completion), two embedded attention checks with directed responses, bot detection, duplicate-respondent prevention, anonymization, and an open-ended item inviting respondents to describe an anchoring episode in their own words. The instrument was administered in Qualtrics.</w:t>
      </w:r>
    </w:p>
    <w:p>
      <w:pPr>
        <w:pStyle w:val="Heading2"/>
      </w:pPr>
      <w:r>
        <w:t>4.5  Data Preparation and Cleaning Protocol</w:t>
      </w:r>
    </w:p>
    <w:p>
      <w:r>
        <w:t>Before any analysis, the dataset passes through a fixed, scripted, order-dependent cleaning sequence. The order matters: each rule is applied before the next so that every exclusion has exactly one recorded cause, and the full log is retained for audit.</w:t>
      </w:r>
    </w:p>
    <w:p>
      <w:pPr>
        <w:pStyle w:val="ListNumber"/>
      </w:pPr>
      <w:r>
        <w:rPr>
          <w:b/>
        </w:rPr>
        <w:t>Remove researcher-generated records.</w:t>
      </w:r>
      <w:r>
        <w:t xml:space="preserve"> Survey previews and any response self-identified as a test entry are removed first.</w:t>
      </w:r>
    </w:p>
    <w:p>
      <w:pPr>
        <w:pStyle w:val="ListNumber"/>
      </w:pPr>
      <w:r>
        <w:rPr>
          <w:b/>
        </w:rPr>
        <w:t>Remove incomplete sessions.</w:t>
      </w:r>
      <w:r>
        <w:t xml:space="preserve"> Responses with Qualtrics </w:t>
      </w:r>
      <w:r>
        <w:rPr>
          <w:rFonts w:ascii="Courier New" w:hAnsi="Courier New"/>
        </w:rPr>
        <w:t>Finished = False</w:t>
      </w:r>
      <w:r>
        <w:t xml:space="preserve"> are removed; partial sessions cannot contribute complete item sets.</w:t>
      </w:r>
    </w:p>
    <w:p>
      <w:pPr>
        <w:pStyle w:val="ListNumber"/>
      </w:pPr>
      <w:r>
        <w:rPr>
          <w:b/>
        </w:rPr>
        <w:t>Remove empty completions.</w:t>
      </w:r>
      <w:r>
        <w:t xml:space="preserve"> Sessions that reached the end but left the substantive Likert blocks blank are removed.</w:t>
      </w:r>
    </w:p>
    <w:p>
      <w:pPr>
        <w:pStyle w:val="ListNumber"/>
      </w:pPr>
      <w:r>
        <w:rPr>
          <w:b/>
        </w:rPr>
        <w:t>Apply eligibility screens.</w:t>
      </w:r>
      <w:r>
        <w:t xml:space="preserve"> The five screens (S1–S5) are applied exactly as fielded; a failed screen excludes the case regardless of the quality of its other answers.</w:t>
      </w:r>
    </w:p>
    <w:p>
      <w:pPr>
        <w:pStyle w:val="ListNumber"/>
      </w:pPr>
      <w:r>
        <w:rPr>
          <w:b/>
        </w:rPr>
        <w:t>Apply attention checks.</w:t>
      </w:r>
      <w:r>
        <w:t xml:space="preserve"> Cases failing either directed-response item are removed.</w:t>
      </w:r>
    </w:p>
    <w:p>
      <w:pPr>
        <w:pStyle w:val="ListNumber"/>
      </w:pPr>
      <w:r>
        <w:rPr>
          <w:b/>
        </w:rPr>
        <w:t>Reverse-code.</w:t>
      </w:r>
      <w:r>
        <w:t xml:space="preserve"> The reverse-worded item in each construct is recoded (6 − x) so all items point in the construct's direction.</w:t>
      </w:r>
    </w:p>
    <w:p>
      <w:pPr>
        <w:pStyle w:val="ListNumber"/>
      </w:pPr>
      <w:r>
        <w:rPr>
          <w:b/>
        </w:rPr>
        <w:t>Missing-data handling.</w:t>
      </w:r>
      <w:r>
        <w:t xml:space="preserve"> For cases surviving steps 1–5 with sporadic item-level missingness below 5% per scale, person-mean imputation within construct is permitted; above that threshold the case is excluded listwise from analyses involving the affected scale.</w:t>
      </w:r>
    </w:p>
    <w:p>
      <w:pPr>
        <w:pStyle w:val="ListNumber"/>
      </w:pPr>
      <w:r>
        <w:rPr>
          <w:b/>
        </w:rPr>
        <w:t>Outlier and response-pattern screening.</w:t>
      </w:r>
      <w:r>
        <w:t xml:space="preserve"> Completion-time outliers (below the 5th percentile of pilot timing, i.e., speeders) are flagged and excluded, as are zero-variance (straight-line) responders across a full block — with straight-lining assessed on the </w:t>
      </w:r>
      <w:r>
        <w:rPr>
          <w:b/>
        </w:rPr>
        <w:t>raw, pre-recoded responses</w:t>
      </w:r>
      <w:r>
        <w:t>, since reverse-coding (step 6) converts an invariant response string into an apparently varied one and would otherwise mask exactly the pattern this screen targets. Long-duration outliers (sessions left open) are flagged but retained if item data are complete.</w:t>
      </w:r>
    </w:p>
    <w:p>
      <w:pPr>
        <w:pStyle w:val="ListNumber"/>
      </w:pPr>
      <w:r>
        <w:rPr>
          <w:b/>
        </w:rPr>
        <w:t>Documentation.</w:t>
      </w:r>
      <w:r>
        <w:t xml:space="preserve"> Every exclusion is written to an exclusion log with the response identifier and its single controlling reason.</w:t>
      </w:r>
    </w:p>
    <w:p>
      <w:pPr>
        <w:pStyle w:val="Heading2"/>
      </w:pPr>
      <w:r>
        <w:t>4.6  Planned Analysis Stage 1 — Exploratory Factor Analysis</w:t>
      </w:r>
    </w:p>
    <w:p>
      <w:r>
        <w:t>The first analytic stage, per the advisor's scope directive of June 30, 2026, is an EFA over the 55 substantive items, executed to the following contract:</w:t>
      </w:r>
    </w:p>
    <w:p>
      <w:pPr>
        <w:pStyle w:val="ListBullet"/>
      </w:pPr>
      <w:r>
        <w:rPr>
          <w:b/>
        </w:rPr>
        <w:t>Suitability tests first.</w:t>
      </w:r>
      <w:r>
        <w:t xml:space="preserve"> Kaiser–Meyer–Olkin sampling adequacy must reach at least .60 (values ≥ .80 preferred), and Bartlett's test of sphericity must be significant (p &lt; .05), before any extraction is interpreted.</w:t>
      </w:r>
    </w:p>
    <w:p>
      <w:pPr>
        <w:pStyle w:val="ListBullet"/>
      </w:pPr>
      <w:r>
        <w:rPr>
          <w:b/>
        </w:rPr>
        <w:t>Extraction method.</w:t>
      </w:r>
      <w:r>
        <w:t xml:space="preserve"> Principal-axis factoring (PAF) — not principal components — because the object is shared common variance among reflective indicators, not total-variance data reduction.</w:t>
      </w:r>
    </w:p>
    <w:p>
      <w:pPr>
        <w:pStyle w:val="ListBullet"/>
      </w:pPr>
      <w:r>
        <w:rPr>
          <w:b/>
        </w:rPr>
        <w:t>Factor-retention decision.</w:t>
      </w:r>
      <w:r>
        <w:t xml:space="preserve"> Convergence of three criteria: eigenvalues greater than 1 (Kaiser) as a screen, inspection of the scree plot's elbow, and — as the deciding criterion where they disagree — parallel analysis against random-data eigenvalues. The theoretical expectation is eleven factors; the data are permitted to disagree.</w:t>
      </w:r>
    </w:p>
    <w:p>
      <w:pPr>
        <w:pStyle w:val="ListBullet"/>
      </w:pPr>
      <w:r>
        <w:rPr>
          <w:b/>
        </w:rPr>
        <w:t>Rotation.</w:t>
      </w:r>
      <w:r>
        <w:t xml:space="preserve"> Both an oblique rotation (Direct Oblimin) and an orthogonal rotation (Varimax) are run; </w:t>
      </w:r>
      <w:r>
        <w:rPr>
          <w:b/>
        </w:rPr>
        <w:t>Direct Oblimin is reported</w:t>
      </w:r>
      <w:r>
        <w:t xml:space="preserve"> as primary because the model's constructs are theorized to correlate, with the Varimax solution retained as a robustness check.</w:t>
      </w:r>
    </w:p>
    <w:p>
      <w:pPr>
        <w:pStyle w:val="ListBullet"/>
      </w:pPr>
      <w:r>
        <w:rPr>
          <w:b/>
        </w:rPr>
        <w:t>Item-retention rules.</w:t>
      </w:r>
      <w:r>
        <w:t xml:space="preserve"> An item is retained when its primary loading is ≥ .40; items loading between .30 and .40 are evaluated case-by-case on theoretical grounds; items below .30, and items cross-loading within .20 of their primary loading on another factor, are candidates for deletion — removed one at a time, re-running the solution after each removal, never in batches.</w:t>
      </w:r>
    </w:p>
    <w:p>
      <w:pPr>
        <w:pStyle w:val="ListBullet"/>
      </w:pPr>
      <w:r>
        <w:rPr>
          <w:b/>
        </w:rPr>
        <w:t>Interpretation.</w:t>
      </w:r>
      <w:r>
        <w:t xml:space="preserve"> A surviving factor requires a minimum of three items and a coherent substantive reading against Chapter 2's construct definitions.</w:t>
      </w:r>
    </w:p>
    <w:p>
      <w:pPr>
        <w:pStyle w:val="Heading2"/>
      </w:pPr>
      <w:r>
        <w:t>4.7  Planned Analysis Stage 2 — Reliability Assessment</w:t>
      </w:r>
    </w:p>
    <w:p>
      <w:r>
        <w:t xml:space="preserve">Each retained factor's internal consistency is assessed with </w:t>
      </w:r>
      <w:r>
        <w:rPr>
          <w:b/>
        </w:rPr>
        <w:t>Cronbach's α</w:t>
      </w:r>
      <w:r>
        <w:t xml:space="preserve">, with the conventional thresholds: ≥ .70 acceptable for early-stage research, ≥ .80 good; values marginally below .70 examined through item–total correlations (items below .30 corrected item–total correlation are deletion candidates) and the "α if item deleted" diagnostic. Where item counts are small, </w:t>
      </w:r>
      <w:r>
        <w:rPr>
          <w:b/>
        </w:rPr>
        <w:t>McDonald's ω</w:t>
      </w:r>
      <w:r>
        <w:t xml:space="preserve"> is computed alongside α as the less assumption-laden estimate. Scale scores for subsequent stages are computed as unit-weighted means of retained items.</w:t>
      </w:r>
    </w:p>
    <w:p>
      <w:pPr>
        <w:pStyle w:val="Heading2"/>
      </w:pPr>
      <w:r>
        <w:t>4.8  Planned Analysis Stage 3 — Confirmatory Factor Analysis</w:t>
      </w:r>
    </w:p>
    <w:p>
      <w:r>
        <w:t xml:space="preserve">With the measurement structure established (ideally on a separate or held-out sample; at minimum clearly labeled as same-sample confirmation), the eleven-factor model is estimated as a CFA: each construct a latent factor, each retained item loading only on its theorized factor, factors permitted to covary, errors uncorrelated unless a specific methodological argument (e.g., shared reverse-wording) justifies a correlated pair. Estimation uses maximum likelihood (robust ML if multivariate normality fails). </w:t>
      </w:r>
      <w:r>
        <w:rPr>
          <w:b/>
        </w:rPr>
        <w:t>Fit is judged on the joint pattern of indices, not any single cutoff:</w:t>
      </w:r>
      <w:r>
        <w:t xml:space="preserve"> the model χ² is reported with its degrees of freedom and p-value (acknowledged as oversensitive at large n), supplemented by the normed chi-square (χ²/df ≤ 3); CFI and TLI ≥ .90 (≥ .95 preferred); RMSEA ≤ .08 (≤ .06 preferred) with its 90% confidence interval reported; and SRMR ≤ .08. Convergent validity requires standardized loadings ≥ .50 (ideally ≥ .70) and average variance extracted ≥ .50; discriminant validity requires each construct's √AVE to exceed its correlations with other constructs (Fornell–Larcker) and HTMT ratios below .85.</w:t>
      </w:r>
    </w:p>
    <w:p>
      <w:pPr>
        <w:pStyle w:val="Heading2"/>
      </w:pPr>
      <w:r>
        <w:t>4.9  Planned Analysis Stage 4 — Regression and Structural Modeling</w:t>
      </w:r>
    </w:p>
    <w:p>
      <w:r>
        <w:t>Two complementary structural approaches were planned to follow a successful measurement stage:</w:t>
      </w:r>
    </w:p>
    <w:p>
      <w:pPr>
        <w:pStyle w:val="ListBullet"/>
      </w:pPr>
      <w:r>
        <w:rPr>
          <w:b/>
        </w:rPr>
        <w:t>Multiple regression.</w:t>
      </w:r>
      <w:r>
        <w:t xml:space="preserve"> RAB regressed on the eight intervention scales, with standard diagnostic discipline: linearity and homoscedasticity by residual inspection; normality of residuals; independence of residuals by Durbin–Watson (acceptable range ≈ 1.5–2.5); multicollinearity screened by VIF &lt; 5 (ideally &lt; 3.3); influential cases screened by Cook's distance (flagged above 4/n) and standardized residuals beyond ±3 examined individually. Hierarchical entry — Step 1: controls (years of external and internal audit experience, primary audit role, and firm type/size); Step 2: the eight intervention scales — to isolate the interventions' incremental explained variance (ΔR²).</w:t>
      </w:r>
    </w:p>
    <w:p>
      <w:pPr>
        <w:pStyle w:val="ListBullet"/>
      </w:pPr>
      <w:r>
        <w:rPr>
          <w:b/>
        </w:rPr>
        <w:t>PLS-SEM.</w:t>
      </w:r>
      <w:r>
        <w:t xml:space="preserve"> Because the full sixteen-hypothesis model includes two mediators and the realistic prospect of modest samples, partial-least-squares structural equation modeling was specified as the structural workhorse, evaluated to explicit thresholds: measurement model — outer loadings ≥ .708 (indicator reliability ≥ .50), composite reliability (ρc, with ρA alongside) ≥ .70, AVE ≥ .50, and discriminant validity by HTMT &lt; .85 (&lt; .90 for conceptually adjacent constructs; Henseler, Ringle, &amp; Sarstedt, 2015); structural model — inner-model collinearity VIF &lt; 3.3–5, bootstrapped path significance (5,000 resamples, percentile CIs), R² for endogenous constructs, and effect sizes f² read against the .02/.15/.35 benchmarks. Minimum sample size is assessed by the inverse square root method now recommended over the older ten-times rule (Hair, Hult, Ringle, &amp; Sarstedt, 2022). PLS-SEM's lower demands made it the designated fallback for samples too small for covariance-based SEM — though, as Chapter 5 reports, even this fallback has a floor the achieved sample did not reach.</w:t>
      </w:r>
    </w:p>
    <w:p>
      <w:pPr>
        <w:pStyle w:val="ListBullet"/>
      </w:pPr>
      <w:r>
        <w:rPr>
          <w:b/>
        </w:rPr>
        <w:t>Mediation.</w:t>
      </w:r>
      <w:r>
        <w:t xml:space="preserve"> The eight mediated hypotheses were to be tested with bootstrapped indirect effects (percentile confidence intervals, 5,000 resamples), not the superseded causal-steps approach.</w:t>
      </w:r>
    </w:p>
    <w:p>
      <w:pPr>
        <w:pStyle w:val="Heading2"/>
      </w:pPr>
      <w:r>
        <w:t>4.10  Software</w:t>
      </w:r>
    </w:p>
    <w:p>
      <w:r>
        <w:t xml:space="preserve">The analysis environment designated for this study is </w:t>
      </w:r>
      <w:r>
        <w:rPr>
          <w:b/>
        </w:rPr>
        <w:t>Jamovi</w:t>
      </w:r>
      <w:r>
        <w:t xml:space="preserve"> (with its factor-analysis and reliability modules, and lavaan-based SEM module for the EFA, reliability, CFA, and regression stages), selected on advisor guidance for transparency and reproducibility. Because Jamovi's SEM module is covariance-based, the PLS-SEM stage is designated to </w:t>
      </w:r>
      <w:r>
        <w:rPr>
          <w:b/>
        </w:rPr>
        <w:t>SmartPLS 4</w:t>
      </w:r>
      <w:r>
        <w:t xml:space="preserve"> (alternatively the R package </w:t>
      </w:r>
      <w:r>
        <w:rPr>
          <w:i/>
        </w:rPr>
        <w:t>seminr</w:t>
      </w:r>
      <w:r>
        <w:t>), which executes the partial-least-squares estimation, bootstrapping, and HTMT/f² output specified in Section 4.9. Scripted screening and data preparation are executed in Python (pandas), with the cleaning script retained under version control so the entire pipeline from raw export to analysis dataset is reproducible.</w:t>
      </w:r>
    </w:p>
    <w:p>
      <w:pPr>
        <w:pStyle w:val="Heading2"/>
      </w:pPr>
      <w:r>
        <w:t>4.11  Ethical Considerations</w:t>
      </w:r>
    </w:p>
    <w:p>
      <w:r>
        <w:t>The study operates under FIU IRB approval (IRB-25-0462): anonymous collection, no identifiers retained, voluntary participation with consent at entry, fixed disclosed compensation for panel participants, and raw response data held privately by the researcher — excluded from the public project repository and from reproduction in this document, consistent with participant confidentiality and platform terms of service.</w:t>
      </w:r>
    </w:p>
    <w:p>
      <w:pPr>
        <w:pStyle w:val="Heading2"/>
      </w:pPr>
      <w:r>
        <w:t>4.12  Conclusion to the Chapter</w:t>
      </w:r>
    </w:p>
    <w:p>
      <w:r>
        <w:t>This chapter has stated the full analytic contract: a scripted cleaning protocol; EFA under PAF with dual rotation and explicit retention rules; reliability by α and ω with item diagnostics; CFA with a joint-fit standard and validity gates; and regression plus PLS-SEM with bootstrapped mediation for the structural stage. The sequence demonstrates what a study of this design requires end-to-end. Chapter 5 now reports the field experience against this plan.</w:t>
      </w:r>
    </w:p>
    <w:p>
      <w:pPr>
        <w:pStyle w:val="Heading1"/>
      </w:pPr>
      <w:r>
        <w:t>CHAPTER 5 — DATA ANALYSIS</w:t>
      </w:r>
    </w:p>
    <w:p>
      <w:pPr>
        <w:pStyle w:val="Heading2"/>
      </w:pPr>
      <w:r>
        <w:t>5.1  Introduction to the Chapter</w:t>
      </w:r>
    </w:p>
    <w:p>
      <w:r>
        <w:t xml:space="preserve">This chapter documents the data-collection effort in full — the pilot, the platforms, the economics, and the obstacles — because in this study the collection experience </w:t>
      </w:r>
      <w:r>
        <w:rPr>
          <w:i/>
        </w:rPr>
        <w:t>is</w:t>
      </w:r>
      <w:r>
        <w:t xml:space="preserve"> the central empirical finding. It then reports the screening outcome and states plainly what the achieved sample permitted and did not permit.</w:t>
      </w:r>
    </w:p>
    <w:p>
      <w:pPr>
        <w:pStyle w:val="Heading2"/>
      </w:pPr>
      <w:r>
        <w:t>5.2  The Pilot Study</w:t>
      </w:r>
    </w:p>
    <w:p>
      <w:r>
        <w:t>A pilot was fielded in late June 2026 through direct LinkedIn invitations to professional contacts. The pilot served its purpose: it confirmed the instrument fields cleanly end-to-end in Qualtrics (73 items across 20 blocks, roughly an 18-minute completion), that the screening and attention-check logic branch correctly, and that respondents understood the items — pilot feedback prompted only in-scope wording refinements, applied before the main launch as version 2.1. The pilot also gave the first warning sign: even among warm professional contacts, completion rates were far below what generic survey benchmarks would predict.</w:t>
      </w:r>
    </w:p>
    <w:p>
      <w:pPr>
        <w:pStyle w:val="Heading2"/>
      </w:pPr>
      <w:r>
        <w:t>5.3  The Main Collection Effort</w:t>
      </w:r>
    </w:p>
    <w:p>
      <w:r>
        <w:t>The survey went live on July 1, 2026. Collection proceeded through the two planned channels, and both underperformed in instructive ways:</w:t>
      </w:r>
    </w:p>
    <w:p>
      <w:pPr>
        <w:pStyle w:val="ListBullet"/>
      </w:pPr>
      <w:r>
        <w:rPr>
          <w:b/>
        </w:rPr>
        <w:t>Organic outreach</w:t>
      </w:r>
      <w:r>
        <w:t xml:space="preserve"> (LinkedIn, professional WhatsApp groups, direct contacts) produced steady but very low volume — a trickle of responses across roughly a month of fielding, counted from the late-June pilot through late July, many of which began the survey but did not finish it.</w:t>
      </w:r>
    </w:p>
    <w:p>
      <w:pPr>
        <w:pStyle w:val="ListBullet"/>
      </w:pPr>
      <w:r>
        <w:rPr>
          <w:b/>
        </w:rPr>
        <w:t>Paid panels</w:t>
      </w:r>
      <w:r>
        <w:t xml:space="preserve"> were engaged next. The CloudResearch launch was prepared at the standard academic rate of $6.00 per completed 18-minute professional response. The primary paid push ran through Prolific, where a panel was funded for the full target of 100 participants — an outlay of approximately $1,000 — with professional-screening filters matching the eligibility criteria. The platform confirmed the study live and visible to participants. </w:t>
      </w:r>
      <w:r>
        <w:rPr>
          <w:b/>
        </w:rPr>
        <w:t>The panel returned almost none of its funded completions.</w:t>
      </w:r>
      <w:r>
        <w:t xml:space="preserve"> The effective cost per usable panel response therefore ran far beyond any planned per-response rate — a budget at which general-population academic samples fill within days.</w:t>
      </w:r>
    </w:p>
    <w:p>
      <w:r>
        <w:t xml:space="preserve">The decisive evidence came from the panel platform's own eligibility machinery. When the study's screeners — U.S.-based, current or recent audit role, multi-year engagement experience — were applied against the platform's participant pool of more than 330,000 registered panelists, </w:t>
      </w:r>
      <w:r>
        <w:rPr>
          <w:b/>
        </w:rPr>
        <w:t>the platform identified only about twenty eligible participants in total</w:t>
      </w:r>
      <w:r>
        <w:t>: a prevalence on the order of six in one hundred thousand. Compensation was not the constraint — the platform's own metrics showed an effective average reward around $28 per hour, well above typical academic-survey rates — nor was study design: a meaningful share of the tiny eligible pool did engage. The constraint was arithmetic. No recruitment budget, at any per-response price, fills one hundred seats from a pool of twenty.</w:t>
      </w:r>
    </w:p>
    <w:p>
      <w:r>
        <w:t xml:space="preserve">The lesson, learned in the field rather than from a textbook, is that the study's population is </w:t>
      </w:r>
      <w:r>
        <w:rPr>
          <w:b/>
        </w:rPr>
        <w:t>narrow to a degree that standard recruitment machinery cannot service</w:t>
      </w:r>
      <w:r>
        <w:t>: panels that deliver hundreds of general-population respondents in a week hold almost no members matching all of this study's filters simultaneously — and the few who match are heavily solicited professionals with little incentive to answer academic surveys at any academic rate.</w:t>
      </w:r>
    </w:p>
    <w:p>
      <w:pPr>
        <w:pStyle w:val="Heading2"/>
      </w:pPr>
      <w:r>
        <w:t>5.4  Screening Outcome</w:t>
      </w:r>
    </w:p>
    <w:p>
      <w:r>
        <w:t xml:space="preserve">Applying the Chapter 4 cleaning protocol to the raw July 2026 export — which spans the full fielding window, from the late-June pilot through the late-July close — produced the following, each step logged: after removing researcher previews and test entries, early abandonments (sessions terminating well before the substantive item blocks), completions with blank substantive blocks, cases failing exactly one eligibility screen, and applying both attention checks, </w:t>
      </w:r>
      <w:r>
        <w:rPr>
          <w:b/>
        </w:rPr>
        <w:t>only four to five usable responses remained</w:t>
      </w:r>
      <w:r>
        <w:t xml:space="preserve"> from several weeks of two-channel collection against a funded target of 100. Documentation of every exclusion, with cause, is retained in the project's screening log and is available to the instructor on request; consistent with participant confidentiality and platform terms, raw response-level data are not reproduced in this document. Two observations from the screening deserve note: no complete, eligible respondent failed an attention check — the respondents who did engage, engaged carefully (the platform's own response-quality index scored the dataset at 95%) — and the open-ended item drew substantive, experience-grounded accounts of anchoring from every usable respondent, consistent in mechanism with the anchoring-and-adjustment theory motivating the model.</w:t>
      </w:r>
    </w:p>
    <w:p>
      <w:pPr>
        <w:pStyle w:val="Heading2"/>
      </w:pPr>
      <w:r>
        <w:t>5.5  Analyses Not Performed</w:t>
      </w:r>
    </w:p>
    <w:p>
      <w:r>
        <w:t xml:space="preserve">Against the analytic contract of Chapter 4, the achieved sample supports none of the planned stages — neither the analyses scoped as this study's requirement nor any subsequent stage of the program. The suitability gates for EFA (KMO, Bartlett's) cannot be meaningfully computed, and a 55-item factoring at this sample size would be arithmetically undefined; reliability coefficients, though mechanically computable, would carry sampling variability so extreme as to be uninformative in either direction; the eleven-factor CFA is unidentified, with free parameters far exceeding observations; regression over eight predictors cannot be estimated; and even PLS-SEM, the designated small-sample fallback, sits far below its own minimum benchmarks. </w:t>
      </w:r>
      <w:r>
        <w:rPr>
          <w:b/>
        </w:rPr>
        <w:t>Accordingly, the required data analyses — the scoped EFA and reliability assessment, and the subsequent CFA, regression, and PLS stages — could not be performed with the data collected.</w:t>
      </w:r>
      <w:r>
        <w:t xml:space="preserve"> No statistical results are reported, because none that could be produced would be interpretable. This section is closed on that finding, and Chapter 6 draws the conclusions it warrants.</w:t>
      </w:r>
    </w:p>
    <w:p>
      <w:pPr>
        <w:pStyle w:val="Heading1"/>
      </w:pPr>
      <w:r>
        <w:t>CHAPTER 6 — CONCLUSIONS</w:t>
      </w:r>
    </w:p>
    <w:p>
      <w:pPr>
        <w:pStyle w:val="Heading2"/>
      </w:pPr>
      <w:r>
        <w:t>6.1  Limitations</w:t>
      </w:r>
    </w:p>
    <w:p>
      <w:r>
        <w:t xml:space="preserve">This study set out to validate an eleven-construct measurement model of anchoring-bias mitigation in long-term audit engagements — with the sixteen hypothesized associations specified as the framework for subsequent structural testing. It could not do so, and the reasons are themselves the study's clearest result. The controlling limitation is the </w:t>
      </w:r>
      <w:r>
        <w:rPr>
          <w:b/>
        </w:rPr>
        <w:t>failure to collect a sufficient sample</w:t>
      </w:r>
      <w:r>
        <w:t>, and its cause is structural rather than procedural: the population of interest — practicing U.S. auditors with continuing-engagement experience — is very small, professionally saturated with solicitations, and barely represented on the research panels that make modern survey research fast. Layered on that are the standard limitations the design would have carried even at full sample: self-report measures of one's own bias susceptibility invite social-desirability and limited-insight distortions; a cross-sectional design cannot order cause and effect; and a single-country frame limits generalizability. But those limitations never became operative, because the study did not reach the sample at which they would matter. What the study does establish is narrower and still real: the instrument fields cleanly, its quality architecture works (careful respondents, clean attention-check performance), and the small number of practitioners who did respond described the anchoring mechanism in terms that match the theory the model is built on.</w:t>
      </w:r>
    </w:p>
    <w:p>
      <w:pPr>
        <w:pStyle w:val="Heading2"/>
      </w:pPr>
      <w:r>
        <w:t>6.2  Recommendations for Future Researchers</w:t>
      </w:r>
    </w:p>
    <w:p>
      <w:r>
        <w:t>Three recommendations follow directly from this experience, offered to any researcher attempting a study of this shape:</w:t>
      </w:r>
    </w:p>
    <w:p>
      <w:pPr>
        <w:pStyle w:val="ListNumber"/>
      </w:pPr>
      <w:r>
        <w:rPr>
          <w:b/>
        </w:rPr>
        <w:t>Start data collection very early — earlier than any timeline suggests is necessary.</w:t>
      </w:r>
      <w:r>
        <w:t xml:space="preserve"> For a population like this one, collection that takes a general-population study a week can take a year. Data collection should open at proposal approval, run continuously in the background, and be treated as the schedule's critical path from day one — not as a stage that begins when the instrument is polished.</w:t>
      </w:r>
    </w:p>
    <w:p>
      <w:pPr>
        <w:pStyle w:val="ListNumber"/>
      </w:pPr>
      <w:r>
        <w:rPr>
          <w:b/>
        </w:rPr>
        <w:t>Set a realistic respondent floor and design to it.</w:t>
      </w:r>
      <w:r>
        <w:t xml:space="preserve"> For a specialized professional population, reaching even </w:t>
      </w:r>
      <w:r>
        <w:rPr>
          <w:b/>
        </w:rPr>
        <w:t>20–30 qualified respondents is a meaningful threshold</w:t>
      </w:r>
      <w:r>
        <w:t xml:space="preserve"> and should be planned for explicitly — through professional associations, firm partnerships, alumni networks, and conference channels rather than open panels — before any analysis requiring hundreds is promised.</w:t>
      </w:r>
    </w:p>
    <w:p>
      <w:pPr>
        <w:pStyle w:val="ListNumber"/>
      </w:pPr>
      <w:r>
        <w:rPr>
          <w:b/>
        </w:rPr>
        <w:t>Reconsider the population definition itself.</w:t>
      </w:r>
      <w:r>
        <w:t xml:space="preserve"> If the research question tolerates it, broaden the frame: accountants and finance professionals generally rather than auditors specifically; industry-adjacent roles with recurring-engagement judgment (credit review, quality assurance, compliance testing); or the general professional population for mechanism-level questions, reserving the specialist sample for a smaller confirmatory stage. A perfectly targeted population that cannot be reached yields less knowledge than a slightly broader one that can.</w:t>
      </w:r>
    </w:p>
    <w:p>
      <w:pPr>
        <w:pStyle w:val="Heading2"/>
      </w:pPr>
      <w:r>
        <w:t>6.3  Transition to the Dissertation</w:t>
      </w:r>
    </w:p>
    <w:p>
      <w:r>
        <w:t xml:space="preserve">The path from this paper to the dissertation is now clearer for having been stress-tested. The measurement model, the fielded instrument, the scripted cleaning pipeline, and the fully specified analytic sequence of Chapter 4 all carry forward intact — the dissertation does not need a new foundation; it needs a reachable sample. That points to deliberate re-scoping: (a) </w:t>
      </w:r>
      <w:r>
        <w:rPr>
          <w:b/>
        </w:rPr>
        <w:t>broaden the population</w:t>
      </w:r>
      <w:r>
        <w:t xml:space="preserve"> along the lines above, so the sampling frame supports factor-analytic sample sizes; (b) </w:t>
      </w:r>
      <w:r>
        <w:rPr>
          <w:b/>
        </w:rPr>
        <w:t>change the venue of recruitment</w:t>
      </w:r>
      <w:r>
        <w:t xml:space="preserve"> from open panels to negotiated access — professional bodies (IIA, AICPA chapters), firm training programs, and international audit communities where the researcher holds direct professional contacts (including London and Canada), subject to IRB scope amendment; and (c) </w:t>
      </w:r>
      <w:r>
        <w:rPr>
          <w:b/>
        </w:rPr>
        <w:t>extend the model where the field is going</w:t>
      </w:r>
      <w:r>
        <w:t xml:space="preserve"> — into the interaction of AI- and LLM-based audit tools with anchoring in audit risk assessment.</w:t>
      </w:r>
    </w:p>
    <w:p>
      <w:r>
        <w:t xml:space="preserve">That third direction is no longer speculative; the literature has moved decisively toward it, and it cuts in two opposing directions that make the research question genuinely open. On one side, AI tooling demonstrably improves audit outcomes at the firm level — greater AI investment is associated with fewer restatements and lower fees (Fedyk, Hodson, Khimich, &amp; Fedyk, 2022) — LLMs now pass professional certification examinations under the right configuration (Eulerich, Sanatizadeh, Vakilzadeh, &amp; Wood, 2024) and are already embedded in real internal-audit workflows, entering the same workpapers where prior-year anchors traditionally live (Emett, Eulerich, Lipinski, Prien, &amp; Wood, 2025); and AI-supported evidence appears to help auditors move clients off management's anchor in adjustment negotiations (Estep, Griffith, &amp; MacKenzie, 2024). On the other side, the bias mechanics do not disappear — they relocate. Experimental evidence shows auditors </w:t>
      </w:r>
      <w:r>
        <w:rPr>
          <w:i/>
        </w:rPr>
        <w:t>discount</w:t>
      </w:r>
      <w:r>
        <w:t xml:space="preserve"> contradictory evidence when it comes from an AI system rather than a human specialist, precisely on the subjective estimates where anchoring bites hardest (Commerford, Dennis, Joe, &amp; Ulla, 2022); identical algorithmic risk signals produce inconsistent risk responses depending on the tool and data familiarity (Koreff, 2022); opaque, unexplainable models push auditors back onto their existing client knowledge — anchoring-by-default in long-term engagements (Kokina, Blanchette, Davenport, &amp; Pachamanova, 2025); and the systematic-review literature now catalogs cognitive-bias transfer between auditors and AI systems as a first-order ethical risk (Murikah, Nthenge, &amp; Musyoka, 2024). Regulators have taken the same view from the institutional side: the PCAOB's generative-AI outreach emphasizes strong human supervision of AI output in audit execution (PCAOB, 2024), and the IAASB is folding automated-tool considerations directly into its audit-evidence standards work (IAASB, 2024) — which is, functionally, the Regulatory &amp; Professional Guidance construct of this study's model applied to algorithmic anchors.</w:t>
      </w:r>
    </w:p>
    <w:p>
      <w:r>
        <w:t xml:space="preserve">The dissertation question therefore writes itself out of this paper's model: </w:t>
      </w:r>
      <w:r>
        <w:rPr>
          <w:b/>
        </w:rPr>
        <w:t>do AI and LLM audit tools attenuate the human anchor, or do they substitute algorithmic anchors of their own — and which of this study's eight interventions govern that difference?</w:t>
      </w:r>
      <w:r>
        <w:t xml:space="preserve"> The present model's constructs map cleanly onto the new terrain: analytical-tool design and explainability onto the aversion/over-reliance boundary, structured processes and independent review onto the supervision of AI-generated content, regulatory guidance onto the emerging oversight regime, and the two mediators — auditor judgment quality and audit process rigor — onto the human-machine calibration the field study literature identifies as the central open problem. The recent anchoring evidence from practicing auditors (Henrizi, Himmelsbach, &amp; Hunziker, 2021) supplies the human-side baseline; this study's instrument, once validated at scale, supplies the measurement. Executed this way, the dissertation converts this paper's hardest lesson — that the data are the constraint — into its design premise, and its subject matter into where audit practice and audit risk are actually heading.</w:t>
      </w:r>
    </w:p>
    <w:p>
      <w:pPr>
        <w:pStyle w:val="Heading2"/>
      </w:pPr>
      <w:r>
        <w:t>6.4  Conclusion</w:t>
      </w:r>
    </w:p>
    <w:p>
      <w:r>
        <w:t>This study did not produce the factor-analytic validation it planned, and this paper has said so without decoration. What it produced instead is a complete, reusable, field-tested research apparatus — theory, model, instrument, quality architecture, cleaning protocol, and a fully specified analysis contract — plus hard-won knowledge about the true cost of reaching a narrow professional population, and preliminary practitioner testimony consistent with the theorized mechanism. In a discipline where most published work begins after someone else has solved the data problem, learning the shape of the data problem firsthand — and redesigning around it — is the genuine contribution of this qualifying study, and the foundation on which the dissertation will be built.</w:t>
      </w:r>
    </w:p>
    <w:p>
      <w:pPr>
        <w:pStyle w:val="Heading1"/>
      </w:pPr>
      <w:r>
        <w:t>REFERENCES — PART I</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Carcello, J. V., &amp; Nagy, A. L. (2004). Audit firm tenure and fraudulent financial reporting. </w:t>
      </w:r>
      <w:r>
        <w:rPr>
          <w:i/>
        </w:rPr>
        <w:t>Auditing: A Journal of Practice &amp; Theory, 23</w:t>
      </w:r>
      <w:r>
        <w:t>(2), 55–69.</w:t>
      </w:r>
    </w:p>
    <w:p>
      <w:pPr>
        <w:pStyle w:val="ListBullet"/>
      </w:pPr>
      <w:r>
        <w:t xml:space="preserve">Carpenter, T. D. (2007). Audit team brainstorming, fraud risk identification, and fraud risk assessment: Implications of SAS No. 99. </w:t>
      </w:r>
      <w:r>
        <w:rPr>
          <w:i/>
        </w:rPr>
        <w:t>The Accounting Review, 82</w:t>
      </w:r>
      <w:r>
        <w:t>(5), 1119–1140.</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DeAngelo, L. E. (1981). Auditor size and audit quality. </w:t>
      </w:r>
      <w:r>
        <w:rPr>
          <w:i/>
        </w:rPr>
        <w:t>Journal of Accounting and Economics, 3</w:t>
      </w:r>
      <w:r>
        <w:t>(3), 183–199.</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Francis, J. R. (2011). A framework for understanding and researching audit quality. </w:t>
      </w:r>
      <w:r>
        <w:rPr>
          <w:i/>
        </w:rPr>
        <w:t>Auditing: A Journal of Practice &amp; Theory, 30</w:t>
      </w:r>
      <w:r>
        <w:t>(2), 125–152.</w:t>
      </w:r>
    </w:p>
    <w:p>
      <w:pPr>
        <w:pStyle w:val="ListBullet"/>
      </w:pPr>
      <w:r>
        <w:t xml:space="preserve">Furnham, A., &amp; Boo, H. C. (2011). A literature review of the anchoring effect. </w:t>
      </w:r>
      <w:r>
        <w:rPr>
          <w:i/>
        </w:rPr>
        <w:t>The Journal of Socio-Economics, 40</w:t>
      </w:r>
      <w:r>
        <w:t>(1), 35–42.</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Brown-Liburd, H., Earley, C. E., &amp; Krishnamoorthy, G. (2013). Research on auditor professional skepticism: Literature synthesis and opportunities for future research. </w:t>
      </w:r>
      <w:r>
        <w:rPr>
          <w:i/>
        </w:rPr>
        <w:t>Auditing: A Journal of Practice &amp; Theory, 32</w:t>
      </w:r>
      <w:r>
        <w:t>(Supplement 1), 45–97.</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Kahneman, D., &amp; Frederick, S. (2002). Representativeness revisited: Attribute substitution in intuitive judgment. In T. Gilovich, D. Griffin, &amp; D. Kahneman (Eds.), </w:t>
      </w:r>
      <w:r>
        <w:rPr>
          <w:i/>
        </w:rPr>
        <w:t>Heuristics and biases: The psychology of intuitive judgment</w:t>
      </w:r>
      <w:r>
        <w:t xml:space="preserve"> (pp. 49–81). Cambridge University Press.</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Lord, C. G., Lepper, M. R., &amp; Preston, E. (1984). Considering the opposite: A corrective strategy for social judgment. </w:t>
      </w:r>
      <w:r>
        <w:rPr>
          <w:i/>
        </w:rPr>
        <w:t>Journal of Personality and Social Psychology, 47</w:t>
      </w:r>
      <w:r>
        <w:t>(6), 1231–1243.</w:t>
      </w:r>
    </w:p>
    <w:p>
      <w:pPr>
        <w:pStyle w:val="ListBullet"/>
      </w:pPr>
      <w:r>
        <w:t xml:space="preserve">Mussweiler, T., &amp; Strack, F. (1999). Hypothesis-consistent testing and semantic priming in the anchoring paradigm: A selective accessibility model. </w:t>
      </w:r>
      <w:r>
        <w:rPr>
          <w:i/>
        </w:rPr>
        <w:t>Journal of Experimental Social Psychology, 35</w:t>
      </w:r>
      <w:r>
        <w:t>(2), 136–164.</w:t>
      </w:r>
    </w:p>
    <w:p>
      <w:pPr>
        <w:pStyle w:val="ListBullet"/>
      </w:pPr>
      <w:r>
        <w:t xml:space="preserve">Mussweiler, T., Strack, F., &amp; Pfeiffer, T. (2000). Overcoming the inevitable anchoring effect: Considering the opposite compensates for selective accessibility. </w:t>
      </w:r>
      <w:r>
        <w:rPr>
          <w:i/>
        </w:rPr>
        <w:t>Personality and Social Psychology Bulletin, 26</w:t>
      </w:r>
      <w:r>
        <w:t>(9), 1142–1150.</w:t>
      </w:r>
    </w:p>
    <w:p>
      <w:pPr>
        <w:pStyle w:val="ListBullet"/>
      </w:pPr>
      <w:r>
        <w:t xml:space="preserve">Myers, J. N., Myers, L. A., &amp; Omer, T. C. (2003). Exploring the term of the auditor-client relationship and the quality of earnings: A case for mandatory auditor rotation? </w:t>
      </w:r>
      <w:r>
        <w:rPr>
          <w:i/>
        </w:rPr>
        <w:t>The Accounting Review, 78</w:t>
      </w:r>
      <w:r>
        <w:t>(3), 779–799.</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Northcraft, G. B., &amp; Neale, M. A. (1987). Experts, amateurs, and real estate: An anchoring-and-adjustment perspective on property pricing decisions. </w:t>
      </w:r>
      <w:r>
        <w:rPr>
          <w:i/>
        </w:rPr>
        <w:t>Organizational Behavior and Human Decision Processes, 39</w:t>
      </w:r>
      <w:r>
        <w:t>(1), 84–97.</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Public Company Accounting Oversight Board. (2015). </w:t>
      </w:r>
      <w:r>
        <w:rPr>
          <w:i/>
        </w:rPr>
        <w:t>PCAOB auditing standards.</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Solomon, I., &amp; Trotman, K. T. (2003). Experimental judgment and decision research in auditing: The first 25 years of AOS. </w:t>
      </w:r>
      <w:r>
        <w:rPr>
          <w:i/>
        </w:rPr>
        <w:t>Accounting, Organizations and Society, 28</w:t>
      </w:r>
      <w:r>
        <w:t>(4), 395–412.</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Tan, H.-T., &amp; Kao, A. (1999). Accountability effects on auditors' performance: The influence of knowledge, problem-solving ability, and task complexity. </w:t>
      </w:r>
      <w:r>
        <w:rPr>
          <w:i/>
        </w:rPr>
        <w:t>Journal of Accounting Research, 37</w:t>
      </w:r>
      <w:r>
        <w:t>(1), 209–223.</w:t>
      </w:r>
    </w:p>
    <w:p>
      <w:pPr>
        <w:pStyle w:val="ListBullet"/>
      </w:pPr>
      <w:r>
        <w:t xml:space="preserve">Tan, H.-T., &amp; Trotman, K. T. (2003). Reviewers' responses to anticipated stylization attempts by preparers of audit workpapers. </w:t>
      </w:r>
      <w:r>
        <w:rPr>
          <w:i/>
        </w:rPr>
        <w:t>The Accounting Review, 78</w:t>
      </w:r>
      <w:r>
        <w:t>(2), 581–605.</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Bauer, T. D., &amp; Humphreys, K. A. (2015). Group judgment and decision making in auditing: Past and future research. </w:t>
      </w:r>
      <w:r>
        <w:rPr>
          <w:i/>
        </w:rPr>
        <w:t>Accounting, Organizations and Society, 47</w:t>
      </w:r>
      <w:r>
        <w:t>, 56–72.</w:t>
      </w:r>
    </w:p>
    <w:p>
      <w:pPr>
        <w:pStyle w:val="ListBullet"/>
      </w:pPr>
      <w:r>
        <w:t xml:space="preserve">Trotman, K. T., Tan, H. C., &amp; Ang, N. (2011). Fifty-year overview of judgment and decision-making research in accounting. </w:t>
      </w:r>
      <w:r>
        <w:rPr>
          <w:i/>
        </w:rPr>
        <w:t>Accounting &amp; Finance, 51</w:t>
      </w:r>
      <w:r>
        <w:t>(1), 278–360.</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Tversky, A., &amp; Kahneman, D. (1974). Judgment under uncertainty: Heuristics and biases. </w:t>
      </w:r>
      <w:r>
        <w:rPr>
          <w:i/>
        </w:rPr>
        <w:t>Science, 185</w:t>
      </w:r>
      <w:r>
        <w:t>(4157), 1124–1131.</w:t>
      </w:r>
    </w:p>
    <w:p>
      <w:pPr>
        <w:pStyle w:val="ListBullet"/>
      </w:pPr>
      <w:r>
        <w:t xml:space="preserve">Vasarhelyi, M. A., Alles, M. G., &amp; Kogan, A. (2004). Principles of analytic monitoring for continuous assurance. </w:t>
      </w:r>
      <w:r>
        <w:rPr>
          <w:i/>
        </w:rPr>
        <w:t>Journal of Emerging Technologies in Accounting, 1</w:t>
      </w:r>
      <w:r>
        <w:t>(1), 1–21.</w:t>
      </w:r>
    </w:p>
    <w:p>
      <w:pPr>
        <w:pStyle w:val="ListBullet"/>
      </w:pPr>
      <w:r>
        <w:t xml:space="preserve">Wilson, T. D., Houston, C. E., Etling, K. M., &amp; Brekke, N. (1996). A new look at anchoring effects: Basic anchoring and its antecedents. </w:t>
      </w:r>
      <w:r>
        <w:rPr>
          <w:i/>
        </w:rPr>
        <w:t>Journal of Experimental Psychology: General, 125</w:t>
      </w:r>
      <w:r>
        <w:t>(4), 387–402.</w:t>
      </w:r>
    </w:p>
    <w:p>
      <w:pPr>
        <w:pStyle w:val="ListBullet"/>
      </w:pPr>
      <w:r>
        <w:t xml:space="preserve">Yoon, K., Hoogduin, L., &amp; Zhang, L. (2015). Big data as complementary audit evidence. </w:t>
      </w:r>
      <w:r>
        <w:rPr>
          <w:i/>
        </w:rPr>
        <w:t>Accounting Horizons, 29</w:t>
      </w:r>
      <w:r>
        <w:t>(2), 431–438.</w:t>
      </w:r>
    </w:p>
    <w:p>
      <w:pPr>
        <w:pStyle w:val="Heading1"/>
      </w:pPr>
      <w:r>
        <w:t>REFERENCES — PART II (CHAPTERS 1 AND 4–6; pending merge into Part I)</w:t>
      </w:r>
    </w:p>
    <w:p>
      <w:pPr>
        <w:pStyle w:val="ListBullet"/>
      </w:pPr>
      <w:r>
        <w:t xml:space="preserve">Commerford, B. P., Dennis, S. A., Joe, J. R., &amp; Ulla, J. W. (2022). Man versus machine: Complex estimates and auditor reliance on artificial intelligence. </w:t>
      </w:r>
      <w:r>
        <w:rPr>
          <w:i/>
        </w:rPr>
        <w:t>Journal of Accounting Research, 60</w:t>
      </w:r>
      <w:r>
        <w:t>(1), 171–201. https://doi.org/10.1111/1475-679X.12407</w:t>
      </w:r>
    </w:p>
    <w:p>
      <w:pPr>
        <w:pStyle w:val="ListBullet"/>
      </w:pPr>
      <w:r>
        <w:t xml:space="preserve">Emett, S. A., Eulerich, M., Lipinski, E., Prien, N., &amp; Wood, D. A. (2025). Leveraging ChatGPT for enhancing the internal audit process — A real-world example from Uniper, a large multinational company. </w:t>
      </w:r>
      <w:r>
        <w:rPr>
          <w:i/>
        </w:rPr>
        <w:t>Accounting Horizons, 39</w:t>
      </w:r>
      <w:r>
        <w:t>(2), 125–135. https://doi.org/10.2308/HORIZONS-2023-111</w:t>
      </w:r>
    </w:p>
    <w:p>
      <w:pPr>
        <w:pStyle w:val="ListBullet"/>
      </w:pPr>
      <w:r>
        <w:t xml:space="preserve">Estep, C., Griffith, E. E., &amp; MacKenzie, N. L. (2024). How do financial executives respond to the use of artificial intelligence in financial reporting and auditing? </w:t>
      </w:r>
      <w:r>
        <w:rPr>
          <w:i/>
        </w:rPr>
        <w:t>Review of Accounting Studies, 29</w:t>
      </w:r>
      <w:r>
        <w:t>(3), 2798–2831. https://doi.org/10.1007/s11142-023-09771-y</w:t>
      </w:r>
    </w:p>
    <w:p>
      <w:pPr>
        <w:pStyle w:val="ListBullet"/>
      </w:pPr>
      <w:r>
        <w:t xml:space="preserve">Eulerich, M., Sanatizadeh, A., Vakilzadeh, H., &amp; Wood, D. A. (2024). Is it all hype? ChatGPT's performance and disruptive potential in the accounting and auditing industries. </w:t>
      </w:r>
      <w:r>
        <w:rPr>
          <w:i/>
        </w:rPr>
        <w:t>Review of Accounting Studies, 29</w:t>
      </w:r>
      <w:r>
        <w:t>(3), 2318–2349. https://doi.org/10.1007/s11142-024-09833-9</w:t>
      </w:r>
    </w:p>
    <w:p>
      <w:pPr>
        <w:pStyle w:val="ListBullet"/>
      </w:pPr>
      <w:r>
        <w:t xml:space="preserve">Fedyk, A., Hodson, J., Khimich, N., &amp; Fedyk, T. (2022). Is artificial intelligence improving the audit process? </w:t>
      </w:r>
      <w:r>
        <w:rPr>
          <w:i/>
        </w:rPr>
        <w:t>Review of Accounting Studies, 27</w:t>
      </w:r>
      <w:r>
        <w:t>(3), 938–985. https://doi.org/10.1007/s11142-022-09697-x</w:t>
      </w:r>
    </w:p>
    <w:p>
      <w:pPr>
        <w:pStyle w:val="ListBullet"/>
      </w:pPr>
      <w:r>
        <w:t xml:space="preserve">Fornell, C., &amp; Larcker, D. F. (1981). Evaluating structural equation models with unobservable variables and measurement error. </w:t>
      </w:r>
      <w:r>
        <w:rPr>
          <w:i/>
        </w:rPr>
        <w:t>Journal of Marketing Research, 18</w:t>
      </w:r>
      <w:r>
        <w:t>(1), 39–50.</w:t>
      </w:r>
    </w:p>
    <w:p>
      <w:pPr>
        <w:pStyle w:val="ListBullet"/>
      </w:pPr>
      <w:r>
        <w:t xml:space="preserve">Hair, J. F., Black, W. C., Babin, B. J., &amp; Anderson, R. E. (2019). </w:t>
      </w:r>
      <w:r>
        <w:rPr>
          <w:i/>
        </w:rPr>
        <w:t>Multivariate data analysis</w:t>
      </w:r>
      <w:r>
        <w:t xml:space="preserve"> (8th ed.). Cengage.</w:t>
      </w:r>
    </w:p>
    <w:p>
      <w:pPr>
        <w:pStyle w:val="ListBullet"/>
      </w:pPr>
      <w:r>
        <w:t xml:space="preserve">Hair, J. F., Hult, G. T. M., Ringle, C. M., &amp; Sarstedt, M. (2022). </w:t>
      </w:r>
      <w:r>
        <w:rPr>
          <w:i/>
        </w:rPr>
        <w:t>A primer on partial least squares structural equation modeling (PLS-SEM)</w:t>
      </w:r>
      <w:r>
        <w:t xml:space="preserve"> (3rd ed.). Sage.</w:t>
      </w:r>
    </w:p>
    <w:p>
      <w:pPr>
        <w:pStyle w:val="ListBullet"/>
      </w:pPr>
      <w:r>
        <w:t xml:space="preserve">Henrizi, P., Himmelsbach, D., &amp; Hunziker, S. (2021). Anchoring and adjustment effects on audit judgments: Experimental evidence from Switzerland. </w:t>
      </w:r>
      <w:r>
        <w:rPr>
          <w:i/>
        </w:rPr>
        <w:t>Journal of Applied Accounting Research, 22</w:t>
      </w:r>
      <w:r>
        <w:t>(4), 598–621. https://doi.org/10.1108/JAAR-01-2020-0011</w:t>
      </w:r>
    </w:p>
    <w:p>
      <w:pPr>
        <w:pStyle w:val="ListBullet"/>
      </w:pPr>
      <w:r>
        <w:t xml:space="preserve">Henseler, J., Ringle, C. M., &amp; Sarstedt, M. (2015). A new criterion for assessing discriminant validity in variance-based structural equation modeling. </w:t>
      </w:r>
      <w:r>
        <w:rPr>
          <w:i/>
        </w:rPr>
        <w:t>Journal of the Academy of Marketing Science, 43</w:t>
      </w:r>
      <w:r>
        <w:t>(1), 115–135.</w:t>
      </w:r>
    </w:p>
    <w:p>
      <w:pPr>
        <w:pStyle w:val="ListBullet"/>
      </w:pPr>
      <w:r>
        <w:t xml:space="preserve">International Auditing and Assurance Standards Board. (2024). </w:t>
      </w:r>
      <w:r>
        <w:rPr>
          <w:i/>
        </w:rPr>
        <w:t>Technology position and focus area resources.</w:t>
      </w:r>
      <w:r>
        <w:t xml:space="preserve"> IAASB. https://www.iaasb.org/focus-areas/technology</w:t>
      </w:r>
    </w:p>
    <w:p>
      <w:pPr>
        <w:pStyle w:val="ListBullet"/>
      </w:pPr>
      <w:r>
        <w:t xml:space="preserve">Kaiser, H. F. (1974). An index of factorial simplicity. </w:t>
      </w:r>
      <w:r>
        <w:rPr>
          <w:i/>
        </w:rPr>
        <w:t>Psychometrika, 39</w:t>
      </w:r>
      <w:r>
        <w:t>(1), 31–36.</w:t>
      </w:r>
    </w:p>
    <w:p>
      <w:pPr>
        <w:pStyle w:val="ListBullet"/>
      </w:pPr>
      <w:r>
        <w:t xml:space="preserve">Kokina, J., Blanchette, S., Davenport, T. H., &amp; Pachamanova, D. (2025). Challenges and opportunities for artificial intelligence in auditing: Evidence from the field. </w:t>
      </w:r>
      <w:r>
        <w:rPr>
          <w:i/>
        </w:rPr>
        <w:t>International Journal of Accounting Information Systems, 56</w:t>
      </w:r>
      <w:r>
        <w:t>, 100734. https://doi.org/10.1016/j.accinf.2025.100734</w:t>
      </w:r>
    </w:p>
    <w:p>
      <w:pPr>
        <w:pStyle w:val="ListBullet"/>
      </w:pPr>
      <w:r>
        <w:t xml:space="preserve">Koreff, J. (2022). Are auditors' reliance on conclusions from data analytics impacted by different data analytic inputs? </w:t>
      </w:r>
      <w:r>
        <w:rPr>
          <w:i/>
        </w:rPr>
        <w:t>Journal of Information Systems, 36</w:t>
      </w:r>
      <w:r>
        <w:t>(1), 19–37. https://doi.org/10.2308/ISYS-19-051</w:t>
      </w:r>
    </w:p>
    <w:p>
      <w:pPr>
        <w:pStyle w:val="ListBullet"/>
      </w:pPr>
      <w:r>
        <w:t xml:space="preserve">MacCallum, R. C., Widaman, K. F., Zhang, S., &amp; Hong, S. (1999). Sample size in factor analysis. </w:t>
      </w:r>
      <w:r>
        <w:rPr>
          <w:i/>
        </w:rPr>
        <w:t>Psychological Methods, 4</w:t>
      </w:r>
      <w:r>
        <w:t>(1), 84–99.</w:t>
      </w:r>
    </w:p>
    <w:p>
      <w:pPr>
        <w:pStyle w:val="ListBullet"/>
      </w:pPr>
      <w:r>
        <w:t xml:space="preserve">McDonald, R. P. (1999). </w:t>
      </w:r>
      <w:r>
        <w:rPr>
          <w:i/>
        </w:rPr>
        <w:t>Test theory: A unified treatment.</w:t>
      </w:r>
      <w:r>
        <w:t xml:space="preserve"> Erlbaum.</w:t>
      </w:r>
    </w:p>
    <w:p>
      <w:pPr>
        <w:pStyle w:val="ListBullet"/>
      </w:pPr>
      <w:r>
        <w:t xml:space="preserve">Murikah, W., Nthenge, J. K., &amp; Musyoka, F. M. (2024). Bias and ethics of AI systems applied in auditing — A systematic review. </w:t>
      </w:r>
      <w:r>
        <w:rPr>
          <w:i/>
        </w:rPr>
        <w:t>Scientific African, 25</w:t>
      </w:r>
      <w:r>
        <w:t>, e02281. https://doi.org/10.1016/j.sciaf.2024.e02281</w:t>
      </w:r>
    </w:p>
    <w:p>
      <w:pPr>
        <w:pStyle w:val="ListBullet"/>
      </w:pPr>
      <w:r>
        <w:t xml:space="preserve">Public Company Accounting Oversight Board. (2024). </w:t>
      </w:r>
      <w:r>
        <w:rPr>
          <w:i/>
        </w:rPr>
        <w:t>Spotlight: Staff update on outreach activities related to the integration of generative artificial intelligence in audits and financial reporting.</w:t>
      </w:r>
      <w:r>
        <w:t xml:space="preserve"> PCAOB. https://pcaobus.org/documents/generative-ai-spotlight.pdf</w:t>
      </w:r>
    </w:p>
    <w:p>
      <w:pPr>
        <w:pStyle w:val="Heading1"/>
      </w:pPr>
      <w:r>
        <w:t>APPENDIX A — MEASUREMENT INSTRUMENT (AS FIELDED — v2.1, IRB-25-0462)</w:t>
      </w:r>
    </w:p>
    <w:p>
      <w:pPr>
        <w:ind w:left="432"/>
      </w:pPr>
      <w:r>
        <w:rPr>
          <w:b/>
        </w:rPr>
        <w:t>Note.</w:t>
      </w:r>
      <w:r>
        <w:t xml:space="preserve"> The items below are the instrument as fielded (version 2.1, July 2026) under IRB-25-0462, operationalizing the eleven constructs at five items per factor. Items marked </w:t>
      </w:r>
      <w:r>
        <w:rPr>
          <w:b/>
        </w:rPr>
        <w:t>(R)</w:t>
      </w:r>
      <w:r>
        <w:t xml:space="preserve"> are reverse-coded; two attention checks are embedded.</w:t>
      </w: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