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Request to Dr. Rey — Thursday July 2, 11:00 AM</w:t>
      </w:r>
    </w:p>
    <w:p>
      <w:r>
        <w:rPr>
          <w:b/>
        </w:rPr>
        <w:t>To:</w:t>
      </w:r>
      <w:r>
        <w:t xml:space="preserve"> Prof. Dr. Juan Rey | </w:t>
      </w:r>
      <w:r>
        <w:rPr>
          <w:b/>
        </w:rPr>
        <w:t>From:</w:t>
      </w:r>
      <w:r>
        <w:t xml:space="preserve"> Yasir A. Malik | </w:t>
      </w:r>
      <w:r>
        <w:rPr>
          <w:b/>
        </w:rPr>
        <w:t>Date:</w:t>
      </w:r>
      <w:r>
        <w:t xml:space="preserve"> June 30, 2026</w:t>
      </w:r>
    </w:p>
    <w:p>
      <w:r>
        <w:rPr>
          <w:b/>
        </w:rPr>
        <w:t>Re:</w:t>
      </w:r>
      <w:r>
        <w:t xml:space="preserve"> Meeting request — specific methodological questions</w:t>
      </w:r>
    </w:p>
    <w:p>
      <w:pPr>
        <w:ind w:left="432"/>
      </w:pPr>
      <w:r>
        <w:rPr>
          <w:b/>
        </w:rPr>
        <w:t>Framing note (important):</w:t>
      </w:r>
      <w:r>
        <w:t xml:space="preserve"> Dr. Rey's class email states he will NOT pre-review manuscripts or completed sections, but he </w:t>
      </w:r>
      <w:r>
        <w:rPr>
          <w:i/>
        </w:rPr>
        <w:t>does</w:t>
      </w:r>
      <w:r>
        <w:t xml:space="preserve"> welcome </w:t>
      </w:r>
      <w:r>
        <w:rPr>
          <w:b/>
        </w:rPr>
        <w:t>specific methodological questions in advance</w:t>
      </w:r>
      <w:r>
        <w:t>. This email is written to stay cleanly inside that boundary — it asks targeted method questions, not for a review or evaluation.</w:t>
      </w:r>
    </w:p>
    <w:p>
      <w:r>
        <w:br/>
      </w:r>
    </w:p>
    <w:p>
      <w:pPr>
        <w:pStyle w:val="Heading2"/>
      </w:pPr>
      <w:r>
        <w:t>Email to send (copy-paste)</w:t>
      </w:r>
    </w:p>
    <w:p>
      <w:pPr>
        <w:ind w:left="432"/>
      </w:pPr>
      <w:r>
        <w:rPr>
          <w:b/>
        </w:rPr>
        <w:t>Subject:</w:t>
      </w:r>
      <w:r>
        <w:t xml:space="preserve"> Re: Meeting — Thursday, July 2 at 11:00 AM (specific methodology questions)</w:t>
      </w:r>
    </w:p>
    <w:p>
      <w:r>
        <w:t>&gt;</w:t>
      </w:r>
    </w:p>
    <w:p>
      <w:pPr>
        <w:ind w:left="432"/>
      </w:pPr>
      <w:r>
        <w:t>Dr. Rey,</w:t>
      </w:r>
    </w:p>
    <w:p>
      <w:r>
        <w:t>&gt;</w:t>
      </w:r>
    </w:p>
    <w:p>
      <w:pPr>
        <w:ind w:left="432"/>
      </w:pPr>
      <w:r>
        <w:t>Thank you for the clarification on the qualifying-examination expectations — understood. I will rely on the Canvas rubric and the prior-course analysis materials for my final draft, and I am treating the work as my own independent application.</w:t>
      </w:r>
    </w:p>
    <w:p>
      <w:r>
        <w:t>&gt;</w:t>
      </w:r>
    </w:p>
    <w:p>
      <w:pPr>
        <w:ind w:left="432"/>
      </w:pPr>
      <w:r>
        <w:t xml:space="preserve">Could we meet </w:t>
      </w:r>
      <w:r>
        <w:rPr>
          <w:b/>
        </w:rPr>
        <w:t>Thursday, July 2 at 11:00 AM</w:t>
      </w:r>
      <w:r>
        <w:t>? I would keep it focused on a few specific methodological questions in advance of running my analysis, consistent with your guidance:</w:t>
      </w:r>
    </w:p>
    <w:p>
      <w:r>
        <w:t>&gt;</w:t>
      </w:r>
    </w:p>
    <w:p>
      <w:pPr>
        <w:ind w:left="432"/>
      </w:pPr>
      <w:r>
        <w:t xml:space="preserve">1. Given 55 construct items across 11 factors, what subject-to-item ratio or minimum </w:t>
      </w:r>
      <w:r>
        <w:rPr>
          <w:i/>
        </w:rPr>
        <w:t>n</w:t>
      </w:r>
      <w:r>
        <w:t xml:space="preserve"> would you consider acceptable for the EFA if recruitment runs tight?</w:t>
      </w:r>
    </w:p>
    <w:p>
      <w:pPr>
        <w:ind w:left="432"/>
      </w:pPr>
      <w:r>
        <w:t>2. Because the constructs are theorized to be correlated, would you advise an oblique rotation (e.g., promax) rather than varimax?</w:t>
      </w:r>
    </w:p>
    <w:p>
      <w:pPr>
        <w:ind w:left="432"/>
      </w:pPr>
      <w:r>
        <w:t>3. For the mediation tests (PROCESS Model 4), do you prefer factor scores or scale means as the construct inputs?</w:t>
      </w:r>
    </w:p>
    <w:p>
      <w:pPr>
        <w:ind w:left="432"/>
      </w:pPr>
      <w:r>
        <w:t>4. Is there a threshold or handling you prefer if a construct's items cross-load or under-load (&lt; .40)?</w:t>
      </w:r>
    </w:p>
    <w:p>
      <w:r>
        <w:t>&gt;</w:t>
      </w:r>
    </w:p>
    <w:p>
      <w:pPr>
        <w:ind w:left="432"/>
      </w:pPr>
      <w:r>
        <w:t>Data collection is launching now; I expect the bulk of responses within 7–8 days. If 11:00 AM on July 2 works, I'll hold it; otherwise, please send a time that suits you and I'll join your Zoom.</w:t>
      </w:r>
    </w:p>
    <w:p>
      <w:r>
        <w:t>&gt;</w:t>
      </w:r>
    </w:p>
    <w:p>
      <w:pPr>
        <w:ind w:left="432"/>
      </w:pPr>
      <w:r>
        <w:t>Best regards,</w:t>
      </w:r>
    </w:p>
    <w:p>
      <w:pPr>
        <w:ind w:left="432"/>
      </w:pPr>
      <w:r>
        <w:t>Yasir A. Malik</w:t>
      </w:r>
    </w:p>
    <w:p>
      <w:pPr>
        <w:ind w:left="432"/>
      </w:pPr>
      <w:r>
        <w:t>PID 1687105 | FIU DBA Cohort 7.16</w:t>
      </w:r>
    </w:p>
    <w:p>
      <w:r>
        <w:br/>
      </w:r>
    </w:p>
    <w:p>
      <w:pPr>
        <w:pStyle w:val="Heading2"/>
      </w:pPr>
      <w:r>
        <w:t>Why these four questions (so you can speak to them)</w:t>
      </w:r>
    </w:p>
    <w:p>
      <w:pPr>
        <w:pStyle w:val="ListNumber"/>
      </w:pPr>
      <w:r>
        <w:rPr>
          <w:b/>
        </w:rPr>
        <w:t>Minimum n</w:t>
      </w:r>
      <w:r>
        <w:t xml:space="preserve"> — protects you if CloudResearch yields, say, 45 instead of 80; you'll know the acceptable floor in advance.</w:t>
      </w:r>
    </w:p>
    <w:p>
      <w:pPr>
        <w:pStyle w:val="ListNumber"/>
      </w:pPr>
      <w:r>
        <w:rPr>
          <w:b/>
        </w:rPr>
        <w:t>Rotation choice</w:t>
      </w:r>
      <w:r>
        <w:t xml:space="preserve"> — your model has correlated constructs (interventions → mediators), so promax (oblique) is arguably more defensible than varimax (orthogonal). Asking shows independent methodological judgment.</w:t>
      </w:r>
    </w:p>
    <w:p>
      <w:pPr>
        <w:pStyle w:val="ListNumber"/>
      </w:pPr>
      <w:r>
        <w:rPr>
          <w:b/>
        </w:rPr>
        <w:t>Factor scores vs scale means</w:t>
      </w:r>
      <w:r>
        <w:t xml:space="preserve"> — a real fork for the mediation; getting his preference now avoids a redo later.</w:t>
      </w:r>
    </w:p>
    <w:p>
      <w:pPr>
        <w:pStyle w:val="ListNumber"/>
      </w:pPr>
      <w:r>
        <w:rPr>
          <w:b/>
        </w:rPr>
        <w:t>Cross-loading rule</w:t>
      </w:r>
      <w:r>
        <w:t xml:space="preserve"> — pre-deciding the .40 threshold and the drop/keep rule keeps the EFA defensible and rubric-aligned.</w:t>
      </w:r>
    </w:p>
    <w:p>
      <w:r>
        <w:t>A calendar hold for July 2, 11:00 AM ET has been placed on your calendar (no invite sent to Dr. Rey — he'll send the Zoom).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