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Delivery Failure — Resend to Dr. Rey (plain text, no attachments)</w:t>
      </w:r>
    </w:p>
    <w:p>
      <w:pPr>
        <w:pStyle w:val="Heading2"/>
      </w:pPr>
      <w:r>
        <w:t>What happened</w:t>
      </w:r>
    </w:p>
    <w:p>
      <w:r>
        <w:t>The Jul 22 email (</w:t>
      </w:r>
      <w:r>
        <w:rPr>
          <w:rFonts w:ascii="Courier New" w:hAnsi="Courier New"/>
        </w:rPr>
        <w:t>2026-07-22_Rey_data_reality_prefriday.md</w:t>
      </w:r>
      <w:r>
        <w:t>) with two CSV attachments appears to have triggered an automatic encryption wrapper on FIU's email system (likely DLP policy on attachments containing human-subjects data). Dr. Rey could not open it and did not receive the substantive content — leading him to believe he'd been left waiting at Friday's meeting with no word from Yasir. This was a delivery failure, not a follow-through failure.</w:t>
      </w:r>
    </w:p>
    <w:p>
      <w:pPr>
        <w:pStyle w:val="Heading2"/>
      </w:pPr>
      <w:r>
        <w:t>Fix</w:t>
      </w:r>
    </w:p>
    <w:p>
      <w:r>
        <w:t xml:space="preserve">Resent the identical substance in plain text, </w:t>
      </w:r>
      <w:r>
        <w:rPr>
          <w:b/>
        </w:rPr>
        <w:t>no attachments</w:t>
      </w:r>
      <w:r>
        <w:t xml:space="preserve"> (CSVs withheld — offer to share dataset via a secure, non-email channel instead). Also proactively proposed a new meeting time since the original Friday passed during the delivery gap.</w:t>
      </w:r>
    </w:p>
    <w:p>
      <w:pPr>
        <w:pStyle w:val="Heading2"/>
      </w:pPr>
      <w:r>
        <w:t>Lesson for future correspondence with this recipient</w:t>
      </w:r>
    </w:p>
    <w:p>
      <w:r>
        <w:t>Avoid attaching data files (CSV/XLSX) directly to emails to jcrey@fiu.edu — route sensitive data through a secure share link instead, and confirm receipt of substantive emails when they matter for a deadline.</w:t>
      </w:r>
    </w:p>
    <w:p>
      <w:pPr>
        <w:pStyle w:val="Heading2"/>
      </w:pPr>
      <w:r>
        <w:t>Status</w:t>
      </w:r>
    </w:p>
    <w:p>
      <w:r>
        <w:t>Resend sent — awaiting his reply on: (1) eligibility/geographic scope + London/Canada recruiting, (2) pilot-study framing, (3) new meeting time.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