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32"/>
        </w:rPr>
        <w:t>LinkedIn Outreach Pack</w:t>
      </w:r>
    </w:p>
    <w:p>
      <w:pPr>
        <w:spacing w:after="240"/>
        <w:jc w:val="center"/>
      </w:pPr>
      <w:r>
        <w:rPr>
          <w:rFonts w:ascii="Calibri" w:hAnsi="Calibri"/>
          <w:b w:val="0"/>
          <w:i/>
          <w:sz w:val="22"/>
        </w:rPr>
        <w:t>Anchoring Bias in Long-Term Auditor Engagements</w:t>
      </w:r>
    </w:p>
    <w:p>
      <w:pPr>
        <w:spacing w:after="120"/>
      </w:pPr>
      <w:r>
        <w:rPr>
          <w:rFonts w:ascii="Calibri" w:hAnsi="Calibri"/>
          <w:b w:val="0"/>
          <w:i w:val="0"/>
          <w:sz w:val="22"/>
        </w:rPr>
        <w:t>This pack contains the IRB-approved recruitment copy for LinkedIn outreach, one of three recruitment channels authorized under FIU IRB Protocol IRB-25-0462 (alongside the MTurk HIT and IIA chapter referrals). The survey is hosted on FIU Qualtrics, takes approximately 18 minutes to complete, and is fully anonymous. Eligible respondents must have at least two years of internal or external audit experience and meaningful exposure to long-term client engagements. Advisor sign-off from Prof. Dr. Juan Rey is required before any of the templates below are sent.</w:t>
      </w:r>
    </w:p>
    <w:p>
      <w:pPr>
        <w:keepNext/>
        <w:spacing w:before="240" w:after="120"/>
      </w:pPr>
      <w:r>
        <w:rPr>
          <w:rFonts w:ascii="Calibri" w:hAnsi="Calibri"/>
          <w:b/>
          <w:i w:val="0"/>
          <w:sz w:val="28"/>
        </w:rPr>
        <w:t>Template A — Connection Request (≤ 300 characters, LinkedIn limit)</w:t>
      </w:r>
    </w:p>
    <w:p>
      <w:pPr>
        <w:spacing w:after="120"/>
      </w:pPr>
      <w:r>
        <w:rPr>
          <w:rFonts w:ascii="Calibri" w:hAnsi="Calibri"/>
          <w:b w:val="0"/>
          <w:i/>
          <w:sz w:val="22"/>
        </w:rPr>
        <w:t>Use one of the variants below as the connection-request note. Do not include any survey link in this step — LinkedIn deprioritizes or flags connection requests that carry external links, and the survey link is delivered only after the connection is accepted.</w:t>
      </w:r>
    </w:p>
    <w:p>
      <w:pPr>
        <w:keepNext/>
        <w:spacing w:before="200" w:after="80"/>
      </w:pPr>
      <w:r>
        <w:rPr>
          <w:rFonts w:ascii="Calibri" w:hAnsi="Calibri"/>
          <w:b/>
          <w:i w:val="0"/>
          <w:sz w:val="24"/>
        </w:rPr>
        <w:t>Variant 1 (general)</w:t>
      </w:r>
    </w:p>
    <w:p>
      <w:pPr>
        <w:spacing w:after="120"/>
      </w:pPr>
      <w:r>
        <w:rPr>
          <w:rFonts w:ascii="Calibri" w:hAnsi="Calibri"/>
          <w:b w:val="0"/>
          <w:i w:val="0"/>
          <w:sz w:val="22"/>
        </w:rPr>
        <w:t>"Hi [First Name] — I'm Yasir, a DBA candidate at FIU researching how audit-process interventions reduce anchoring bias in long-term client engagements. IRB-approved academic study; would love to connect with experienced internal/external auditors."</w:t>
      </w:r>
    </w:p>
    <w:p>
      <w:pPr>
        <w:keepNext/>
        <w:spacing w:before="200" w:after="80"/>
      </w:pPr>
      <w:r>
        <w:rPr>
          <w:rFonts w:ascii="Calibri" w:hAnsi="Calibri"/>
          <w:b/>
          <w:i w:val="0"/>
          <w:sz w:val="24"/>
        </w:rPr>
        <w:t>Variant 2 (internal-audit lean)</w:t>
      </w:r>
    </w:p>
    <w:p>
      <w:pPr>
        <w:spacing w:after="120"/>
      </w:pPr>
      <w:r>
        <w:rPr>
          <w:rFonts w:ascii="Calibri" w:hAnsi="Calibri"/>
          <w:b w:val="0"/>
          <w:i w:val="0"/>
          <w:sz w:val="22"/>
        </w:rPr>
        <w:t>"Hi [First Name] — FIU DBA candidate here, studying anchoring bias on recurring internal-audit engagements. IRB-approved academic research, no sales pitch. Would value connecting with an experienced internal auditor — happy to share findings later."</w:t>
      </w:r>
    </w:p>
    <w:p>
      <w:pPr>
        <w:keepNext/>
        <w:spacing w:before="200" w:after="80"/>
      </w:pPr>
      <w:r>
        <w:rPr>
          <w:rFonts w:ascii="Calibri" w:hAnsi="Calibri"/>
          <w:b/>
          <w:i w:val="0"/>
          <w:sz w:val="24"/>
        </w:rPr>
        <w:t>Variant 3 (external/public-accounting lean)</w:t>
      </w:r>
    </w:p>
    <w:p>
      <w:pPr>
        <w:spacing w:after="120"/>
      </w:pPr>
      <w:r>
        <w:rPr>
          <w:rFonts w:ascii="Calibri" w:hAnsi="Calibri"/>
          <w:b w:val="0"/>
          <w:i w:val="0"/>
          <w:sz w:val="22"/>
        </w:rPr>
        <w:t>"Hi [First Name] — I'm Yasir at FIU's DBA program. My research looks at how external auditors mitigate anchoring on prior-period balances during long-term client engagements. IRB-approved; would value connecting with public-accounting professionals."</w:t>
      </w:r>
    </w:p>
    <w:p>
      <w:pPr>
        <w:keepNext/>
        <w:spacing w:before="240" w:after="120"/>
      </w:pPr>
      <w:r>
        <w:rPr>
          <w:rFonts w:ascii="Calibri" w:hAnsi="Calibri"/>
          <w:b/>
          <w:i w:val="0"/>
          <w:sz w:val="28"/>
        </w:rPr>
        <w:t>Template B — Post-Connection Follow-Up Message</w:t>
      </w:r>
    </w:p>
    <w:p>
      <w:pPr>
        <w:spacing w:after="120"/>
      </w:pPr>
      <w:r>
        <w:rPr>
          <w:rFonts w:ascii="Calibri" w:hAnsi="Calibri"/>
          <w:b w:val="0"/>
          <w:i/>
          <w:sz w:val="22"/>
        </w:rPr>
        <w:t>Send this message no sooner than 24 hours after a connection is accepted. Replace the two bracketed link placeholders before sending.</w:t>
      </w:r>
    </w:p>
    <w:p>
      <w:pPr>
        <w:spacing w:after="120"/>
      </w:pPr>
      <w:r>
        <w:rPr>
          <w:rFonts w:ascii="Calibri" w:hAnsi="Calibri"/>
          <w:b w:val="0"/>
          <w:i w:val="0"/>
          <w:sz w:val="22"/>
        </w:rPr>
        <w:t>"Hi [First Name] — thanks for connecting. As a quick follow-up: I'm in the dissertation phase at FIU's DBA program, and my Research Project asks which audit-process interventions most effectively reduce anchoring bias in long-term auditor engagements. If you have at least two years of audit experience, are currently in an internal or external audit role, and have worked on long-term client engagements, you fit the study criteria. The instrument is an anonymous Qualtrics survey hosted on FIU systems and takes about 18 minutes. Survey: [QUALTRICS SURVEY LINK]. Informational Letter (IRB consent document): [INFORMATIONAL LETTER PDF LINK]. The study operates under FIU IRB Protocol IRB-25-0462. Participation is fully voluntary, no compensation is contingent on the content of your responses, and you can withdraw at any time without penalty. If this isn't a fit, no worries — would also welcome a referral to a colleague who matches the criteria. Thank you for considering it. — Yasir"</w:t>
      </w:r>
    </w:p>
    <w:p>
      <w:pPr>
        <w:keepNext/>
        <w:spacing w:before="240" w:after="120"/>
      </w:pPr>
      <w:r>
        <w:rPr>
          <w:rFonts w:ascii="Calibri" w:hAnsi="Calibri"/>
          <w:b/>
          <w:i w:val="0"/>
          <w:sz w:val="28"/>
        </w:rPr>
        <w:t>Template C — IIA Chapter Outreach (semi-formal email-style)</w:t>
      </w:r>
    </w:p>
    <w:p>
      <w:pPr>
        <w:spacing w:after="120"/>
      </w:pPr>
      <w:r>
        <w:rPr>
          <w:rFonts w:ascii="Calibri" w:hAnsi="Calibri"/>
          <w:b w:val="0"/>
          <w:i/>
          <w:sz w:val="22"/>
        </w:rPr>
        <w:t>Use when contacting an IIA chapter officer (President, Programs Chair, Academic Liaison) to request newsletter or chapter-announcement distribution. Replace bracketed fields before sending.</w:t>
      </w:r>
    </w:p>
    <w:p>
      <w:pPr>
        <w:spacing w:after="120"/>
      </w:pPr>
      <w:r>
        <w:rPr>
          <w:rFonts w:ascii="Calibri" w:hAnsi="Calibri"/>
          <w:b/>
          <w:i w:val="0"/>
          <w:sz w:val="22"/>
        </w:rPr>
        <w:t>Subject: FIU DBA Research — Anchoring Bias in Long-Term Audit Engagements (IRB-Approved)</w:t>
      </w:r>
    </w:p>
    <w:p>
      <w:pPr>
        <w:spacing w:after="120"/>
      </w:pPr>
      <w:r>
        <w:rPr>
          <w:rFonts w:ascii="Calibri" w:hAnsi="Calibri"/>
          <w:b w:val="0"/>
          <w:i w:val="0"/>
          <w:sz w:val="22"/>
        </w:rPr>
        <w:t>Dear [Chapter Officer Name],</w:t>
      </w:r>
    </w:p>
    <w:p>
      <w:pPr>
        <w:spacing w:after="120"/>
      </w:pPr>
      <w:r>
        <w:rPr>
          <w:rFonts w:ascii="Calibri" w:hAnsi="Calibri"/>
          <w:b w:val="0"/>
          <w:i w:val="0"/>
          <w:sz w:val="22"/>
        </w:rPr>
        <w:t>My name is Yasir A. Malik. I am a Doctor of Business Administration candidate in Cohort 7.16 at Florida International University's College of Business, advised by Prof. Dr. Juan Rey. I am writing to request the chapter's help in distributing an IRB-approved academic survey to its membership.</w:t>
      </w:r>
    </w:p>
    <w:p>
      <w:pPr>
        <w:spacing w:after="120"/>
      </w:pPr>
      <w:r>
        <w:rPr>
          <w:rFonts w:ascii="Calibri" w:hAnsi="Calibri"/>
          <w:b w:val="0"/>
          <w:i w:val="0"/>
          <w:sz w:val="22"/>
        </w:rPr>
        <w:t>The study, "Mitigating Anchoring Bias in Long-Term Auditor Engagements: An EFA-Based Validation Study," examines how eight audit-process interventions — training and awareness, auditor rotation, analytical tools, structured processes, feedback and reflection, independent reviews, regulatory and professional guidance, and performance-aligned incentives — reduce anchoring bias on recurring client engagements. The analytical core is an Exploratory Factor Analysis validating an eleven-construct measurement model and two judgment-process mediators (Auditor Judgment Quality and Audit Process Rigor).</w:t>
      </w:r>
    </w:p>
    <w:p>
      <w:pPr>
        <w:spacing w:after="120"/>
      </w:pPr>
      <w:r>
        <w:rPr>
          <w:rFonts w:ascii="Calibri" w:hAnsi="Calibri"/>
          <w:b w:val="0"/>
          <w:i w:val="0"/>
          <w:sz w:val="22"/>
        </w:rPr>
        <w:t>The contribution is directly relevant to the IIA membership. The validated instrument produces a practitioner-facing prioritization of debiasing levers that internal audit functions can use to direct training and quality-assurance investment, and the framework is designed to be applied within regulated-industry audit environments.</w:t>
      </w:r>
    </w:p>
    <w:p>
      <w:pPr>
        <w:spacing w:after="120"/>
      </w:pPr>
      <w:r>
        <w:rPr>
          <w:rFonts w:ascii="Calibri" w:hAnsi="Calibri"/>
          <w:b w:val="0"/>
          <w:i w:val="0"/>
          <w:sz w:val="22"/>
        </w:rPr>
        <w:t>Specifically, I am requesting that the chapter share the survey link with its members via newsletter, chapter-announcement email, or a posted item on the chapter site. Eligible respondents must have at least two years of internal or external audit experience and exposure to long-term client engagements. The survey is anonymous, hosted on FIU Qualtrics, and takes approximately 18 minutes. The study operates under FIU IRB Protocol IRB-25-0462. I am happy to provide a brief blurb suitable for newsletter use on request.</w:t>
      </w:r>
    </w:p>
    <w:p>
      <w:pPr>
        <w:spacing w:after="120"/>
      </w:pPr>
      <w:r>
        <w:rPr>
          <w:rFonts w:ascii="Calibri" w:hAnsi="Calibri"/>
          <w:b w:val="0"/>
          <w:i w:val="0"/>
          <w:sz w:val="22"/>
        </w:rPr>
        <w:t>I would also welcome the opportunity to present aggregate findings to the chapter once the manuscript is finalized, either as a chapter meeting or as a written summary for the membership.</w:t>
      </w:r>
    </w:p>
    <w:p>
      <w:pPr>
        <w:spacing w:after="120"/>
      </w:pPr>
      <w:r>
        <w:rPr>
          <w:rFonts w:ascii="Calibri" w:hAnsi="Calibri"/>
          <w:b w:val="0"/>
          <w:i w:val="0"/>
          <w:sz w:val="22"/>
        </w:rPr>
        <w:t>Thank you for considering this request. I can be reached at [YOUR FIU EMAIL] for any follow-up questions or to coordinate distribution logistics.</w:t>
      </w:r>
    </w:p>
    <w:p>
      <w:pPr>
        <w:spacing w:after="120"/>
      </w:pPr>
      <w:r>
        <w:rPr>
          <w:rFonts w:ascii="Calibri" w:hAnsi="Calibri"/>
          <w:b w:val="0"/>
          <w:i w:val="0"/>
          <w:sz w:val="22"/>
        </w:rPr>
        <w:t>Respectfully,</w:t>
      </w:r>
    </w:p>
    <w:p>
      <w:pPr>
        <w:spacing w:after="120"/>
      </w:pPr>
      <w:r>
        <w:rPr>
          <w:rFonts w:ascii="Calibri" w:hAnsi="Calibri"/>
          <w:b/>
          <w:i w:val="0"/>
          <w:sz w:val="22"/>
        </w:rPr>
        <w:t>Yasir A. Malik</w:t>
      </w:r>
    </w:p>
    <w:p>
      <w:pPr>
        <w:spacing w:after="120"/>
      </w:pPr>
      <w:r>
        <w:rPr>
          <w:rFonts w:ascii="Calibri" w:hAnsi="Calibri"/>
          <w:b w:val="0"/>
          <w:i w:val="0"/>
          <w:sz w:val="22"/>
        </w:rPr>
        <w:t>DBA Candidate, Cohort 7.16</w:t>
      </w:r>
    </w:p>
    <w:p>
      <w:pPr>
        <w:spacing w:after="120"/>
      </w:pPr>
      <w:r>
        <w:rPr>
          <w:rFonts w:ascii="Calibri" w:hAnsi="Calibri"/>
          <w:b w:val="0"/>
          <w:i w:val="0"/>
          <w:sz w:val="22"/>
        </w:rPr>
        <w:t>FIU College of Business</w:t>
      </w:r>
    </w:p>
    <w:p>
      <w:pPr>
        <w:spacing w:after="120"/>
      </w:pPr>
      <w:r>
        <w:rPr>
          <w:rFonts w:ascii="Calibri" w:hAnsi="Calibri"/>
          <w:b w:val="0"/>
          <w:i w:val="0"/>
          <w:sz w:val="22"/>
        </w:rPr>
        <w:t>Advisor: Prof. Dr. Juan Rey</w:t>
      </w:r>
    </w:p>
    <w:p>
      <w:pPr>
        <w:spacing w:after="120"/>
      </w:pPr>
      <w:r>
        <w:rPr>
          <w:rFonts w:ascii="Calibri" w:hAnsi="Calibri"/>
          <w:b w:val="0"/>
          <w:i w:val="0"/>
          <w:sz w:val="22"/>
        </w:rPr>
        <w:t>IRB Protocol: IRB-25-0462</w:t>
      </w:r>
    </w:p>
    <w:p>
      <w:pPr>
        <w:keepNext/>
        <w:spacing w:before="240" w:after="120"/>
      </w:pPr>
      <w:r>
        <w:rPr>
          <w:rFonts w:ascii="Calibri" w:hAnsi="Calibri"/>
          <w:b/>
          <w:i w:val="0"/>
          <w:sz w:val="28"/>
        </w:rPr>
        <w:t>Compliance &amp; Sequencing Notes</w:t>
      </w:r>
    </w:p>
    <w:p>
      <w:pPr>
        <w:pStyle w:val="ListBullet"/>
        <w:spacing w:after="60"/>
      </w:pPr>
      <w:r>
        <w:rPr>
          <w:rFonts w:ascii="Calibri" w:hAnsi="Calibri"/>
          <w:b w:val="0"/>
          <w:i w:val="0"/>
          <w:sz w:val="22"/>
        </w:rPr>
        <w:t>Send Template A first; wait for the connection to be accepted before proceeding.</w:t>
      </w:r>
    </w:p>
    <w:p>
      <w:pPr>
        <w:pStyle w:val="ListBullet"/>
        <w:spacing w:after="60"/>
      </w:pPr>
      <w:r>
        <w:rPr>
          <w:rFonts w:ascii="Calibri" w:hAnsi="Calibri"/>
          <w:b w:val="0"/>
          <w:i w:val="0"/>
          <w:sz w:val="22"/>
        </w:rPr>
        <w:t>Wait at least 24 hours after acceptance before sending Template B with the survey link.</w:t>
      </w:r>
    </w:p>
    <w:p>
      <w:pPr>
        <w:pStyle w:val="ListBullet"/>
        <w:spacing w:after="60"/>
      </w:pPr>
      <w:r>
        <w:rPr>
          <w:rFonts w:ascii="Calibri" w:hAnsi="Calibri"/>
          <w:b w:val="0"/>
          <w:i w:val="0"/>
          <w:sz w:val="22"/>
        </w:rPr>
        <w:t>Do not message respondents about their answers after submission — the survey is anonymous, so there is no permissible way to tie a LinkedIn identity to a submitted response.</w:t>
      </w:r>
    </w:p>
    <w:p>
      <w:pPr>
        <w:pStyle w:val="ListBullet"/>
        <w:spacing w:after="60"/>
      </w:pPr>
      <w:r>
        <w:rPr>
          <w:rFonts w:ascii="Calibri" w:hAnsi="Calibri"/>
          <w:b w:val="0"/>
          <w:i w:val="0"/>
          <w:sz w:val="22"/>
        </w:rPr>
        <w:t>Do not promise results, compensation, or expedited service in any of the three templates.</w:t>
      </w:r>
    </w:p>
    <w:p>
      <w:pPr>
        <w:pStyle w:val="ListBullet"/>
        <w:spacing w:after="60"/>
      </w:pPr>
      <w:r>
        <w:rPr>
          <w:rFonts w:ascii="Calibri" w:hAnsi="Calibri"/>
          <w:b w:val="0"/>
          <w:i w:val="0"/>
          <w:sz w:val="22"/>
        </w:rPr>
        <w:t>Keep a CSV outreach log with the fields: date sent, role/title, connection accepted (Y/N), survey link sent (Y/N). Do NOT log respondent identities tied to submissions — the survey is anonymous and any linkage would breach the IRB consent terms.</w:t>
      </w:r>
    </w:p>
    <w:p>
      <w:pPr>
        <w:pStyle w:val="ListBullet"/>
        <w:spacing w:after="60"/>
      </w:pPr>
      <w:r>
        <w:rPr>
          <w:rFonts w:ascii="Calibri" w:hAnsi="Calibri"/>
          <w:b w:val="0"/>
          <w:i w:val="0"/>
          <w:sz w:val="22"/>
        </w:rPr>
        <w:t>Target volume: approximately 150–200 LinkedIn outreach attempts to yield 30–40 valid LinkedIn-channel responses. MTurk and IIA referrals are expected to fill the remaining 30–40 of the 60–80-response target.</w:t>
      </w:r>
    </w:p>
    <w:p>
      <w:pPr>
        <w:pStyle w:val="ListBullet"/>
        <w:spacing w:after="60"/>
      </w:pPr>
      <w:r>
        <w:rPr>
          <w:rFonts w:ascii="Calibri" w:hAnsi="Calibri"/>
          <w:b/>
          <w:i w:val="0"/>
          <w:sz w:val="22"/>
        </w:rPr>
        <w:t>All three templates require Prof. Rey's sign-off before any outreach is initiated.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