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cs="Georgia"/>
          <w:b/>
          <w:i w:val="0"/>
          <w:color w:val="1F4E79"/>
          <w:sz w:val="30"/>
        </w:rPr>
        <w:t xml:space="preserve">Audit </w:t>
      </w:r>
      <w:r>
        <w:rPr>
          <w:rFonts w:ascii="Georgia" w:hAnsi="Georgia" w:cs="Georgia"/>
          <w:b w:val="0"/>
          <w:i/>
          <w:color w:val="767D86"/>
          <w:sz w:val="24"/>
        </w:rPr>
        <w:t xml:space="preserve">the </w:t>
      </w:r>
      <w:r>
        <w:rPr>
          <w:rFonts w:ascii="Georgia" w:hAnsi="Georgia" w:cs="Georgia"/>
          <w:b/>
          <w:i w:val="0"/>
          <w:color w:val="1F4E79"/>
          <w:sz w:val="30"/>
        </w:rPr>
        <w:t>Algorithm</w:t>
      </w:r>
    </w:p>
    <w:p>
      <w:pPr>
        <w:spacing w:after="180"/>
        <w:pBdr>
          <w:bottom w:val="single" w:sz="12" w:space="4" w:color="1F4E79"/>
        </w:pBdr>
      </w:pPr>
      <w:r>
        <w:rPr>
          <w:rFonts w:ascii="Consolas" w:hAnsi="Consolas" w:cs="Consolas"/>
          <w:b w:val="0"/>
          <w:i w:val="0"/>
          <w:color w:val="767D86"/>
          <w:sz w:val="15"/>
          <w:spacing w:val="18"/>
        </w:rPr>
        <w:t>github.com/AuditingAI/Profile   ·   auditingai.github.io</w:t>
      </w:r>
    </w:p>
    <w:p>
      <w:pPr>
        <w:spacing w:before="200" w:after="40"/>
      </w:pPr>
      <w:r>
        <w:rPr>
          <w:rFonts w:ascii="Georgia" w:hAnsi="Georgia" w:cs="Georgia"/>
          <w:b/>
          <w:i w:val="0"/>
          <w:color w:val="14171C"/>
          <w:sz w:val="30"/>
        </w:rPr>
        <w:t>Learning Memo 2 — Assumptions, Frameworks, and Design</w:t>
      </w:r>
    </w:p>
    <w:p>
      <w:pPr>
        <w:spacing w:after="320"/>
      </w:pPr>
      <w:r>
        <w:rPr>
          <w:rFonts w:ascii="Consolas" w:hAnsi="Consolas" w:cs="Consolas"/>
          <w:b w:val="0"/>
          <w:i w:val="0"/>
          <w:caps/>
          <w:color w:val="767D86"/>
          <w:sz w:val="16"/>
          <w:spacing w:val="22"/>
        </w:rPr>
        <w:t>Yasir A. Malik  ·  GEB 7911 Qualitative Research Methods  ·  Dr. Cristina Gonzalez  ·  24 August 2026</w:t>
      </w:r>
    </w:p>
    <w:p>
      <w:pPr>
        <w:spacing w:after="180" w:line="276" w:lineRule="auto"/>
        <w:jc w:val="both"/>
      </w:pPr>
      <w:r>
        <w:rPr>
          <w:rFonts w:ascii="Georgia" w:hAnsi="Georgia" w:cs="Georgia"/>
          <w:b w:val="0"/>
          <w:i w:val="0"/>
          <w:color w:val="14171C"/>
          <w:sz w:val="23"/>
        </w:rPr>
        <w:t>Last week I wrote that my qualifying study failed because I had matched the wrong method to my question. Chapter 2 has made me revise that. The method was not the first mistake. The assumptions underneath it were, and I never made them — I inherited them.</w:t>
      </w:r>
    </w:p>
    <w:p>
      <w:pPr>
        <w:spacing w:after="180" w:line="276" w:lineRule="auto"/>
        <w:jc w:val="both"/>
      </w:pPr>
      <w:r>
        <w:rPr>
          <w:rFonts w:ascii="Georgia" w:hAnsi="Georgia" w:cs="Georgia"/>
          <w:b w:val="0"/>
          <w:i w:val="0"/>
          <w:color w:val="14171C"/>
          <w:sz w:val="23"/>
        </w:rPr>
        <w:t>Creswell and Poth ask four questions of any study: what the researcher takes reality to be, what counts as knowledge and how close the researcher stands to it, what part values play, and what procedures follow from those answers. I had answers to all four. I had never stated one of them.</w:t>
      </w:r>
    </w:p>
    <w:p>
      <w:pPr>
        <w:spacing w:after="180" w:line="276" w:lineRule="auto"/>
        <w:jc w:val="both"/>
      </w:pPr>
      <w:r>
        <w:rPr>
          <w:rFonts w:ascii="Georgia" w:hAnsi="Georgia" w:cs="Georgia"/>
          <w:b w:val="0"/>
          <w:i w:val="0"/>
          <w:color w:val="14171C"/>
          <w:sz w:val="23"/>
        </w:rPr>
        <w:t xml:space="preserve">My fifty-five items treated anchoring as a property auditors carry — stable enough to hold still while I measured it, and the same thing in each of them. That is a position on the nature of reality. I did not argue for it. It arrived with the instrument. The design also placed me outside what I was studying: a screener, a scale, a distance. That is a position on knowledge, and it came free with the survey rather than from anything I decided. When the panel returned roughly twenty eligible people out of 334,976, I read it as a sampling problem. The harder reading is that I had committed to a picture of the world in which </w:t>
      </w:r>
      <w:r>
        <w:rPr>
          <w:rFonts w:ascii="Georgia" w:hAnsi="Georgia" w:cs="Georgia"/>
          <w:b w:val="0"/>
          <w:i/>
          <w:color w:val="14171C"/>
          <w:sz w:val="23"/>
        </w:rPr>
        <w:t>how much anchoring</w:t>
      </w:r>
      <w:r>
        <w:rPr>
          <w:rFonts w:ascii="Georgia" w:hAnsi="Georgia" w:cs="Georgia"/>
          <w:b w:val="0"/>
          <w:i w:val="0"/>
          <w:color w:val="14171C"/>
          <w:sz w:val="23"/>
        </w:rPr>
        <w:t xml:space="preserve"> is a sensible thing to ask, and then found the world would not hold still for it.</w:t>
      </w:r>
    </w:p>
    <w:p>
      <w:pPr>
        <w:spacing w:after="180" w:line="276" w:lineRule="auto"/>
        <w:jc w:val="both"/>
      </w:pPr>
      <w:r>
        <w:rPr>
          <w:rFonts w:ascii="Georgia" w:hAnsi="Georgia" w:cs="Georgia"/>
          <w:b w:val="0"/>
          <w:i w:val="0"/>
          <w:color w:val="14171C"/>
          <w:sz w:val="23"/>
        </w:rPr>
        <w:t>Chapter 3 gives that a name. A qualitative design is meant to be emergent — the question, the sampling, and the form of the data are allowed to move as the study learns. Mine could not move. It was fixed the moment I wrote the items, months before a single response arrived, and every decision afterwards was constrained by a commitment I made before I knew anything.</w:t>
      </w:r>
    </w:p>
    <w:p>
      <w:pPr>
        <w:spacing w:after="180" w:line="276" w:lineRule="auto"/>
        <w:jc w:val="both"/>
      </w:pPr>
      <w:r>
        <w:rPr>
          <w:rFonts w:ascii="Georgia" w:hAnsi="Georgia" w:cs="Georgia"/>
          <w:b w:val="0"/>
          <w:i w:val="0"/>
          <w:color w:val="14171C"/>
          <w:sz w:val="23"/>
        </w:rPr>
        <w:t>Gioia and Chittipeddi (1991) is the contrast that makes this concrete. Their study states its position instead of assuming it: the researchers occupy declared insider and outsider roles, and that arrangement is not a limitation they apologise for but the instrument itself. Their credibility comes from showing the reader the route from what was observed to what is claimed, and inviting judgement on the route. Mine came from a statistic I had not earned.</w:t>
      </w:r>
    </w:p>
    <w:p>
      <w:pPr>
        <w:spacing w:after="180" w:line="276" w:lineRule="auto"/>
        <w:jc w:val="both"/>
      </w:pPr>
      <w:r>
        <w:rPr>
          <w:rFonts w:ascii="Georgia" w:hAnsi="Georgia" w:cs="Georgia"/>
          <w:b w:val="0"/>
          <w:i w:val="0"/>
          <w:color w:val="14171C"/>
          <w:sz w:val="23"/>
        </w:rPr>
        <w:t xml:space="preserve">This changes what I intend to propose this term. My dissertation extension argues three links — a system-generated figure functioning as an anchor, a model agreeing with a stated position rather than challenging it, and successive systems converging on each other instead of on evidence. The first is a magnitude question and a survey suits it. The second is not a magnitude question at all. Asking </w:t>
      </w:r>
      <w:r>
        <w:rPr>
          <w:rFonts w:ascii="Georgia" w:hAnsi="Georgia" w:cs="Georgia"/>
          <w:b w:val="0"/>
          <w:i/>
          <w:color w:val="14171C"/>
          <w:sz w:val="23"/>
        </w:rPr>
        <w:t>how much</w:t>
      </w:r>
      <w:r>
        <w:rPr>
          <w:rFonts w:ascii="Georgia" w:hAnsi="Georgia" w:cs="Georgia"/>
          <w:b w:val="0"/>
          <w:i w:val="0"/>
          <w:color w:val="14171C"/>
          <w:sz w:val="23"/>
        </w:rPr>
        <w:t xml:space="preserve"> an auditor defers presumes that deferring is a quantity. Asking </w:t>
      </w:r>
      <w:r>
        <w:rPr>
          <w:rFonts w:ascii="Georgia" w:hAnsi="Georgia" w:cs="Georgia"/>
          <w:b w:val="0"/>
          <w:i/>
          <w:color w:val="14171C"/>
          <w:sz w:val="23"/>
        </w:rPr>
        <w:t>what an auditor understands themselves to be doing</w:t>
      </w:r>
      <w:r>
        <w:rPr>
          <w:rFonts w:ascii="Georgia" w:hAnsi="Georgia" w:cs="Georgia"/>
          <w:b w:val="0"/>
          <w:i w:val="0"/>
          <w:color w:val="14171C"/>
          <w:sz w:val="23"/>
        </w:rPr>
        <w:t xml:space="preserve"> when the system speaks first presumes nothing, and it is the question I actually want answered.</w:t>
      </w:r>
    </w:p>
    <w:p>
      <w:pPr>
        <w:spacing w:after="180" w:line="276" w:lineRule="auto"/>
        <w:jc w:val="both"/>
      </w:pPr>
      <w:r>
        <w:rPr>
          <w:rFonts w:ascii="Georgia" w:hAnsi="Georgia" w:cs="Georgia"/>
          <w:b w:val="0"/>
          <w:i w:val="0"/>
          <w:color w:val="14171C"/>
          <w:sz w:val="23"/>
        </w:rPr>
        <w:t>So the proposal I want to write is a phenomenological one, and I want its assumptions stated on the first page rather than smuggled in with the method.</w:t>
      </w:r>
    </w:p>
    <w:p>
      <w:pPr>
        <w:spacing w:after="180" w:line="276" w:lineRule="auto"/>
        <w:jc w:val="both"/>
      </w:pPr>
      <w:r>
        <w:rPr>
          <w:rFonts w:ascii="Georgia" w:hAnsi="Georgia" w:cs="Georgia"/>
          <w:b w:val="0"/>
          <w:i w:val="0"/>
          <w:color w:val="14171C"/>
          <w:sz w:val="23"/>
        </w:rPr>
        <w:t>I have spent two years being careful inside a frame I never examined. That is the more expensive kind of error, because nothing about it looks like a mistake while it is happening.</w:t>
      </w:r>
    </w:p>
    <w:p>
      <w:pPr>
        <w:spacing w:before="280" w:after="60"/>
        <w:pBdr>
          <w:bottom w:val="single" w:sz="6" w:space="4" w:color="D8D4CB"/>
        </w:pBdr>
      </w:pPr>
      <w:r>
        <w:rPr>
          <w:rFonts w:ascii="Consolas" w:hAnsi="Consolas" w:cs="Consolas"/>
          <w:b/>
          <w:i w:val="0"/>
          <w:caps/>
          <w:color w:val="767D86"/>
          <w:sz w:val="16"/>
          <w:spacing w:val="22"/>
        </w:rPr>
        <w:t>AI-use disclosure — required by the syllabus</w:t>
      </w:r>
    </w:p>
    <w:p>
      <w:pPr>
        <w:spacing w:after="100" w:line="264" w:lineRule="auto"/>
      </w:pPr>
      <w:r>
        <w:rPr>
          <w:rFonts w:ascii="Georgia" w:hAnsi="Georgia" w:cs="Georgia"/>
          <w:b/>
          <w:i w:val="0"/>
          <w:caps/>
          <w:color w:val="1F4E79"/>
          <w:sz w:val="18"/>
          <w:highlight w:val="yellow"/>
        </w:rPr>
        <w:t>REPLACE THIS LINE BEFORE SUBMITTING — STATE HONESTLY WHAT WAS AI-ASSISTED AND WHAT WAS YOURS. THE CAP IS 25%.</w:t>
      </w:r>
    </w:p>
    <w:p>
      <w:pPr>
        <w:spacing w:after="100" w:line="264" w:lineRule="auto"/>
      </w:pPr>
      <w:r>
        <w:rPr>
          <w:rFonts w:ascii="Georgia" w:hAnsi="Georgia" w:cs="Georgia"/>
          <w:b w:val="0"/>
          <w:i/>
          <w:color w:val="767D86"/>
          <w:sz w:val="18"/>
        </w:rPr>
        <w:t xml:space="preserve">Suggested wording if it fits the truth: </w:t>
      </w:r>
      <w:r>
        <w:rPr>
          <w:rFonts w:ascii="Georgia" w:hAnsi="Georgia" w:cs="Georgia"/>
          <w:b w:val="0"/>
          <w:i/>
          <w:color w:val="767D86"/>
          <w:sz w:val="18"/>
        </w:rPr>
        <w:t>“An AI assistant was used to organise my notes and check clarity. The argument, the examples and the conclusions are my own.”</w:t>
      </w:r>
    </w:p>
    <w:p>
      <w:pPr>
        <w:spacing w:before="280" w:after="60"/>
        <w:pBdr>
          <w:bottom w:val="single" w:sz="6" w:space="4" w:color="D8D4CB"/>
        </w:pBdr>
      </w:pPr>
      <w:r>
        <w:rPr>
          <w:rFonts w:ascii="Consolas" w:hAnsi="Consolas" w:cs="Consolas"/>
          <w:b/>
          <w:i w:val="0"/>
          <w:caps/>
          <w:color w:val="767D86"/>
          <w:sz w:val="16"/>
          <w:spacing w:val="22"/>
        </w:rPr>
        <w:t>Optional — the article tied to my own proposal topic</w:t>
      </w:r>
    </w:p>
    <w:p>
      <w:pPr>
        <w:spacing w:after="100" w:line="264" w:lineRule="auto"/>
      </w:pPr>
      <w:r>
        <w:rPr>
          <w:rFonts w:ascii="Georgia" w:hAnsi="Georgia" w:cs="Georgia"/>
          <w:b/>
          <w:i w:val="0"/>
          <w:caps/>
          <w:color w:val="1F4E79"/>
          <w:sz w:val="18"/>
          <w:highlight w:val="yellow"/>
        </w:rPr>
        <w:t>WEEK 2 ALSO ASKS FOR ONE QUALITATIVE ARTICLE RELATED TO YOUR PROPOSAL TOPIC. IF YOU WANT IT IN, ADD ONE SENTENCE AFTER THE PHENOMENOLOGY PARAGRAPH AND CITE IT HERE. THE MEMO STANDS WITHOUT IT.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Georgia" w:hAnsi="Georgia"/>
      <w:color w:val="14171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