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 (SIMULATED) DATA — READ FIRST</w:t>
      </w:r>
    </w:p>
    <w:p>
      <w:r>
        <w:rPr>
          <w:b/>
        </w:rPr>
        <w:t>This folder's `PRACTICE_SIMULATED_*` files contain SIMULATED data. No human participants. Not research findings.</w:t>
      </w:r>
    </w:p>
    <w:p>
      <w:pPr>
        <w:pStyle w:val="Heading2"/>
      </w:pPr>
      <w:r>
        <w:t>Why it exists</w:t>
      </w:r>
    </w:p>
    <w:p>
      <w:r>
        <w:t xml:space="preserve">The advisor's plan (late-July meeting) includes a </w:t>
      </w:r>
      <w:r>
        <w:rPr>
          <w:b/>
        </w:rPr>
        <w:t>simulated-data exercise, separate from the manuscript and not mentioned in it</w:t>
      </w:r>
      <w:r>
        <w:t>, to demonstrate analytic competency. This practice set lets that exercise be executed fluently on arrival — it is a rehearsal, not a substitute.</w:t>
      </w:r>
    </w:p>
    <w:p>
      <w:pPr>
        <w:pStyle w:val="Heading2"/>
      </w:pPr>
      <w:r>
        <w:t>Hard boundaries</w:t>
      </w:r>
    </w:p>
    <w:p>
      <w:pPr>
        <w:pStyle w:val="ListNumber"/>
      </w:pPr>
      <w:r>
        <w:rPr>
          <w:b/>
        </w:rPr>
        <w:t>Never enters the manuscript.</w:t>
      </w:r>
      <w:r>
        <w:t xml:space="preserve"> Chapter 5's finding stands unchanged: at the achieved sample the required analyses could not be performed. That is true and stays true.</w:t>
      </w:r>
    </w:p>
    <w:p>
      <w:pPr>
        <w:pStyle w:val="ListNumber"/>
      </w:pPr>
      <w:r>
        <w:rPr>
          <w:b/>
        </w:rPr>
        <w:t>Never presented as collected data</w:t>
      </w:r>
      <w:r>
        <w:t>, to anyone, in any document.</w:t>
      </w:r>
    </w:p>
    <w:p>
      <w:pPr>
        <w:pStyle w:val="ListNumber"/>
      </w:pPr>
      <w:r>
        <w:t xml:space="preserve">Every row carries </w:t>
      </w:r>
      <w:r>
        <w:rPr>
          <w:rFonts w:ascii="Courier New" w:hAnsi="Courier New"/>
        </w:rPr>
        <w:t>SOURCE = SIMULATED_PRACTICE_DATA</w:t>
      </w:r>
      <w:r>
        <w:t>; the filename says PRACTICE_SIMULATED.</w:t>
      </w:r>
    </w:p>
    <w:p>
      <w:pPr>
        <w:pStyle w:val="ListNumber"/>
      </w:pPr>
      <w:r>
        <w:t xml:space="preserve">When the advisor's own dataset arrives, </w:t>
      </w:r>
      <w:r>
        <w:rPr>
          <w:b/>
        </w:rPr>
        <w:t>that</w:t>
      </w:r>
      <w:r>
        <w:t xml:space="preserve"> is the one used for the graded exercise.</w:t>
      </w:r>
    </w:p>
    <w:p>
      <w:pPr>
        <w:pStyle w:val="Heading2"/>
      </w:pPr>
      <w:r>
        <w:t>Files</w:t>
      </w:r>
    </w:p>
    <w:p>
      <w:r>
        <w:t>| File | What it is |</w:t>
      </w:r>
    </w:p>
    <w:p>
      <w:r>
        <w:t>|---|---|</w:t>
      </w:r>
    </w:p>
    <w:p>
      <w:r>
        <w:t xml:space="preserve">| </w:t>
      </w:r>
      <w:r>
        <w:rPr>
          <w:rFonts w:ascii="Courier New" w:hAnsi="Courier New"/>
        </w:rPr>
        <w:t>make_practice_dataset.py</w:t>
      </w:r>
      <w:r>
        <w:t xml:space="preserve"> | Generator — 250 cases, 11 factors x 5 items, correlated factors, known ground truth |</w:t>
      </w:r>
    </w:p>
    <w:p>
      <w:r>
        <w:t xml:space="preserve">| </w:t>
      </w:r>
      <w:r>
        <w:rPr>
          <w:rFonts w:ascii="Courier New" w:hAnsi="Courier New"/>
        </w:rPr>
        <w:t>PRACTICE_SIMULATED_dataset.csv</w:t>
      </w:r>
      <w:r>
        <w:t xml:space="preserve"> | The simulated data (import this to Jamovi to rehearse) |</w:t>
      </w:r>
    </w:p>
    <w:p>
      <w:r>
        <w:t xml:space="preserve">| </w:t>
      </w:r>
      <w:r>
        <w:rPr>
          <w:rFonts w:ascii="Courier New" w:hAnsi="Courier New"/>
        </w:rPr>
        <w:t>run_practice_efa.py</w:t>
      </w:r>
      <w:r>
        <w:t xml:space="preserve"> | Worked example — runs the full Chapter 4 contract in Python |</w:t>
      </w:r>
    </w:p>
    <w:p>
      <w:r>
        <w:t xml:space="preserve">| </w:t>
      </w:r>
      <w:r>
        <w:rPr>
          <w:rFonts w:ascii="Courier New" w:hAnsi="Courier New"/>
        </w:rPr>
        <w:t>PRACTICE_factor_loadings_oblimin.csv</w:t>
      </w:r>
      <w:r>
        <w:t xml:space="preserve"> | Pattern matrix from the worked example |</w:t>
      </w:r>
    </w:p>
    <w:p>
      <w:pPr>
        <w:pStyle w:val="Heading2"/>
      </w:pPr>
      <w:r>
        <w:t>Ground truth built into the data (check your Jamovi output against this)</w:t>
      </w:r>
    </w:p>
    <w:p>
      <w:pPr>
        <w:pStyle w:val="ListBullet"/>
      </w:pPr>
      <w:r>
        <w:rPr>
          <w:b/>
        </w:rPr>
        <w:t>11 factors</w:t>
      </w:r>
      <w:r>
        <w:t xml:space="preserve"> theorized; parallel analysis recovers ~10 — a realistic near-miss that forces a defensible retention argument rather than a rubber stamp.</w:t>
      </w:r>
    </w:p>
    <w:p>
      <w:pPr>
        <w:pStyle w:val="ListBullet"/>
      </w:pPr>
      <w:r>
        <w:rPr>
          <w:b/>
        </w:rPr>
        <w:t>AT_3</w:t>
      </w:r>
      <w:r>
        <w:t xml:space="preserve"> carries a deliberately weak loading (~.40 boundary) → deletion-candidate discussion.</w:t>
      </w:r>
    </w:p>
    <w:p>
      <w:pPr>
        <w:pStyle w:val="ListBullet"/>
      </w:pPr>
      <w:r>
        <w:rPr>
          <w:b/>
        </w:rPr>
        <w:t>PMI_2</w:t>
      </w:r>
      <w:r>
        <w:t xml:space="preserve"> cross-loads onto AJQ → flag under the .20 rule (item-rest r = .30, the weakest in its scale).</w:t>
      </w:r>
    </w:p>
    <w:p>
      <w:pPr>
        <w:pStyle w:val="ListBullet"/>
      </w:pPr>
      <w:r>
        <w:rPr>
          <w:b/>
        </w:rPr>
        <w:t>Item _4 of every construct is stored reverse-worded</w:t>
      </w:r>
      <w:r>
        <w:t xml:space="preserve"> and must be recoded (6 − x) before analysis. Skipping this is the single most common error — it shows up as a suppressed alpha.</w:t>
      </w:r>
    </w:p>
    <w:p>
      <w:pPr>
        <w:pStyle w:val="ListBullet"/>
      </w:pPr>
      <w:r>
        <w:t xml:space="preserve">Factors are genuinely correlated → </w:t>
      </w:r>
      <w:r>
        <w:rPr>
          <w:b/>
        </w:rPr>
        <w:t>Direct Oblimin is the defensible rotation to report</w:t>
      </w:r>
      <w:r>
        <w:t>, Varimax run as robustness.</w:t>
      </w:r>
    </w:p>
    <w:p>
      <w:pPr>
        <w:pStyle w:val="Heading2"/>
      </w:pPr>
      <w:r>
        <w:t>Worked-example results (what a correct run produces)</w:t>
      </w:r>
    </w:p>
    <w:p>
      <w:r>
        <w:t>KMO = .811 · Bartlett χ²(1485) = 4,633.2, p &lt; .001 · 20 of 250 cases removed on attention checks (n = 230) · all 11 alphas between .71 and .81.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