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300" w:lineRule="auto"/>
      </w:pPr>
      <w:r>
        <w:rPr>
          <w:rFonts w:ascii="Calibri" w:hAnsi="Calibri"/>
          <w:b/>
          <w:color w:val="000000"/>
          <w:sz w:val="44"/>
        </w:rPr>
        <w:t>CloudResearch Launch Draft</w:t>
      </w:r>
    </w:p>
    <w:p>
      <w:pPr>
        <w:spacing w:before="0" w:after="200" w:line="300" w:lineRule="auto"/>
      </w:pPr>
      <w:r>
        <w:rPr>
          <w:rFonts w:ascii="Calibri" w:hAnsi="Calibri"/>
          <w:i/>
          <w:color w:val="595959"/>
          <w:sz w:val="24"/>
        </w:rPr>
        <w:t>Primary recruiting sequence for anonymous Qualtrics data collection</w:t>
      </w:r>
    </w:p>
    <w:tbl>
      <w:tblPr>
        <w:tblStyle w:val="TableGrid"/>
        <w:tblW w:type="dxa" w:w="9360"/>
        <w:jc w:val="left"/>
        <w:tblLook w:firstColumn="1" w:firstRow="1" w:lastColumn="0" w:lastRow="0" w:noHBand="0" w:noVBand="1" w:val="04A0"/>
        <w:tblInd w:w="120" w:type="dxa"/>
      </w:tblPr>
      <w:tblGrid>
        <w:gridCol w:w="1900"/>
        <w:gridCol w:w="7460"/>
      </w:tblGrid>
      <w:tr>
        <w:tc>
          <w:tcPr>
            <w:tcW w:type="dxa" w:w="1900"/>
            <w:tcMar>
              <w:top w:w="80" w:type="dxa"/>
              <w:start w:w="120" w:type="dxa"/>
              <w:bottom w:w="80" w:type="dxa"/>
              <w:end w:w="120" w:type="dxa"/>
            </w:tcMar>
            <w:vAlign w:val="center"/>
            <w:shd w:fill="F2F4F7"/>
          </w:tcPr>
          <w:p>
            <w:r>
              <w:rPr>
                <w:rFonts w:ascii="Calibri" w:hAnsi="Calibri"/>
                <w:b/>
              </w:rPr>
              <w:t>Status</w:t>
            </w:r>
          </w:p>
        </w:tc>
        <w:tc>
          <w:tcPr>
            <w:tcW w:type="dxa" w:w="7460"/>
            <w:tcMar>
              <w:top w:w="80" w:type="dxa"/>
              <w:start w:w="120" w:type="dxa"/>
              <w:bottom w:w="80" w:type="dxa"/>
              <w:end w:w="120" w:type="dxa"/>
            </w:tcMar>
            <w:vAlign w:val="center"/>
          </w:tcPr>
          <w:p>
            <w:r>
              <w:t>READY for platform setup after pilot revisions and advisor confirmations</w:t>
            </w:r>
          </w:p>
        </w:tc>
      </w:tr>
      <w:tr>
        <w:tc>
          <w:tcPr>
            <w:tcW w:type="dxa" w:w="1900"/>
            <w:tcMar>
              <w:top w:w="80" w:type="dxa"/>
              <w:start w:w="120" w:type="dxa"/>
              <w:bottom w:w="80" w:type="dxa"/>
              <w:end w:w="120" w:type="dxa"/>
            </w:tcMar>
            <w:vAlign w:val="center"/>
            <w:shd w:fill="F2F4F7"/>
          </w:tcPr>
          <w:p>
            <w:r>
              <w:rPr>
                <w:rFonts w:ascii="Calibri" w:hAnsi="Calibri"/>
                <w:b/>
              </w:rPr>
              <w:t>Date</w:t>
            </w:r>
          </w:p>
        </w:tc>
        <w:tc>
          <w:tcPr>
            <w:tcW w:type="dxa" w:w="7460"/>
            <w:tcMar>
              <w:top w:w="80" w:type="dxa"/>
              <w:start w:w="120" w:type="dxa"/>
              <w:bottom w:w="80" w:type="dxa"/>
              <w:end w:w="120" w:type="dxa"/>
            </w:tcMar>
            <w:vAlign w:val="center"/>
          </w:tcPr>
          <w:p>
            <w:r>
              <w:t>2026-06-01</w:t>
            </w:r>
          </w:p>
        </w:tc>
      </w:tr>
      <w:tr>
        <w:tc>
          <w:tcPr>
            <w:tcW w:type="dxa" w:w="1900"/>
            <w:tcMar>
              <w:top w:w="80" w:type="dxa"/>
              <w:start w:w="120" w:type="dxa"/>
              <w:bottom w:w="80" w:type="dxa"/>
              <w:end w:w="120" w:type="dxa"/>
            </w:tcMar>
            <w:vAlign w:val="center"/>
            <w:shd w:fill="F2F4F7"/>
          </w:tcPr>
          <w:p>
            <w:r>
              <w:rPr>
                <w:rFonts w:ascii="Calibri" w:hAnsi="Calibri"/>
                <w:b/>
              </w:rPr>
              <w:t>Model Scope</w:t>
            </w:r>
          </w:p>
        </w:tc>
        <w:tc>
          <w:tcPr>
            <w:tcW w:type="dxa" w:w="7460"/>
            <w:tcMar>
              <w:top w:w="80" w:type="dxa"/>
              <w:start w:w="120" w:type="dxa"/>
              <w:bottom w:w="80" w:type="dxa"/>
              <w:end w:w="120" w:type="dxa"/>
            </w:tcMar>
            <w:vAlign w:val="center"/>
          </w:tcPr>
          <w:p>
            <w:r>
              <w:t>TA, RA, AT, SAP, FR, IR, RPG, PMI -&gt; AJQ/APR -&gt; RAB; no AI/LLM constructs in the current survey</w:t>
            </w:r>
          </w:p>
        </w:tc>
      </w:tr>
    </w:tbl>
    <w:p/>
    <w:p>
      <w:pPr>
        <w:pStyle w:val="Heading1"/>
      </w:pPr>
      <w:r>
        <w:t>Recruiting Sequence</w:t>
      </w:r>
    </w:p>
    <w:p>
      <w:pPr>
        <w:spacing w:before="0" w:after="120" w:line="300" w:lineRule="auto"/>
      </w:pPr>
      <w:r>
        <w:t>Use CloudResearch first because Dr. Rey explicitly identified recruiting platforms and the IRB file references CloudResearch for subject recruitment. Use MTurk second only if CloudResearch produces low yield, poor eligibility fit, or insufficient valid responses after the initial window.</w:t>
      </w:r>
    </w:p>
    <w:p>
      <w:pPr>
        <w:pStyle w:val="Heading1"/>
      </w:pPr>
      <w:r>
        <w:t>Study Listing Draft</w:t>
      </w:r>
    </w:p>
    <w:tbl>
      <w:tblPr>
        <w:tblStyle w:val="TableGrid"/>
        <w:tblW w:type="dxa" w:w="9360"/>
        <w:tblLook w:firstColumn="1" w:firstRow="1" w:lastColumn="0" w:lastRow="0" w:noHBand="0" w:noVBand="1" w:val="04A0"/>
        <w:jc w:val="left"/>
        <w:tblInd w:w="120" w:type="dxa"/>
      </w:tblPr>
      <w:tblGrid>
        <w:gridCol w:w="2100"/>
        <w:gridCol w:w="7260"/>
      </w:tblGrid>
      <w:tr>
        <w:tc>
          <w:tcPr>
            <w:tcW w:type="dxa" w:w="2100"/>
            <w:tcMar>
              <w:top w:w="80" w:type="dxa"/>
              <w:start w:w="120" w:type="dxa"/>
              <w:bottom w:w="80" w:type="dxa"/>
              <w:end w:w="120" w:type="dxa"/>
            </w:tcMar>
            <w:vAlign w:val="center"/>
            <w:shd w:fill="E8EEF5"/>
          </w:tcPr>
          <w:p>
            <w:pPr>
              <w:spacing w:before="0" w:after="0" w:line="300" w:lineRule="auto"/>
            </w:pPr>
            <w:r>
              <w:rPr>
                <w:rFonts w:ascii="Calibri" w:hAnsi="Calibri"/>
                <w:b/>
              </w:rPr>
              <w:t>Field</w:t>
            </w:r>
          </w:p>
        </w:tc>
        <w:tc>
          <w:tcPr>
            <w:tcW w:type="dxa" w:w="7260"/>
            <w:tcMar>
              <w:top w:w="80" w:type="dxa"/>
              <w:start w:w="120" w:type="dxa"/>
              <w:bottom w:w="80" w:type="dxa"/>
              <w:end w:w="120" w:type="dxa"/>
            </w:tcMar>
            <w:vAlign w:val="center"/>
            <w:shd w:fill="E8EEF5"/>
          </w:tcPr>
          <w:p>
            <w:pPr>
              <w:spacing w:before="0" w:after="0" w:line="300" w:lineRule="auto"/>
            </w:pPr>
            <w:r>
              <w:rPr>
                <w:rFonts w:ascii="Calibri" w:hAnsi="Calibri"/>
                <w:b/>
              </w:rPr>
              <w:t>Draft Language</w:t>
            </w:r>
          </w:p>
        </w:tc>
      </w:tr>
      <w:tr>
        <w:tc>
          <w:tcPr>
            <w:tcW w:type="dxa" w:w="2100"/>
            <w:tcMar>
              <w:top w:w="80" w:type="dxa"/>
              <w:start w:w="120" w:type="dxa"/>
              <w:bottom w:w="80" w:type="dxa"/>
              <w:end w:w="120" w:type="dxa"/>
            </w:tcMar>
            <w:vAlign w:val="center"/>
          </w:tcPr>
          <w:p>
            <w:pPr>
              <w:spacing w:before="0" w:after="0" w:line="276" w:lineRule="auto"/>
            </w:pPr>
            <w:r>
              <w:t>Study title</w:t>
            </w:r>
          </w:p>
        </w:tc>
        <w:tc>
          <w:tcPr>
            <w:tcW w:type="dxa" w:w="7260"/>
            <w:tcMar>
              <w:top w:w="80" w:type="dxa"/>
              <w:start w:w="120" w:type="dxa"/>
              <w:bottom w:w="80" w:type="dxa"/>
              <w:end w:w="120" w:type="dxa"/>
            </w:tcMar>
            <w:vAlign w:val="center"/>
          </w:tcPr>
          <w:p>
            <w:pPr>
              <w:spacing w:before="0" w:after="0" w:line="276" w:lineRule="auto"/>
            </w:pPr>
            <w:r>
              <w:t>Auditors' Professional Judgments and Audit Work Practices</w:t>
            </w:r>
          </w:p>
        </w:tc>
      </w:tr>
      <w:tr>
        <w:tc>
          <w:tcPr>
            <w:tcW w:type="dxa" w:w="2100"/>
            <w:tcMar>
              <w:top w:w="80" w:type="dxa"/>
              <w:start w:w="120" w:type="dxa"/>
              <w:bottom w:w="80" w:type="dxa"/>
              <w:end w:w="120" w:type="dxa"/>
            </w:tcMar>
            <w:vAlign w:val="center"/>
          </w:tcPr>
          <w:p>
            <w:pPr>
              <w:spacing w:before="0" w:after="0" w:line="276" w:lineRule="auto"/>
            </w:pPr>
            <w:r>
              <w:t>Short description</w:t>
            </w:r>
          </w:p>
        </w:tc>
        <w:tc>
          <w:tcPr>
            <w:tcW w:type="dxa" w:w="7260"/>
            <w:tcMar>
              <w:top w:w="80" w:type="dxa"/>
              <w:start w:w="120" w:type="dxa"/>
              <w:bottom w:w="80" w:type="dxa"/>
              <w:end w:w="120" w:type="dxa"/>
            </w:tcMar>
            <w:vAlign w:val="center"/>
          </w:tcPr>
          <w:p>
            <w:pPr>
              <w:spacing w:before="0" w:after="0" w:line="276" w:lineRule="auto"/>
            </w:pPr>
            <w:r>
              <w:t>This anonymous academic survey asks auditors about professional judgment, audit procedures, review practices, and recurring audit engagements. The survey takes approximately 15 to 20 minutes.</w:t>
            </w:r>
          </w:p>
        </w:tc>
      </w:tr>
      <w:tr>
        <w:tc>
          <w:tcPr>
            <w:tcW w:type="dxa" w:w="2100"/>
            <w:tcMar>
              <w:top w:w="80" w:type="dxa"/>
              <w:start w:w="120" w:type="dxa"/>
              <w:bottom w:w="80" w:type="dxa"/>
              <w:end w:w="120" w:type="dxa"/>
            </w:tcMar>
            <w:vAlign w:val="center"/>
          </w:tcPr>
          <w:p>
            <w:pPr>
              <w:spacing w:before="0" w:after="0" w:line="276" w:lineRule="auto"/>
            </w:pPr>
            <w:r>
              <w:t>Eligibility</w:t>
            </w:r>
          </w:p>
        </w:tc>
        <w:tc>
          <w:tcPr>
            <w:tcW w:type="dxa" w:w="7260"/>
            <w:tcMar>
              <w:top w:w="80" w:type="dxa"/>
              <w:start w:w="120" w:type="dxa"/>
              <w:bottom w:w="80" w:type="dxa"/>
              <w:end w:w="120" w:type="dxa"/>
            </w:tcMar>
            <w:vAlign w:val="center"/>
          </w:tcPr>
          <w:p>
            <w:pPr>
              <w:spacing w:before="0" w:after="0" w:line="276" w:lineRule="auto"/>
            </w:pPr>
            <w:r>
              <w:t>Age 18+, current or recent audit role, at least 2 years of audit experience, and experience with recurring/long-term engagements or prior-period audit evidence.</w:t>
            </w:r>
          </w:p>
        </w:tc>
      </w:tr>
      <w:tr>
        <w:tc>
          <w:tcPr>
            <w:tcW w:type="dxa" w:w="2100"/>
            <w:tcMar>
              <w:top w:w="80" w:type="dxa"/>
              <w:start w:w="120" w:type="dxa"/>
              <w:bottom w:w="80" w:type="dxa"/>
              <w:end w:w="120" w:type="dxa"/>
            </w:tcMar>
            <w:vAlign w:val="center"/>
          </w:tcPr>
          <w:p>
            <w:pPr>
              <w:spacing w:before="0" w:after="0" w:line="276" w:lineRule="auto"/>
            </w:pPr>
            <w:r>
              <w:t>Data collection</w:t>
            </w:r>
          </w:p>
        </w:tc>
        <w:tc>
          <w:tcPr>
            <w:tcW w:type="dxa" w:w="7260"/>
            <w:tcMar>
              <w:top w:w="80" w:type="dxa"/>
              <w:start w:w="120" w:type="dxa"/>
              <w:bottom w:w="80" w:type="dxa"/>
              <w:end w:w="120" w:type="dxa"/>
            </w:tcMar>
            <w:vAlign w:val="center"/>
          </w:tcPr>
          <w:p>
            <w:pPr>
              <w:spacing w:before="0" w:after="0" w:line="276" w:lineRule="auto"/>
            </w:pPr>
            <w:r>
              <w:t>Anonymous FIU-managed Qualtrics survey link; no names, employer names, client names, account-level data, or confidential workpaper information.</w:t>
            </w:r>
          </w:p>
        </w:tc>
      </w:tr>
      <w:tr>
        <w:tc>
          <w:tcPr>
            <w:tcW w:type="dxa" w:w="2100"/>
            <w:tcMar>
              <w:top w:w="80" w:type="dxa"/>
              <w:start w:w="120" w:type="dxa"/>
              <w:bottom w:w="80" w:type="dxa"/>
              <w:end w:w="120" w:type="dxa"/>
            </w:tcMar>
            <w:vAlign w:val="center"/>
          </w:tcPr>
          <w:p>
            <w:pPr>
              <w:spacing w:before="0" w:after="0" w:line="276" w:lineRule="auto"/>
            </w:pPr>
            <w:r>
              <w:t>Compensation</w:t>
            </w:r>
          </w:p>
        </w:tc>
        <w:tc>
          <w:tcPr>
            <w:tcW w:type="dxa" w:w="7260"/>
            <w:tcMar>
              <w:top w:w="80" w:type="dxa"/>
              <w:start w:w="120" w:type="dxa"/>
              <w:bottom w:w="80" w:type="dxa"/>
              <w:end w:w="120" w:type="dxa"/>
            </w:tcMar>
            <w:vAlign w:val="center"/>
          </w:tcPr>
          <w:p>
            <w:pPr>
              <w:spacing w:before="0" w:after="0" w:line="276" w:lineRule="auto"/>
            </w:pPr>
            <w:r>
              <w:t>Fixed platform compensation; amount to be entered based on approved platform budget and Dr. Rey/advisor guidance.</w:t>
            </w:r>
          </w:p>
        </w:tc>
      </w:tr>
    </w:tbl>
    <w:p/>
    <w:p>
      <w:pPr>
        <w:pStyle w:val="Heading1"/>
      </w:pPr>
      <w:r>
        <w:t>Workflow</w:t>
      </w:r>
    </w:p>
    <w:p>
      <w:pPr>
        <w:pStyle w:val="ListNumber"/>
        <w:spacing w:before="0" w:after="80" w:line="300" w:lineRule="auto"/>
      </w:pPr>
      <w:r>
        <w:t>Create a CloudResearch project using targeted worker/auditor screening where available.</w:t>
      </w:r>
    </w:p>
    <w:p>
      <w:pPr>
        <w:pStyle w:val="ListNumber"/>
        <w:spacing w:before="0" w:after="80" w:line="300" w:lineRule="auto"/>
      </w:pPr>
      <w:r>
        <w:t>Route participants to the anonymous Qualtrics link.</w:t>
      </w:r>
    </w:p>
    <w:p>
      <w:pPr>
        <w:pStyle w:val="ListNumber"/>
        <w:spacing w:before="0" w:after="80" w:line="300" w:lineRule="auto"/>
      </w:pPr>
      <w:r>
        <w:t>Use platform redirect or a completion code; do not collect participant IDs inside Qualtrics.</w:t>
      </w:r>
    </w:p>
    <w:p>
      <w:pPr>
        <w:pStyle w:val="ListNumber"/>
        <w:spacing w:before="0" w:after="80" w:line="300" w:lineRule="auto"/>
      </w:pPr>
      <w:r>
        <w:t>Soft launch with approximately 10 to 15 responses.</w:t>
      </w:r>
    </w:p>
    <w:p>
      <w:pPr>
        <w:pStyle w:val="ListNumber"/>
        <w:spacing w:before="0" w:after="80" w:line="300" w:lineRule="auto"/>
      </w:pPr>
      <w:r>
        <w:t>Review eligibility pass rate, attention-check performance, completion time, duplicate risk, and export variable integrity.</w:t>
      </w:r>
    </w:p>
    <w:p>
      <w:pPr>
        <w:pStyle w:val="ListNumber"/>
        <w:spacing w:before="0" w:after="80" w:line="300" w:lineRule="auto"/>
      </w:pPr>
      <w:r>
        <w:t>Proceed to full launch only after soft-launch quality checks pass.</w:t>
      </w:r>
    </w:p>
    <w:p>
      <w:pPr>
        <w:pStyle w:val="Heading1"/>
      </w:pPr>
      <w:r>
        <w:t>Quality Filters</w:t>
      </w:r>
    </w:p>
    <w:p>
      <w:pPr>
        <w:pStyle w:val="ListBullet"/>
        <w:spacing w:before="0" w:after="80" w:line="300" w:lineRule="auto"/>
      </w:pPr>
      <w:r>
        <w:t>Prevent duplicate submissions through platform controls and Qualtrics settings.</w:t>
      </w:r>
    </w:p>
    <w:p>
      <w:pPr>
        <w:pStyle w:val="ListBullet"/>
        <w:spacing w:before="0" w:after="80" w:line="300" w:lineRule="auto"/>
      </w:pPr>
      <w:r>
        <w:t>Use CloudResearch quality controls for suspicious activity where available.</w:t>
      </w:r>
    </w:p>
    <w:p>
      <w:pPr>
        <w:pStyle w:val="ListBullet"/>
        <w:spacing w:before="0" w:after="80" w:line="300" w:lineRule="auto"/>
      </w:pPr>
      <w:r>
        <w:t>Review page timing and flag unrealistically fast responses.</w:t>
      </w:r>
    </w:p>
    <w:p>
      <w:pPr>
        <w:pStyle w:val="ListBullet"/>
        <w:spacing w:before="0" w:after="80" w:line="300" w:lineRule="auto"/>
      </w:pPr>
      <w:r>
        <w:t>Flag respondents who miss 2 of 3 attention checks.</w:t>
      </w:r>
    </w:p>
    <w:p>
      <w:pPr>
        <w:pStyle w:val="ListBullet"/>
        <w:spacing w:before="0" w:after="80" w:line="300" w:lineRule="auto"/>
      </w:pPr>
      <w:r>
        <w:t>Maintain N = 60 to 80 valid responses after cleaning.</w:t>
      </w:r>
    </w:p>
    <w:p>
      <w:pPr>
        <w:pStyle w:val="Heading1"/>
      </w:pPr>
      <w:r>
        <w:t>Do Not Add</w:t>
      </w:r>
    </w:p>
    <w:p>
      <w:pPr>
        <w:pStyle w:val="ListBullet"/>
        <w:spacing w:before="0" w:after="80" w:line="300" w:lineRule="auto"/>
      </w:pPr>
      <w:r>
        <w:t>Do not add AI/LLM items to this current survey.</w:t>
      </w:r>
    </w:p>
    <w:p>
      <w:pPr>
        <w:pStyle w:val="ListBullet"/>
        <w:spacing w:before="0" w:after="80" w:line="300" w:lineRule="auto"/>
      </w:pPr>
      <w:r>
        <w:t>Do not request employer, client, or confidential engagement names.</w:t>
      </w:r>
    </w:p>
    <w:p>
      <w:pPr>
        <w:pStyle w:val="ListBullet"/>
        <w:spacing w:before="0" w:after="80" w:line="300" w:lineRule="auto"/>
      </w:pPr>
      <w:r>
        <w:t>Do not request personal financial, clinical, account-level, or sensitive data.</w:t>
      </w:r>
    </w:p>
    <w:p>
      <w:pPr>
        <w:pStyle w:val="ListBullet"/>
        <w:spacing w:before="0" w:after="80" w:line="300" w:lineRule="auto"/>
      </w:pPr>
      <w:r>
        <w:t>Do not make scope-affecting pilot changes without advisor/IRB review.</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95959"/>
        <w:sz w:val="18"/>
      </w:rPr>
      <w:t>Prepared for GEB7913 qualifying examination work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595959"/>
        <w:sz w:val="18"/>
      </w:rPr>
      <w:t>Yasir Malik DBA Research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