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28"/>
        </w:rPr>
        <w:t>FLORIDA INTERNATIONAL UNIVERSITY</w:t>
      </w:r>
    </w:p>
    <w:p>
      <w:pPr>
        <w:spacing w:after="360"/>
        <w:jc w:val="center"/>
      </w:pPr>
      <w:r>
        <w:rPr>
          <w:rFonts w:ascii="Calibri" w:hAnsi="Calibri"/>
          <w:b w:val="0"/>
          <w:i w:val="0"/>
          <w:sz w:val="22"/>
        </w:rPr>
        <w:t>Miami, Florida</w:t>
      </w:r>
    </w:p>
    <w:p>
      <w:pPr>
        <w:spacing w:after="40"/>
        <w:jc w:val="center"/>
      </w:pPr>
      <w:r>
        <w:rPr>
          <w:rFonts w:ascii="Calibri" w:hAnsi="Calibri"/>
          <w:b/>
          <w:i w:val="0"/>
          <w:sz w:val="22"/>
        </w:rPr>
        <w:t>DOCTOR OF BUSINESS ADMINISTRATION</w:t>
      </w:r>
    </w:p>
    <w:p>
      <w:pPr>
        <w:spacing w:after="360"/>
        <w:jc w:val="center"/>
      </w:pPr>
      <w:r>
        <w:rPr>
          <w:rFonts w:ascii="Calibri" w:hAnsi="Calibri"/>
          <w:b w:val="0"/>
          <w:i w:val="0"/>
          <w:sz w:val="22"/>
        </w:rPr>
        <w:t>College of Business</w:t>
      </w:r>
    </w:p>
    <w:p>
      <w:pPr>
        <w:spacing w:after="40"/>
        <w:jc w:val="center"/>
      </w:pPr>
      <w:r>
        <w:rPr>
          <w:rFonts w:ascii="Calibri" w:hAnsi="Calibri"/>
          <w:b/>
          <w:i w:val="0"/>
          <w:sz w:val="22"/>
        </w:rPr>
        <w:t>Research Project Proposal — Revised Draft (v3)</w:t>
      </w:r>
    </w:p>
    <w:p>
      <w:pPr>
        <w:spacing w:after="40"/>
        <w:jc w:val="center"/>
      </w:pPr>
      <w:r>
        <w:rPr>
          <w:rFonts w:ascii="Calibri" w:hAnsi="Calibri"/>
          <w:b w:val="0"/>
          <w:i w:val="0"/>
          <w:sz w:val="22"/>
        </w:rPr>
        <w:t>Course: GEB7913  |  Cohort 7.16</w:t>
      </w:r>
    </w:p>
    <w:p>
      <w:pPr>
        <w:spacing w:after="480"/>
        <w:jc w:val="center"/>
      </w:pPr>
      <w:r>
        <w:rPr>
          <w:rFonts w:ascii="Calibri" w:hAnsi="Calibri"/>
          <w:b w:val="0"/>
          <w:i w:val="0"/>
          <w:sz w:val="22"/>
        </w:rPr>
        <w:t>Instructor Name: Professor Juan Rey</w:t>
      </w:r>
    </w:p>
    <w:p>
      <w:pPr>
        <w:spacing w:after="40"/>
        <w:jc w:val="center"/>
      </w:pPr>
      <w:r>
        <w:rPr>
          <w:rFonts w:ascii="Calibri" w:hAnsi="Calibri"/>
          <w:b/>
          <w:i w:val="0"/>
          <w:sz w:val="32"/>
        </w:rPr>
        <w:t>Mitigating Anchoring Bias in</w:t>
      </w:r>
    </w:p>
    <w:p>
      <w:pPr>
        <w:spacing w:after="40"/>
        <w:jc w:val="center"/>
      </w:pPr>
      <w:r>
        <w:rPr>
          <w:rFonts w:ascii="Calibri" w:hAnsi="Calibri"/>
          <w:b/>
          <w:i w:val="0"/>
          <w:sz w:val="32"/>
        </w:rPr>
        <w:t>Long-Term Auditor Engagements:</w:t>
      </w:r>
    </w:p>
    <w:p>
      <w:pPr>
        <w:spacing w:after="480"/>
        <w:jc w:val="center"/>
      </w:pPr>
      <w:r>
        <w:rPr>
          <w:rFonts w:ascii="Calibri" w:hAnsi="Calibri"/>
          <w:b/>
          <w:i w:val="0"/>
          <w:sz w:val="32"/>
        </w:rPr>
        <w:t>An EFA-Based Validation Study</w:t>
      </w:r>
    </w:p>
    <w:p>
      <w:pPr>
        <w:spacing w:after="40"/>
        <w:jc w:val="center"/>
      </w:pPr>
      <w:r>
        <w:rPr>
          <w:rFonts w:ascii="Calibri" w:hAnsi="Calibri"/>
          <w:b w:val="0"/>
          <w:i w:val="0"/>
          <w:sz w:val="22"/>
        </w:rPr>
        <w:t>Submitted by</w:t>
      </w:r>
    </w:p>
    <w:p>
      <w:pPr>
        <w:spacing w:after="40"/>
        <w:jc w:val="center"/>
      </w:pPr>
      <w:r>
        <w:rPr>
          <w:rFonts w:ascii="Calibri" w:hAnsi="Calibri"/>
          <w:b/>
          <w:i w:val="0"/>
          <w:sz w:val="22"/>
        </w:rPr>
        <w:t>Yasir A. Malik</w:t>
      </w:r>
    </w:p>
    <w:p>
      <w:pPr>
        <w:spacing w:after="160"/>
        <w:jc w:val="center"/>
      </w:pPr>
      <w:r>
        <w:rPr>
          <w:rFonts w:ascii="Calibri" w:hAnsi="Calibri"/>
          <w:b w:val="0"/>
          <w:i w:val="0"/>
          <w:sz w:val="22"/>
        </w:rPr>
        <w:t>PID 1687105</w:t>
      </w:r>
    </w:p>
    <w:p>
      <w:pPr>
        <w:spacing w:after="360"/>
        <w:jc w:val="center"/>
      </w:pPr>
      <w:r>
        <w:rPr>
          <w:rFonts w:ascii="Calibri" w:hAnsi="Calibri"/>
          <w:b w:val="0"/>
          <w:i w:val="0"/>
          <w:sz w:val="22"/>
        </w:rPr>
        <w:t>Revised: May 27, 2026 (v3)</w:t>
      </w:r>
    </w:p>
    <w:p>
      <w:pPr>
        <w:spacing w:after="120"/>
        <w:jc w:val="center"/>
      </w:pPr>
      <w:r>
        <w:rPr>
          <w:rFonts w:ascii="Calibri" w:hAnsi="Calibri"/>
          <w:b w:val="0"/>
          <w:i/>
          <w:sz w:val="18"/>
        </w:rPr>
        <w:t>Revision Notes: v3 adds Section 2.1 narrative, new Section 4.6 Ethical Considerations, expanded Section 6 LLM-extension citations, and five updated references.</w:t>
      </w:r>
    </w:p>
    <w:p>
      <w:r>
        <w:br w:type="page"/>
      </w:r>
    </w:p>
    <w:p>
      <w:pPr>
        <w:keepNext/>
        <w:spacing w:before="240" w:after="120"/>
      </w:pPr>
      <w:r>
        <w:rPr>
          <w:rFonts w:ascii="Calibri" w:hAnsi="Calibri"/>
          <w:b/>
          <w:i w:val="0"/>
          <w:sz w:val="28"/>
        </w:rPr>
        <w:t>1.  Introduction and Statement of the Problem</w:t>
      </w:r>
    </w:p>
    <w:p>
      <w:pPr>
        <w:spacing w:after="120"/>
      </w:pPr>
      <w:r>
        <w:rPr>
          <w:rFonts w:ascii="Calibri" w:hAnsi="Calibri"/>
          <w:b w:val="0"/>
          <w:i w:val="0"/>
          <w:sz w:val="22"/>
        </w:rPr>
        <w:t>Anchoring bias is a cognitive heuristic in which individuals weight an initial reference point too heavily when adjusting toward a final estimate (Tversky &amp; Kahneman, 1974). In financial-statement auditing, this manifests when audit teams returning to long-term client engagements anchor on prior-period balances, estimates, or management explanations rather than re-evaluating each account on independent evidence. The consequence is a measurable threat to professional skepticism, audit quality, and the reliability of financial reporting on which capital markets, regulators, and depositors depend.</w:t>
      </w:r>
    </w:p>
    <w:p>
      <w:pPr>
        <w:spacing w:after="120"/>
      </w:pPr>
      <w:r>
        <w:rPr>
          <w:rFonts w:ascii="Calibri" w:hAnsi="Calibri"/>
          <w:b w:val="0"/>
          <w:i w:val="0"/>
          <w:sz w:val="22"/>
        </w:rPr>
        <w:t>The problem worthy of study is twofold. First, the anchoring effect has been demonstrated repeatedly in laboratory and field studies of auditor judgment (Earley, 2001; Nelson, 2009; Bonner, 2008), yet practitioner-facing interventions remain fragmented. Second, the audit profession's standard tool kit — training, rotation, analytical procedures, structured methodologies, peer review, regulatory guidance, and incentive design — has never been examined as an integrated debiasing system within a single empirical model. Closing this gap matters because regulated industries (banking, insurance, healthcare) and Public Company Accounting Oversight Board (PCAOB) inspection findings consistently identify estimate-anchoring as a recurring deficiency.</w:t>
      </w:r>
    </w:p>
    <w:p>
      <w:pPr>
        <w:spacing w:after="120"/>
      </w:pPr>
      <w:r>
        <w:rPr>
          <w:rFonts w:ascii="Calibri" w:hAnsi="Calibri"/>
          <w:b w:val="0"/>
          <w:i w:val="0"/>
          <w:sz w:val="22"/>
        </w:rPr>
        <w:t>This Research Project asks one primary question:</w:t>
      </w:r>
    </w:p>
    <w:p>
      <w:pPr>
        <w:spacing w:after="120"/>
      </w:pPr>
      <w:r>
        <w:rPr>
          <w:rFonts w:ascii="Calibri" w:hAnsi="Calibri"/>
          <w:b w:val="0"/>
          <w:i/>
          <w:sz w:val="22"/>
        </w:rPr>
        <w:t>Which audit-process interventions, mediated by Auditor Judgment Quality and Audit Process Rigor, most effectively reduce anchoring bias in long-term auditor engagements?</w:t>
      </w:r>
    </w:p>
    <w:p>
      <w:pPr>
        <w:spacing w:after="120"/>
      </w:pPr>
      <w:r>
        <w:rPr>
          <w:rFonts w:ascii="Calibri" w:hAnsi="Calibri"/>
          <w:b w:val="0"/>
          <w:i w:val="0"/>
          <w:sz w:val="22"/>
        </w:rPr>
        <w:t>The study's contribution is an empirically validated, multi-construct model of anchoring-bias reduction that audit firms, internal audit functions, and regulators can use to prioritize debiasing investment. A secondary contribution is the validated measurement instrument itself, which is suitable for replication in adjacent professional-judgment domains (e.g., loan underwriting, model risk validation).</w:t>
      </w:r>
    </w:p>
    <w:p>
      <w:pPr>
        <w:keepNext/>
        <w:spacing w:before="240" w:after="120"/>
      </w:pPr>
      <w:r>
        <w:rPr>
          <w:rFonts w:ascii="Calibri" w:hAnsi="Calibri"/>
          <w:b/>
          <w:i w:val="0"/>
          <w:sz w:val="28"/>
        </w:rPr>
        <w:t>2.  Background and Theoretical Foundation</w:t>
      </w:r>
    </w:p>
    <w:p>
      <w:pPr>
        <w:spacing w:after="120"/>
      </w:pPr>
      <w:r>
        <w:rPr>
          <w:rFonts w:ascii="Calibri" w:hAnsi="Calibri"/>
          <w:b w:val="0"/>
          <w:i w:val="0"/>
          <w:sz w:val="22"/>
        </w:rPr>
        <w:t>The proposed model is grounded in three streams of behavioral and audit-quality literature: (i) heuristics and biases (Tversky &amp; Kahneman, 1974; Bonner, 2008); (ii) dual-process theory, in which deliberative System-2 reasoning can override automatic System-1 anchoring when supported by structure, feedback, or rotation (Nelson, 2009; Libby &amp; Luft, 1993); and (iii) audit-quality frameworks that connect process attributes to judgment outcomes (Knechel, 2013; DeFond &amp; Francis, 2005). Eight intervention constructs (independent variables) are theorized to operate through two judgment-process mediators to produce a measurable reduction in anchoring bias.</w:t>
      </w:r>
    </w:p>
    <w:p>
      <w:pPr>
        <w:keepNext/>
        <w:spacing w:before="200" w:after="80"/>
      </w:pPr>
      <w:r>
        <w:rPr>
          <w:rFonts w:ascii="Calibri" w:hAnsi="Calibri"/>
          <w:b/>
          <w:i w:val="0"/>
          <w:sz w:val="24"/>
        </w:rPr>
        <w:t>2.1  Constructs and Anchor Citations</w:t>
      </w:r>
    </w:p>
    <w:p>
      <w:pPr>
        <w:spacing w:after="120"/>
      </w:pPr>
      <w:r>
        <w:rPr>
          <w:rFonts w:ascii="Calibri" w:hAnsi="Calibri"/>
          <w:b w:val="0"/>
          <w:i w:val="0"/>
          <w:sz w:val="22"/>
        </w:rPr>
        <w:t>The eight intervention constructs are conceptualized not as independent levers but as a coordinated debiasing toolkit. Training &amp; Awareness (TA), Rotation of Auditors (RA), Use of Analytical Tools (AT), Structured Auditing Processes (SAP), Feedback &amp; Reflection (FR), Independent Reviews (IR), Regulatory &amp; Professional Guidance (RPG), and Performance Metrics &amp; Incentives (PMI) jointly span the cognitive, procedural, structural, and incentive layers through which an audit firm can interrupt anchor formation and anchor adjustment. The two mediators — Auditor Judgment Quality (AJQ) and Audit Process Rigor (APR) — operationalize two parallel pathways through which these interventions are theorized to act: AJQ captures the cognitive pathway (accuracy and objectivity of the judgment itself), while APR captures the procedural pathway (thoroughness and consistency of execution). The eleven-construct set was selected from the existing audit-judgment literature by triangulating three sources: (a) constructs with established measurement scales in behavioral-auditing research (Bonner, 2008; Nelson &amp; Tan, 2005); (b) intervention categories repeatedly identified in PCAOB inspection findings and audit-quality frameworks (DeFond &amp; Francis, 2005; Knechel, 2013); and (c) practitioner-facing levers documented in the audit-process and decision-aid literatures (Dowling &amp; Leech, 2007; Yoon et al., 2015). The resulting set is small enough to support a parsimonious EFA at n = 60–80 and broad enough to test the integrated debiasing-system hypothesis that motivates the study.</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r/>
            <w:r>
              <w:rPr>
                <w:rFonts w:ascii="Calibri" w:hAnsi="Calibri"/>
                <w:b/>
                <w:i w:val="0"/>
                <w:sz w:val="22"/>
              </w:rPr>
              <w:t>Code</w:t>
            </w:r>
          </w:p>
        </w:tc>
        <w:tc>
          <w:tcPr>
            <w:tcW w:type="dxa" w:w="2340"/>
          </w:tcPr>
          <w:p>
            <w:r/>
            <w:r>
              <w:rPr>
                <w:rFonts w:ascii="Calibri" w:hAnsi="Calibri"/>
                <w:b/>
                <w:i w:val="0"/>
                <w:sz w:val="22"/>
              </w:rPr>
              <w:t>Construct</w:t>
            </w:r>
          </w:p>
        </w:tc>
        <w:tc>
          <w:tcPr>
            <w:tcW w:type="dxa" w:w="2340"/>
          </w:tcPr>
          <w:p>
            <w:r/>
            <w:r>
              <w:rPr>
                <w:rFonts w:ascii="Calibri" w:hAnsi="Calibri"/>
                <w:b/>
                <w:i w:val="0"/>
                <w:sz w:val="22"/>
              </w:rPr>
              <w:t>Operational Definition</w:t>
            </w:r>
          </w:p>
        </w:tc>
        <w:tc>
          <w:tcPr>
            <w:tcW w:type="dxa" w:w="2340"/>
          </w:tcPr>
          <w:p>
            <w:r/>
            <w:r>
              <w:rPr>
                <w:rFonts w:ascii="Calibri" w:hAnsi="Calibri"/>
                <w:b/>
                <w:i w:val="0"/>
                <w:sz w:val="22"/>
              </w:rPr>
              <w:t>Anchor Citation</w:t>
            </w:r>
          </w:p>
        </w:tc>
      </w:tr>
      <w:tr>
        <w:tc>
          <w:tcPr>
            <w:tcW w:type="dxa" w:w="2340"/>
          </w:tcPr>
          <w:p>
            <w:r/>
            <w:r>
              <w:rPr>
                <w:rFonts w:ascii="Calibri" w:hAnsi="Calibri"/>
                <w:b w:val="0"/>
                <w:i w:val="0"/>
                <w:sz w:val="22"/>
              </w:rPr>
              <w:t>TA</w:t>
            </w:r>
          </w:p>
        </w:tc>
        <w:tc>
          <w:tcPr>
            <w:tcW w:type="dxa" w:w="2340"/>
          </w:tcPr>
          <w:p>
            <w:r/>
            <w:r>
              <w:rPr>
                <w:rFonts w:ascii="Calibri" w:hAnsi="Calibri"/>
                <w:b w:val="0"/>
                <w:i w:val="0"/>
                <w:sz w:val="22"/>
              </w:rPr>
              <w:t>Training &amp; Awareness</w:t>
            </w:r>
          </w:p>
        </w:tc>
        <w:tc>
          <w:tcPr>
            <w:tcW w:type="dxa" w:w="2340"/>
          </w:tcPr>
          <w:p>
            <w:r/>
            <w:r>
              <w:rPr>
                <w:rFonts w:ascii="Calibri" w:hAnsi="Calibri"/>
                <w:b w:val="0"/>
                <w:i w:val="0"/>
                <w:sz w:val="22"/>
              </w:rPr>
              <w:t>Structured bias-recognition and debiasing training.</w:t>
            </w:r>
          </w:p>
        </w:tc>
        <w:tc>
          <w:tcPr>
            <w:tcW w:type="dxa" w:w="2340"/>
          </w:tcPr>
          <w:p>
            <w:r/>
            <w:r>
              <w:rPr>
                <w:rFonts w:ascii="Calibri" w:hAnsi="Calibri"/>
                <w:b w:val="0"/>
                <w:i w:val="0"/>
                <w:sz w:val="22"/>
              </w:rPr>
              <w:t>Earley (2001)</w:t>
            </w:r>
          </w:p>
        </w:tc>
      </w:tr>
      <w:tr>
        <w:tc>
          <w:tcPr>
            <w:tcW w:type="dxa" w:w="2340"/>
          </w:tcPr>
          <w:p>
            <w:r/>
            <w:r>
              <w:rPr>
                <w:rFonts w:ascii="Calibri" w:hAnsi="Calibri"/>
                <w:b w:val="0"/>
                <w:i w:val="0"/>
                <w:sz w:val="22"/>
              </w:rPr>
              <w:t>RA</w:t>
            </w:r>
          </w:p>
        </w:tc>
        <w:tc>
          <w:tcPr>
            <w:tcW w:type="dxa" w:w="2340"/>
          </w:tcPr>
          <w:p>
            <w:r/>
            <w:r>
              <w:rPr>
                <w:rFonts w:ascii="Calibri" w:hAnsi="Calibri"/>
                <w:b w:val="0"/>
                <w:i w:val="0"/>
                <w:sz w:val="22"/>
              </w:rPr>
              <w:t>Rotation of Auditors</w:t>
            </w:r>
          </w:p>
        </w:tc>
        <w:tc>
          <w:tcPr>
            <w:tcW w:type="dxa" w:w="2340"/>
          </w:tcPr>
          <w:p>
            <w:r/>
            <w:r>
              <w:rPr>
                <w:rFonts w:ascii="Calibri" w:hAnsi="Calibri"/>
                <w:b w:val="0"/>
                <w:i w:val="0"/>
                <w:sz w:val="22"/>
              </w:rPr>
              <w:t>Periodic rotation of personnel to disrupt relational lock-in.</w:t>
            </w:r>
          </w:p>
        </w:tc>
        <w:tc>
          <w:tcPr>
            <w:tcW w:type="dxa" w:w="2340"/>
          </w:tcPr>
          <w:p>
            <w:r/>
            <w:r>
              <w:rPr>
                <w:rFonts w:ascii="Calibri" w:hAnsi="Calibri"/>
                <w:b w:val="0"/>
                <w:i w:val="0"/>
                <w:sz w:val="22"/>
              </w:rPr>
              <w:t>Arel et al. (2005)</w:t>
            </w:r>
          </w:p>
        </w:tc>
      </w:tr>
      <w:tr>
        <w:tc>
          <w:tcPr>
            <w:tcW w:type="dxa" w:w="2340"/>
          </w:tcPr>
          <w:p>
            <w:r/>
            <w:r>
              <w:rPr>
                <w:rFonts w:ascii="Calibri" w:hAnsi="Calibri"/>
                <w:b w:val="0"/>
                <w:i w:val="0"/>
                <w:sz w:val="22"/>
              </w:rPr>
              <w:t>AT</w:t>
            </w:r>
          </w:p>
        </w:tc>
        <w:tc>
          <w:tcPr>
            <w:tcW w:type="dxa" w:w="2340"/>
          </w:tcPr>
          <w:p>
            <w:r/>
            <w:r>
              <w:rPr>
                <w:rFonts w:ascii="Calibri" w:hAnsi="Calibri"/>
                <w:b w:val="0"/>
                <w:i w:val="0"/>
                <w:sz w:val="22"/>
              </w:rPr>
              <w:t>Use of Analytical Tools</w:t>
            </w:r>
          </w:p>
        </w:tc>
        <w:tc>
          <w:tcPr>
            <w:tcW w:type="dxa" w:w="2340"/>
          </w:tcPr>
          <w:p>
            <w:r/>
            <w:r>
              <w:rPr>
                <w:rFonts w:ascii="Calibri" w:hAnsi="Calibri"/>
                <w:b w:val="0"/>
                <w:i w:val="0"/>
                <w:sz w:val="22"/>
              </w:rPr>
              <w:t>Data-analytics and visualization tools surfacing anomalies.</w:t>
            </w:r>
          </w:p>
        </w:tc>
        <w:tc>
          <w:tcPr>
            <w:tcW w:type="dxa" w:w="2340"/>
          </w:tcPr>
          <w:p>
            <w:r/>
            <w:r>
              <w:rPr>
                <w:rFonts w:ascii="Calibri" w:hAnsi="Calibri"/>
                <w:b w:val="0"/>
                <w:i w:val="0"/>
                <w:sz w:val="22"/>
              </w:rPr>
              <w:t>Yoon et al. (2015)</w:t>
            </w:r>
          </w:p>
        </w:tc>
      </w:tr>
      <w:tr>
        <w:tc>
          <w:tcPr>
            <w:tcW w:type="dxa" w:w="2340"/>
          </w:tcPr>
          <w:p>
            <w:r/>
            <w:r>
              <w:rPr>
                <w:rFonts w:ascii="Calibri" w:hAnsi="Calibri"/>
                <w:b w:val="0"/>
                <w:i w:val="0"/>
                <w:sz w:val="22"/>
              </w:rPr>
              <w:t>SAP</w:t>
            </w:r>
          </w:p>
        </w:tc>
        <w:tc>
          <w:tcPr>
            <w:tcW w:type="dxa" w:w="2340"/>
          </w:tcPr>
          <w:p>
            <w:r/>
            <w:r>
              <w:rPr>
                <w:rFonts w:ascii="Calibri" w:hAnsi="Calibri"/>
                <w:b w:val="0"/>
                <w:i w:val="0"/>
                <w:sz w:val="22"/>
              </w:rPr>
              <w:t>Structured Auditing Processes</w:t>
            </w:r>
          </w:p>
        </w:tc>
        <w:tc>
          <w:tcPr>
            <w:tcW w:type="dxa" w:w="2340"/>
          </w:tcPr>
          <w:p>
            <w:r/>
            <w:r>
              <w:rPr>
                <w:rFonts w:ascii="Calibri" w:hAnsi="Calibri"/>
                <w:b w:val="0"/>
                <w:i w:val="0"/>
                <w:sz w:val="22"/>
              </w:rPr>
              <w:t>Standardized procedures and decision aids.</w:t>
            </w:r>
          </w:p>
        </w:tc>
        <w:tc>
          <w:tcPr>
            <w:tcW w:type="dxa" w:w="2340"/>
          </w:tcPr>
          <w:p>
            <w:r/>
            <w:r>
              <w:rPr>
                <w:rFonts w:ascii="Calibri" w:hAnsi="Calibri"/>
                <w:b w:val="0"/>
                <w:i w:val="0"/>
                <w:sz w:val="22"/>
              </w:rPr>
              <w:t>Dowling &amp; Leech (2007)</w:t>
            </w:r>
          </w:p>
        </w:tc>
      </w:tr>
      <w:tr>
        <w:tc>
          <w:tcPr>
            <w:tcW w:type="dxa" w:w="2340"/>
          </w:tcPr>
          <w:p>
            <w:r/>
            <w:r>
              <w:rPr>
                <w:rFonts w:ascii="Calibri" w:hAnsi="Calibri"/>
                <w:b w:val="0"/>
                <w:i w:val="0"/>
                <w:sz w:val="22"/>
              </w:rPr>
              <w:t>FR</w:t>
            </w:r>
          </w:p>
        </w:tc>
        <w:tc>
          <w:tcPr>
            <w:tcW w:type="dxa" w:w="2340"/>
          </w:tcPr>
          <w:p>
            <w:r/>
            <w:r>
              <w:rPr>
                <w:rFonts w:ascii="Calibri" w:hAnsi="Calibri"/>
                <w:b w:val="0"/>
                <w:i w:val="0"/>
                <w:sz w:val="22"/>
              </w:rPr>
              <w:t>Feedback &amp; Reflection</w:t>
            </w:r>
          </w:p>
        </w:tc>
        <w:tc>
          <w:tcPr>
            <w:tcW w:type="dxa" w:w="2340"/>
          </w:tcPr>
          <w:p>
            <w:r/>
            <w:r>
              <w:rPr>
                <w:rFonts w:ascii="Calibri" w:hAnsi="Calibri"/>
                <w:b w:val="0"/>
                <w:i w:val="0"/>
                <w:sz w:val="22"/>
              </w:rPr>
              <w:t>Metacognitive feedback loops and post-task debriefs.</w:t>
            </w:r>
          </w:p>
        </w:tc>
        <w:tc>
          <w:tcPr>
            <w:tcW w:type="dxa" w:w="2340"/>
          </w:tcPr>
          <w:p>
            <w:r/>
            <w:r>
              <w:rPr>
                <w:rFonts w:ascii="Calibri" w:hAnsi="Calibri"/>
                <w:b w:val="0"/>
                <w:i w:val="0"/>
                <w:sz w:val="22"/>
              </w:rPr>
              <w:t>Bamber &amp; Iyer (2007)</w:t>
            </w:r>
          </w:p>
        </w:tc>
      </w:tr>
      <w:tr>
        <w:tc>
          <w:tcPr>
            <w:tcW w:type="dxa" w:w="2340"/>
          </w:tcPr>
          <w:p>
            <w:r/>
            <w:r>
              <w:rPr>
                <w:rFonts w:ascii="Calibri" w:hAnsi="Calibri"/>
                <w:b w:val="0"/>
                <w:i w:val="0"/>
                <w:sz w:val="22"/>
              </w:rPr>
              <w:t>IR</w:t>
            </w:r>
          </w:p>
        </w:tc>
        <w:tc>
          <w:tcPr>
            <w:tcW w:type="dxa" w:w="2340"/>
          </w:tcPr>
          <w:p>
            <w:r/>
            <w:r>
              <w:rPr>
                <w:rFonts w:ascii="Calibri" w:hAnsi="Calibri"/>
                <w:b w:val="0"/>
                <w:i w:val="0"/>
                <w:sz w:val="22"/>
              </w:rPr>
              <w:t>Independent Reviews</w:t>
            </w:r>
          </w:p>
        </w:tc>
        <w:tc>
          <w:tcPr>
            <w:tcW w:type="dxa" w:w="2340"/>
          </w:tcPr>
          <w:p>
            <w:r/>
            <w:r>
              <w:rPr>
                <w:rFonts w:ascii="Calibri" w:hAnsi="Calibri"/>
                <w:b w:val="0"/>
                <w:i w:val="0"/>
                <w:sz w:val="22"/>
              </w:rPr>
              <w:t>Peer and quality-assurance reviews by uninvolved auditors.</w:t>
            </w:r>
          </w:p>
        </w:tc>
        <w:tc>
          <w:tcPr>
            <w:tcW w:type="dxa" w:w="2340"/>
          </w:tcPr>
          <w:p>
            <w:r/>
            <w:r>
              <w:rPr>
                <w:rFonts w:ascii="Calibri" w:hAnsi="Calibri"/>
                <w:b w:val="0"/>
                <w:i w:val="0"/>
                <w:sz w:val="22"/>
              </w:rPr>
              <w:t>DeFond &amp; Francis (2005)</w:t>
            </w:r>
          </w:p>
        </w:tc>
      </w:tr>
      <w:tr>
        <w:tc>
          <w:tcPr>
            <w:tcW w:type="dxa" w:w="2340"/>
          </w:tcPr>
          <w:p>
            <w:r/>
            <w:r>
              <w:rPr>
                <w:rFonts w:ascii="Calibri" w:hAnsi="Calibri"/>
                <w:b w:val="0"/>
                <w:i w:val="0"/>
                <w:sz w:val="22"/>
              </w:rPr>
              <w:t>RPG</w:t>
            </w:r>
          </w:p>
        </w:tc>
        <w:tc>
          <w:tcPr>
            <w:tcW w:type="dxa" w:w="2340"/>
          </w:tcPr>
          <w:p>
            <w:r/>
            <w:r>
              <w:rPr>
                <w:rFonts w:ascii="Calibri" w:hAnsi="Calibri"/>
                <w:b w:val="0"/>
                <w:i w:val="0"/>
                <w:sz w:val="22"/>
              </w:rPr>
              <w:t>Regulatory &amp; Professional Guidance</w:t>
            </w:r>
          </w:p>
        </w:tc>
        <w:tc>
          <w:tcPr>
            <w:tcW w:type="dxa" w:w="2340"/>
          </w:tcPr>
          <w:p>
            <w:r/>
            <w:r>
              <w:rPr>
                <w:rFonts w:ascii="Calibri" w:hAnsi="Calibri"/>
                <w:b w:val="0"/>
                <w:i w:val="0"/>
                <w:sz w:val="22"/>
              </w:rPr>
              <w:t>Adherence to PCAOB and professional standards.</w:t>
            </w:r>
          </w:p>
        </w:tc>
        <w:tc>
          <w:tcPr>
            <w:tcW w:type="dxa" w:w="2340"/>
          </w:tcPr>
          <w:p>
            <w:r/>
            <w:r>
              <w:rPr>
                <w:rFonts w:ascii="Calibri" w:hAnsi="Calibri"/>
                <w:b w:val="0"/>
                <w:i w:val="0"/>
                <w:sz w:val="22"/>
              </w:rPr>
              <w:t>PCAOB (2015)</w:t>
            </w:r>
          </w:p>
        </w:tc>
      </w:tr>
      <w:tr>
        <w:tc>
          <w:tcPr>
            <w:tcW w:type="dxa" w:w="2340"/>
          </w:tcPr>
          <w:p>
            <w:r/>
            <w:r>
              <w:rPr>
                <w:rFonts w:ascii="Calibri" w:hAnsi="Calibri"/>
                <w:b w:val="0"/>
                <w:i w:val="0"/>
                <w:sz w:val="22"/>
              </w:rPr>
              <w:t>PMI</w:t>
            </w:r>
          </w:p>
        </w:tc>
        <w:tc>
          <w:tcPr>
            <w:tcW w:type="dxa" w:w="2340"/>
          </w:tcPr>
          <w:p>
            <w:r/>
            <w:r>
              <w:rPr>
                <w:rFonts w:ascii="Calibri" w:hAnsi="Calibri"/>
                <w:b w:val="0"/>
                <w:i w:val="0"/>
                <w:sz w:val="22"/>
              </w:rPr>
              <w:t>Performance Metrics &amp; Incentives</w:t>
            </w:r>
          </w:p>
        </w:tc>
        <w:tc>
          <w:tcPr>
            <w:tcW w:type="dxa" w:w="2340"/>
          </w:tcPr>
          <w:p>
            <w:r/>
            <w:r>
              <w:rPr>
                <w:rFonts w:ascii="Calibri" w:hAnsi="Calibri"/>
                <w:b w:val="0"/>
                <w:i w:val="0"/>
                <w:sz w:val="22"/>
              </w:rPr>
              <w:t>Quality-aligned performance evaluation and incentives.</w:t>
            </w:r>
          </w:p>
        </w:tc>
        <w:tc>
          <w:tcPr>
            <w:tcW w:type="dxa" w:w="2340"/>
          </w:tcPr>
          <w:p>
            <w:r/>
            <w:r>
              <w:rPr>
                <w:rFonts w:ascii="Calibri" w:hAnsi="Calibri"/>
                <w:b w:val="0"/>
                <w:i w:val="0"/>
                <w:sz w:val="22"/>
              </w:rPr>
              <w:t>Knechel (2013)</w:t>
            </w:r>
          </w:p>
        </w:tc>
      </w:tr>
      <w:tr>
        <w:tc>
          <w:tcPr>
            <w:tcW w:type="dxa" w:w="2340"/>
          </w:tcPr>
          <w:p>
            <w:r/>
            <w:r>
              <w:rPr>
                <w:rFonts w:ascii="Calibri" w:hAnsi="Calibri"/>
                <w:b w:val="0"/>
                <w:i w:val="0"/>
                <w:sz w:val="22"/>
              </w:rPr>
              <w:t>AJQ</w:t>
            </w:r>
          </w:p>
        </w:tc>
        <w:tc>
          <w:tcPr>
            <w:tcW w:type="dxa" w:w="2340"/>
          </w:tcPr>
          <w:p>
            <w:r/>
            <w:r>
              <w:rPr>
                <w:rFonts w:ascii="Calibri" w:hAnsi="Calibri"/>
                <w:b w:val="0"/>
                <w:i w:val="0"/>
                <w:sz w:val="22"/>
              </w:rPr>
              <w:t>Auditor Judgment Quality (Mediator)</w:t>
            </w:r>
          </w:p>
        </w:tc>
        <w:tc>
          <w:tcPr>
            <w:tcW w:type="dxa" w:w="2340"/>
          </w:tcPr>
          <w:p>
            <w:r/>
            <w:r>
              <w:rPr>
                <w:rFonts w:ascii="Calibri" w:hAnsi="Calibri"/>
                <w:b w:val="0"/>
                <w:i w:val="0"/>
                <w:sz w:val="22"/>
              </w:rPr>
              <w:t>Mediator — accuracy and objectivity of auditor judgments.</w:t>
            </w:r>
          </w:p>
        </w:tc>
        <w:tc>
          <w:tcPr>
            <w:tcW w:type="dxa" w:w="2340"/>
          </w:tcPr>
          <w:p>
            <w:r/>
            <w:r>
              <w:rPr>
                <w:rFonts w:ascii="Calibri" w:hAnsi="Calibri"/>
                <w:b w:val="0"/>
                <w:i w:val="0"/>
                <w:sz w:val="22"/>
              </w:rPr>
              <w:t>Bonner (2008)</w:t>
            </w:r>
          </w:p>
        </w:tc>
      </w:tr>
      <w:tr>
        <w:tc>
          <w:tcPr>
            <w:tcW w:type="dxa" w:w="2340"/>
          </w:tcPr>
          <w:p>
            <w:r/>
            <w:r>
              <w:rPr>
                <w:rFonts w:ascii="Calibri" w:hAnsi="Calibri"/>
                <w:b w:val="0"/>
                <w:i w:val="0"/>
                <w:sz w:val="22"/>
              </w:rPr>
              <w:t>APR</w:t>
            </w:r>
          </w:p>
        </w:tc>
        <w:tc>
          <w:tcPr>
            <w:tcW w:type="dxa" w:w="2340"/>
          </w:tcPr>
          <w:p>
            <w:r/>
            <w:r>
              <w:rPr>
                <w:rFonts w:ascii="Calibri" w:hAnsi="Calibri"/>
                <w:b w:val="0"/>
                <w:i w:val="0"/>
                <w:sz w:val="22"/>
              </w:rPr>
              <w:t>Audit Process Rigor (Mediator)</w:t>
            </w:r>
          </w:p>
        </w:tc>
        <w:tc>
          <w:tcPr>
            <w:tcW w:type="dxa" w:w="2340"/>
          </w:tcPr>
          <w:p>
            <w:r/>
            <w:r>
              <w:rPr>
                <w:rFonts w:ascii="Calibri" w:hAnsi="Calibri"/>
                <w:b w:val="0"/>
                <w:i w:val="0"/>
                <w:sz w:val="22"/>
              </w:rPr>
              <w:t>Mediator — thoroughness and consistency of execution.</w:t>
            </w:r>
          </w:p>
        </w:tc>
        <w:tc>
          <w:tcPr>
            <w:tcW w:type="dxa" w:w="2340"/>
          </w:tcPr>
          <w:p>
            <w:r/>
            <w:r>
              <w:rPr>
                <w:rFonts w:ascii="Calibri" w:hAnsi="Calibri"/>
                <w:b w:val="0"/>
                <w:i w:val="0"/>
                <w:sz w:val="22"/>
              </w:rPr>
              <w:t>Nelson &amp; Tan (2005)</w:t>
            </w:r>
          </w:p>
        </w:tc>
      </w:tr>
      <w:tr>
        <w:tc>
          <w:tcPr>
            <w:tcW w:type="dxa" w:w="2340"/>
          </w:tcPr>
          <w:p>
            <w:r/>
            <w:r>
              <w:rPr>
                <w:rFonts w:ascii="Calibri" w:hAnsi="Calibri"/>
                <w:b w:val="0"/>
                <w:i w:val="0"/>
                <w:sz w:val="22"/>
              </w:rPr>
              <w:t>RAB</w:t>
            </w:r>
          </w:p>
        </w:tc>
        <w:tc>
          <w:tcPr>
            <w:tcW w:type="dxa" w:w="2340"/>
          </w:tcPr>
          <w:p>
            <w:r/>
            <w:r>
              <w:rPr>
                <w:rFonts w:ascii="Calibri" w:hAnsi="Calibri"/>
                <w:b w:val="0"/>
                <w:i w:val="0"/>
                <w:sz w:val="22"/>
              </w:rPr>
              <w:t>Reduction in Anchoring Bias (DV)</w:t>
            </w:r>
          </w:p>
        </w:tc>
        <w:tc>
          <w:tcPr>
            <w:tcW w:type="dxa" w:w="2340"/>
          </w:tcPr>
          <w:p>
            <w:r/>
            <w:r>
              <w:rPr>
                <w:rFonts w:ascii="Calibri" w:hAnsi="Calibri"/>
                <w:b w:val="0"/>
                <w:i w:val="0"/>
                <w:sz w:val="22"/>
              </w:rPr>
              <w:t>Dependent variable — extent to which judgments are anchor-free.</w:t>
            </w:r>
          </w:p>
        </w:tc>
        <w:tc>
          <w:tcPr>
            <w:tcW w:type="dxa" w:w="2340"/>
          </w:tcPr>
          <w:p>
            <w:r/>
            <w:r>
              <w:rPr>
                <w:rFonts w:ascii="Calibri" w:hAnsi="Calibri"/>
                <w:b w:val="0"/>
                <w:i w:val="0"/>
                <w:sz w:val="22"/>
              </w:rPr>
              <w:t>Tversky &amp; Kahneman (1974)</w:t>
            </w:r>
          </w:p>
        </w:tc>
      </w:tr>
    </w:tbl>
    <w:p>
      <w:pPr>
        <w:spacing w:after="120"/>
      </w:pPr>
    </w:p>
    <w:p>
      <w:pPr>
        <w:keepNext/>
        <w:spacing w:before="240" w:after="120"/>
      </w:pPr>
      <w:r>
        <w:rPr>
          <w:rFonts w:ascii="Calibri" w:hAnsi="Calibri"/>
          <w:b/>
          <w:i w:val="0"/>
          <w:sz w:val="28"/>
        </w:rPr>
        <w:t>3.  Research Model and Hypotheses</w:t>
      </w:r>
    </w:p>
    <w:p>
      <w:pPr>
        <w:spacing w:after="120"/>
      </w:pPr>
      <w:r>
        <w:rPr>
          <w:rFonts w:ascii="Calibri" w:hAnsi="Calibri"/>
          <w:b w:val="0"/>
          <w:i w:val="0"/>
          <w:sz w:val="22"/>
        </w:rPr>
        <w:t>The conceptual model proposes that the eight intervention constructs reduce anchoring bias through two parallel paths: a direct effect on RAB and an indirect effect mediated by AJQ (process-of-judgment) or APR (process-of-execution). The full hypothesis set retained from the IRB-approved proposal is summarized below.</w:t>
      </w:r>
    </w:p>
    <w:p>
      <w:pPr>
        <w:spacing w:after="120"/>
      </w:pPr>
      <w:r>
        <w:rPr>
          <w:rFonts w:ascii="Calibri" w:hAnsi="Calibri"/>
          <w:b/>
          <w:i w:val="0"/>
          <w:sz w:val="22"/>
        </w:rPr>
        <w:t>Direct effects on RAB (H1, H3, H5, H7, H9, H11, H13, H15)</w:t>
      </w:r>
    </w:p>
    <w:p>
      <w:pPr>
        <w:pStyle w:val="ListBullet"/>
        <w:spacing w:after="60"/>
      </w:pPr>
      <w:r>
        <w:rPr>
          <w:rFonts w:ascii="Calibri" w:hAnsi="Calibri"/>
          <w:b w:val="0"/>
          <w:i w:val="0"/>
          <w:sz w:val="22"/>
        </w:rPr>
        <w:t>H1  —  Training &amp; Awareness reduce RAB by interrupting System-1 anchoring (Earley, 2001; Nelson, 2009).</w:t>
      </w:r>
    </w:p>
    <w:p>
      <w:pPr>
        <w:pStyle w:val="ListBullet"/>
        <w:spacing w:after="60"/>
      </w:pPr>
      <w:r>
        <w:rPr>
          <w:rFonts w:ascii="Calibri" w:hAnsi="Calibri"/>
          <w:b w:val="0"/>
          <w:i w:val="0"/>
          <w:sz w:val="22"/>
        </w:rPr>
        <w:t>H3  —  Rotation of Auditors reduces RAB by disrupting relational and informational lock-in (Arel et al., 2005; Chi et al., 2009).</w:t>
      </w:r>
    </w:p>
    <w:p>
      <w:pPr>
        <w:pStyle w:val="ListBullet"/>
        <w:spacing w:after="60"/>
      </w:pPr>
      <w:r>
        <w:rPr>
          <w:rFonts w:ascii="Calibri" w:hAnsi="Calibri"/>
          <w:b w:val="0"/>
          <w:i w:val="0"/>
          <w:sz w:val="22"/>
        </w:rPr>
        <w:t>H5  —  Analytical Tools reduce RAB by redirecting attention from historical anchors to current evidence (Yoon et al., 2015).</w:t>
      </w:r>
    </w:p>
    <w:p>
      <w:pPr>
        <w:pStyle w:val="ListBullet"/>
        <w:spacing w:after="60"/>
      </w:pPr>
      <w:r>
        <w:rPr>
          <w:rFonts w:ascii="Calibri" w:hAnsi="Calibri"/>
          <w:b w:val="0"/>
          <w:i w:val="0"/>
          <w:sz w:val="22"/>
        </w:rPr>
        <w:t>H7  —  Structured Auditing Processes reduce RAB by replacing heuristic shortcuts with standardized procedure (Dowling &amp; Leech, 2007).</w:t>
      </w:r>
    </w:p>
    <w:p>
      <w:pPr>
        <w:pStyle w:val="ListBullet"/>
        <w:spacing w:after="60"/>
      </w:pPr>
      <w:r>
        <w:rPr>
          <w:rFonts w:ascii="Calibri" w:hAnsi="Calibri"/>
          <w:b w:val="0"/>
          <w:i w:val="0"/>
          <w:sz w:val="22"/>
        </w:rPr>
        <w:t>H9  —  Feedback &amp; Reflection reduce RAB through metacognitive correction (Bamber &amp; Iyer, 2007).</w:t>
      </w:r>
    </w:p>
    <w:p>
      <w:pPr>
        <w:pStyle w:val="ListBullet"/>
        <w:spacing w:after="60"/>
      </w:pPr>
      <w:r>
        <w:rPr>
          <w:rFonts w:ascii="Calibri" w:hAnsi="Calibri"/>
          <w:b w:val="0"/>
          <w:i w:val="0"/>
          <w:sz w:val="22"/>
        </w:rPr>
        <w:t>H11 —  Independent Reviews reduce RAB by introducing unbiased second opinions (DeFond &amp; Francis, 2005).</w:t>
      </w:r>
    </w:p>
    <w:p>
      <w:pPr>
        <w:pStyle w:val="ListBullet"/>
        <w:spacing w:after="60"/>
      </w:pPr>
      <w:r>
        <w:rPr>
          <w:rFonts w:ascii="Calibri" w:hAnsi="Calibri"/>
          <w:b w:val="0"/>
          <w:i w:val="0"/>
          <w:sz w:val="22"/>
        </w:rPr>
        <w:t>H13 —  Regulatory &amp; Professional Guidance reduces RAB by constraining discretion (PCAOB, 2015; Knechel, 2013).</w:t>
      </w:r>
    </w:p>
    <w:p>
      <w:pPr>
        <w:pStyle w:val="ListBullet"/>
        <w:spacing w:after="60"/>
      </w:pPr>
      <w:r>
        <w:rPr>
          <w:rFonts w:ascii="Calibri" w:hAnsi="Calibri"/>
          <w:b w:val="0"/>
          <w:i w:val="0"/>
          <w:sz w:val="22"/>
        </w:rPr>
        <w:t>H15 —  Performance Metrics &amp; Incentives reduce RAB by aligning incentives with judgment quality (Knechel, 2013).</w:t>
      </w:r>
    </w:p>
    <w:p>
      <w:pPr>
        <w:spacing w:after="120"/>
      </w:pPr>
      <w:r>
        <w:rPr>
          <w:rFonts w:ascii="Calibri" w:hAnsi="Calibri"/>
          <w:b/>
          <w:i w:val="0"/>
          <w:sz w:val="22"/>
        </w:rPr>
        <w:t>Mediated effects via AJQ (H2, H4, H6, H10, H14, H16) and APR (H8, H12)</w:t>
      </w:r>
    </w:p>
    <w:p>
      <w:pPr>
        <w:pStyle w:val="ListBullet"/>
        <w:spacing w:after="60"/>
      </w:pPr>
      <w:r>
        <w:rPr>
          <w:rFonts w:ascii="Calibri" w:hAnsi="Calibri"/>
          <w:b w:val="0"/>
          <w:i w:val="0"/>
          <w:sz w:val="22"/>
        </w:rPr>
        <w:t>Each intervention strengthens AJQ or APR, which in turn reduces RAB. Mediation paths replicate established judgment-quality and process-rigor mechanisms (Bonner, 2008; Nelson &amp; Tan, 2005; Bell et al., 2005).</w:t>
      </w:r>
    </w:p>
    <w:p>
      <w:pPr>
        <w:spacing w:after="120"/>
      </w:pPr>
      <w:r>
        <w:rPr>
          <w:rFonts w:ascii="Calibri" w:hAnsi="Calibri"/>
          <w:b/>
          <w:i w:val="0"/>
          <w:sz w:val="22"/>
        </w:rPr>
        <w:t>Visual Model</w:t>
      </w:r>
    </w:p>
    <w:p>
      <w:pPr>
        <w:spacing w:after="120"/>
      </w:pPr>
      <w:r>
        <w:rPr>
          <w:rFonts w:ascii="Calibri" w:hAnsi="Calibri"/>
          <w:b w:val="0"/>
          <w:i w:val="0"/>
          <w:sz w:val="22"/>
        </w:rPr>
        <w:t>A causal diagram with eight IV nodes feeding two mediator nodes (AJQ, APR) and a single DV node (RAB) is included as Appendix A (Anchoring_Bias_Research_Model.pptx).</w:t>
      </w:r>
    </w:p>
    <w:p>
      <w:pPr>
        <w:keepNext/>
        <w:spacing w:before="240" w:after="120"/>
      </w:pPr>
      <w:r>
        <w:rPr>
          <w:rFonts w:ascii="Calibri" w:hAnsi="Calibri"/>
          <w:b/>
          <w:i w:val="0"/>
          <w:sz w:val="28"/>
        </w:rPr>
        <w:t>4.  Methodology</w:t>
      </w:r>
    </w:p>
    <w:p>
      <w:pPr>
        <w:keepNext/>
        <w:spacing w:before="200" w:after="80"/>
      </w:pPr>
      <w:r>
        <w:rPr>
          <w:rFonts w:ascii="Calibri" w:hAnsi="Calibri"/>
          <w:b/>
          <w:i w:val="0"/>
          <w:sz w:val="24"/>
        </w:rPr>
        <w:t>4.1  Research Design</w:t>
      </w:r>
    </w:p>
    <w:p>
      <w:pPr>
        <w:spacing w:after="120"/>
      </w:pPr>
      <w:r>
        <w:rPr>
          <w:rFonts w:ascii="Calibri" w:hAnsi="Calibri"/>
          <w:b w:val="0"/>
          <w:i w:val="0"/>
          <w:sz w:val="22"/>
        </w:rPr>
        <w:t>Quantitative, cross-sectional, online survey design. The cross-sectional design is appropriate because the focal hypotheses concern between-auditor variation in exposure to interventions and reported anchoring susceptibility, rather than within-auditor change over time.</w:t>
      </w:r>
    </w:p>
    <w:p>
      <w:pPr>
        <w:keepNext/>
        <w:spacing w:before="200" w:after="80"/>
      </w:pPr>
      <w:r>
        <w:rPr>
          <w:rFonts w:ascii="Calibri" w:hAnsi="Calibri"/>
          <w:b/>
          <w:i w:val="0"/>
          <w:sz w:val="24"/>
        </w:rPr>
        <w:t>4.2  Population and Sampling</w:t>
      </w:r>
    </w:p>
    <w:p>
      <w:pPr>
        <w:spacing w:after="120"/>
      </w:pPr>
      <w:r>
        <w:rPr>
          <w:rFonts w:ascii="Calibri" w:hAnsi="Calibri"/>
          <w:b w:val="0"/>
          <w:i w:val="0"/>
          <w:sz w:val="22"/>
        </w:rPr>
        <w:t>Target population: professional auditors in internal or external audit roles across public-accounting firms, private corporations, regulatory bodies, and government agencies, each with at least two years of audit experience and exposure to long-term client engagements. Sampling is purposive across three parallel channels:</w:t>
      </w:r>
    </w:p>
    <w:p>
      <w:pPr>
        <w:pStyle w:val="ListBullet"/>
        <w:spacing w:after="60"/>
      </w:pPr>
      <w:r>
        <w:rPr>
          <w:rFonts w:ascii="Calibri" w:hAnsi="Calibri"/>
          <w:b w:val="0"/>
          <w:i w:val="0"/>
          <w:sz w:val="22"/>
        </w:rPr>
        <w:t>MTurk HIT with auditor-qualification filters (primary).</w:t>
      </w:r>
    </w:p>
    <w:p>
      <w:pPr>
        <w:pStyle w:val="ListBullet"/>
        <w:spacing w:after="60"/>
      </w:pPr>
      <w:r>
        <w:rPr>
          <w:rFonts w:ascii="Calibri" w:hAnsi="Calibri"/>
          <w:b w:val="0"/>
          <w:i w:val="0"/>
          <w:sz w:val="22"/>
        </w:rPr>
        <w:t>LinkedIn outreach to professional audit networks and Institute of Internal Auditors (IIA) chapters.</w:t>
      </w:r>
    </w:p>
    <w:p>
      <w:pPr>
        <w:pStyle w:val="ListBullet"/>
        <w:spacing w:after="60"/>
      </w:pPr>
      <w:r>
        <w:rPr>
          <w:rFonts w:ascii="Calibri" w:hAnsi="Calibri"/>
          <w:b w:val="0"/>
          <w:i w:val="0"/>
          <w:sz w:val="22"/>
        </w:rPr>
        <w:t>Practitioner referrals from academic and professional contacts.</w:t>
      </w:r>
    </w:p>
    <w:p>
      <w:pPr>
        <w:spacing w:after="120"/>
      </w:pPr>
      <w:r>
        <w:rPr>
          <w:rFonts w:ascii="Calibri" w:hAnsi="Calibri"/>
          <w:b w:val="0"/>
          <w:i w:val="0"/>
          <w:sz w:val="22"/>
        </w:rPr>
        <w:t>Target n = 60–80 valid responses, sized for medium effect (Cohen's d = 0.5) at 0.80 power and consistent with EFA item-per-construct guidance (5–8 items per factor).</w:t>
      </w:r>
    </w:p>
    <w:p>
      <w:pPr>
        <w:keepNext/>
        <w:spacing w:before="200" w:after="80"/>
      </w:pPr>
      <w:r>
        <w:rPr>
          <w:rFonts w:ascii="Calibri" w:hAnsi="Calibri"/>
          <w:b/>
          <w:i w:val="0"/>
          <w:sz w:val="24"/>
        </w:rPr>
        <w:t>4.3  Measurement Instrument</w:t>
      </w:r>
    </w:p>
    <w:p>
      <w:pPr>
        <w:spacing w:after="120"/>
      </w:pPr>
      <w:r>
        <w:rPr>
          <w:rFonts w:ascii="Calibri" w:hAnsi="Calibri"/>
          <w:b w:val="0"/>
          <w:i w:val="0"/>
          <w:sz w:val="22"/>
        </w:rPr>
        <w:t>Self-administered survey hosted on FIU Qualtrics, comprising 11 multi-item Likert-type scales (5-point) drawn from validated instruments and adapted to the audit context. Reverse-coded items and embedded attention checks safeguard against response-set bias and inattention. Full instrument is attached in the IRB packet (Updated Measurement Instrument – Malik, Y.docx).</w:t>
      </w:r>
    </w:p>
    <w:p>
      <w:pPr>
        <w:keepNext/>
        <w:spacing w:before="200" w:after="80"/>
      </w:pPr>
      <w:r>
        <w:rPr>
          <w:rFonts w:ascii="Calibri" w:hAnsi="Calibri"/>
          <w:b/>
          <w:i w:val="0"/>
          <w:sz w:val="24"/>
        </w:rPr>
        <w:t>4.4  Data Analysis Plan</w:t>
      </w:r>
    </w:p>
    <w:p>
      <w:pPr>
        <w:pStyle w:val="ListBullet"/>
        <w:spacing w:after="60"/>
      </w:pPr>
      <w:r>
        <w:rPr>
          <w:rFonts w:ascii="Calibri" w:hAnsi="Calibri"/>
          <w:b w:val="0"/>
          <w:i w:val="0"/>
          <w:sz w:val="22"/>
        </w:rPr>
        <w:t>Step 1 — Data cleaning: removal of incomplete and attention-failed responses; missingness and outlier assessment.</w:t>
      </w:r>
    </w:p>
    <w:p>
      <w:pPr>
        <w:pStyle w:val="ListBullet"/>
        <w:spacing w:after="60"/>
      </w:pPr>
      <w:r>
        <w:rPr>
          <w:rFonts w:ascii="Calibri" w:hAnsi="Calibri"/>
          <w:b w:val="0"/>
          <w:i w:val="0"/>
          <w:sz w:val="22"/>
        </w:rPr>
        <w:t>Step 2 — Descriptive statistics: means, SD, skewness, kurtosis, and demographics.</w:t>
      </w:r>
    </w:p>
    <w:p>
      <w:pPr>
        <w:pStyle w:val="ListBullet"/>
        <w:spacing w:after="60"/>
      </w:pPr>
      <w:r>
        <w:rPr>
          <w:rFonts w:ascii="Calibri" w:hAnsi="Calibri"/>
          <w:b w:val="0"/>
          <w:i w:val="0"/>
          <w:sz w:val="22"/>
        </w:rPr>
        <w:t>Step 3 — Reliability: Cronbach's alpha per construct (target ≥ 0.70); inter-item correlations.</w:t>
      </w:r>
    </w:p>
    <w:p>
      <w:pPr>
        <w:pStyle w:val="ListBullet"/>
        <w:spacing w:after="60"/>
      </w:pPr>
      <w:r>
        <w:rPr>
          <w:rFonts w:ascii="Calibri" w:hAnsi="Calibri"/>
          <w:b w:val="0"/>
          <w:i w:val="0"/>
          <w:sz w:val="22"/>
        </w:rPr>
        <w:t>Step 4 — Exploratory Factor Analysis: principal axis factoring with varimax rotation; KMO, Bartlett's test, scree, and parallel analysis to confirm dimensionality.</w:t>
      </w:r>
    </w:p>
    <w:p>
      <w:pPr>
        <w:pStyle w:val="ListBullet"/>
        <w:spacing w:after="60"/>
      </w:pPr>
      <w:r>
        <w:rPr>
          <w:rFonts w:ascii="Calibri" w:hAnsi="Calibri"/>
          <w:b w:val="0"/>
          <w:i w:val="0"/>
          <w:sz w:val="22"/>
        </w:rPr>
        <w:t>Step 5 — Correlation matrix: Pearson bivariate correlations.</w:t>
      </w:r>
    </w:p>
    <w:p>
      <w:pPr>
        <w:pStyle w:val="ListBullet"/>
        <w:spacing w:after="60"/>
      </w:pPr>
      <w:r>
        <w:rPr>
          <w:rFonts w:ascii="Calibri" w:hAnsi="Calibri"/>
          <w:b w:val="0"/>
          <w:i w:val="0"/>
          <w:sz w:val="22"/>
        </w:rPr>
        <w:t>Step 6 — Direct effects: multiple regression of IVs on RAB.</w:t>
      </w:r>
    </w:p>
    <w:p>
      <w:pPr>
        <w:pStyle w:val="ListBullet"/>
        <w:spacing w:after="60"/>
      </w:pPr>
      <w:r>
        <w:rPr>
          <w:rFonts w:ascii="Calibri" w:hAnsi="Calibri"/>
          <w:b w:val="0"/>
          <w:i w:val="0"/>
          <w:sz w:val="22"/>
        </w:rPr>
        <w:t>Step 7 — Mediation: PROCESS Macro (Model 4) bootstrap (5,000 resamples) testing AJQ and APR paths.</w:t>
      </w:r>
    </w:p>
    <w:p>
      <w:pPr>
        <w:keepNext/>
        <w:spacing w:before="200" w:after="80"/>
      </w:pPr>
      <w:r>
        <w:rPr>
          <w:rFonts w:ascii="Calibri" w:hAnsi="Calibri"/>
          <w:b/>
          <w:i w:val="0"/>
          <w:sz w:val="24"/>
        </w:rPr>
        <w:t>4.5  Validity, Reliability, and Limitations</w:t>
      </w:r>
    </w:p>
    <w:p>
      <w:pPr>
        <w:spacing w:after="120"/>
      </w:pPr>
      <w:r>
        <w:rPr>
          <w:rFonts w:ascii="Calibri" w:hAnsi="Calibri"/>
          <w:b w:val="0"/>
          <w:i w:val="0"/>
          <w:sz w:val="22"/>
        </w:rPr>
        <w:t>Construct validity is supported by anchoring items to validated literature instruments. Internal validity is bounded by the cross-sectional, self-report design; common-method variance is mitigated by Likert-scale spacing, reverse-coding, attention checks, and (where feasible) Harman's single-factor test. External validity is bounded by the purposive sample; generalization to non-Anglophone or non-Western audit settings is a limitation acknowledged in the final manuscript.</w:t>
      </w:r>
    </w:p>
    <w:p>
      <w:pPr>
        <w:keepNext/>
        <w:spacing w:before="200" w:after="80"/>
      </w:pPr>
      <w:r>
        <w:rPr>
          <w:rFonts w:ascii="Calibri" w:hAnsi="Calibri"/>
          <w:b/>
          <w:i w:val="0"/>
          <w:sz w:val="24"/>
        </w:rPr>
        <w:t>4.6  Ethical Considerations</w:t>
      </w:r>
    </w:p>
    <w:p>
      <w:pPr>
        <w:spacing w:after="120"/>
      </w:pPr>
      <w:r>
        <w:rPr>
          <w:rFonts w:ascii="Calibri" w:hAnsi="Calibri"/>
          <w:b w:val="0"/>
          <w:i w:val="0"/>
          <w:sz w:val="22"/>
        </w:rPr>
        <w:t>The study operates under FIU IRB-approved exempt status (Protocol IRB-25-0462; approved September 2, 2025; effective through September 2, 2030). Participation is fully voluntary and no compensation is contingent on response content — the MTurk HIT pays a fixed, Florida-compliant amount on submission of a completed survey, with no incentive tied to any particular answer pattern. Data are collected anonymously through FIU-managed Qualtrics with IP-address retention disabled, and responses are stored on FIU-secured infrastructure accessible only to the investigator and the faculty advisor. Informed consent is obtained via the IRB-approved Informational Letter presented before any survey item, and respondents retain the right to withdraw at any point without penalty. No clinical, financial, account-level, or otherwise sensitive personal information is collected; the instrument captures only self-reported professional-judgment perceptions and general demographic categories.</w:t>
      </w:r>
    </w:p>
    <w:p>
      <w:pPr>
        <w:keepNext/>
        <w:spacing w:before="240" w:after="120"/>
      </w:pPr>
      <w:r>
        <w:rPr>
          <w:rFonts w:ascii="Calibri" w:hAnsi="Calibri"/>
          <w:b/>
          <w:i w:val="0"/>
          <w:sz w:val="28"/>
        </w:rPr>
        <w:t>5.  Project Timeline (Summary)</w:t>
      </w:r>
    </w:p>
    <w:p>
      <w:pPr>
        <w:spacing w:after="120"/>
      </w:pPr>
      <w:r>
        <w:rPr>
          <w:rFonts w:ascii="Calibri" w:hAnsi="Calibri"/>
          <w:b w:val="0"/>
          <w:i w:val="0"/>
          <w:sz w:val="22"/>
        </w:rPr>
        <w:t>The accompanying Semester Plan (Timeline_Malik.xlsx) lays out a 12-week schedule from May 18 to August 9, 2026, with the Stage 4a manuscript milestone re-baselined to July 19, 2026 per program guidance. The schedule is organized around five stages: IRB approval (0), informed pilot (1), Qualtrics &amp; MTurk integration (2), data collection and EFA (3), and manuscript drafting and UGS submission (4). The critical path is IRB → Data Collection → EFA → Manuscript, and the Risk Register identifies the IRB-delay risk, response-rate risk, and scope-creep risk that I am actively managing.</w:t>
      </w:r>
    </w:p>
    <w:p>
      <w:pPr>
        <w:keepNext/>
        <w:spacing w:before="240" w:after="120"/>
      </w:pPr>
      <w:r>
        <w:rPr>
          <w:rFonts w:ascii="Calibri" w:hAnsi="Calibri"/>
          <w:b/>
          <w:i w:val="0"/>
          <w:sz w:val="28"/>
        </w:rPr>
        <w:t>6.  Recommendations for Future Research</w:t>
      </w:r>
    </w:p>
    <w:p>
      <w:pPr>
        <w:spacing w:after="120"/>
      </w:pPr>
      <w:r>
        <w:rPr>
          <w:rFonts w:ascii="Calibri" w:hAnsi="Calibri"/>
          <w:b w:val="0"/>
          <w:i w:val="0"/>
          <w:sz w:val="22"/>
        </w:rPr>
        <w:t>Three extensions of the present model are reserved for the dissertation phase. The first and most consequential is the embedding of Large-Language-Model (LLM) and AI-agent constructs into the validated causal model, extending the debiasing framework to the rapidly emerging AI-enabled audit environment in regulated banking. A small but maturing literature now provides methodological scaffolding for this extension. Three candidate constructs are proposed:</w:t>
      </w:r>
    </w:p>
    <w:p>
      <w:pPr>
        <w:pStyle w:val="ListBullet"/>
        <w:spacing w:after="60"/>
      </w:pPr>
      <w:r>
        <w:rPr>
          <w:rFonts w:ascii="Calibri" w:hAnsi="Calibri"/>
          <w:b w:val="0"/>
          <w:i w:val="0"/>
          <w:sz w:val="22"/>
        </w:rPr>
        <w:t>LLM-Assisted Audit Workpaper Generation — a process-substitution construct measuring the extent to which generative tools draft, summarize, or template workpaper content. Methodological anchoring follows Elbouanani, Tuo, and Popescu (2026), whose scalable entity-based bias-auditing framework supplies a transferable approach for evaluating drift between LLM-generated and human-authored audit narrative.</w:t>
      </w:r>
    </w:p>
    <w:p>
      <w:pPr>
        <w:pStyle w:val="ListBullet"/>
        <w:spacing w:after="60"/>
      </w:pPr>
      <w:r>
        <w:rPr>
          <w:rFonts w:ascii="Calibri" w:hAnsi="Calibri"/>
          <w:b w:val="0"/>
          <w:i w:val="0"/>
          <w:sz w:val="22"/>
        </w:rPr>
        <w:t>AI Anomaly Detection in Substantive Procedures — a detection-augmentation construct measuring the use of AI/ML anomaly engines alongside traditional substantive testing. Methodological anchoring follows Ansari, Fanous, Omiye, Agarwal, and colleagues (2025), whose use of large language models to audit model bias in regulated healthcare settings supplies a directly analogous protocol for regulated banking audit applications.</w:t>
      </w:r>
    </w:p>
    <w:p>
      <w:pPr>
        <w:pStyle w:val="ListBullet"/>
        <w:spacing w:after="60"/>
      </w:pPr>
      <w:r>
        <w:rPr>
          <w:rFonts w:ascii="Calibri" w:hAnsi="Calibri"/>
          <w:b w:val="0"/>
          <w:i w:val="0"/>
          <w:sz w:val="22"/>
        </w:rPr>
        <w:t>Human-in-the-Loop Oversight of Agentic Audit Workflows — a governance construct measuring the structure, frequency, and substantive depth of human review over AI-agent audit outputs. Methodological anchoring follows Zhao, Esmaeili, and Fard (2026), whose audit of LLM-as-a-judge sensitivity in software-engineering tasks demonstrates the measurement strategy for human-versus-agent disagreement under review, and is reinforced by Deng, Holstein, and Eslami (2026) on human-centered and participatory AI auditing.</w:t>
      </w:r>
    </w:p>
    <w:p>
      <w:pPr>
        <w:spacing w:after="120"/>
      </w:pPr>
      <w:r>
        <w:rPr>
          <w:rFonts w:ascii="Calibri" w:hAnsi="Calibri"/>
          <w:b w:val="0"/>
          <w:i w:val="0"/>
          <w:sz w:val="22"/>
        </w:rPr>
        <w:t>Across all three candidate constructs, audit-design sensitivity itself is a measurement concern: Törnberg and Schimmel (2026) show that LLM evaluation outcomes can shift with the perceived identity of the auditor, motivating careful protocol blinding in any subsequent dissertation-phase instrument.</w:t>
      </w:r>
    </w:p>
    <w:p>
      <w:pPr>
        <w:spacing w:after="120"/>
      </w:pPr>
      <w:r>
        <w:rPr>
          <w:rFonts w:ascii="Calibri" w:hAnsi="Calibri"/>
          <w:b w:val="0"/>
          <w:i w:val="0"/>
          <w:sz w:val="22"/>
        </w:rPr>
        <w:t>The remaining two extensions compress as follows. Second, a longitudinal design would permit causal inference on whether sustained intervention exposure produces durable bias reduction, and would allow latent-growth modeling of AJQ and APR trajectories. Third, a comparative cross-industry study across banking, insurance, and broker-dealer auditors would test the model's industry boundary conditions and align the doctoral contribution with industry direction in AI governance, model risk, and Responsible-AI assurance (SR 11-7; NIST AI Risk Management Framework).</w:t>
      </w:r>
    </w:p>
    <w:p>
      <w:pPr>
        <w:keepNext/>
        <w:spacing w:before="240" w:after="120"/>
      </w:pPr>
      <w:r>
        <w:rPr>
          <w:rFonts w:ascii="Calibri" w:hAnsi="Calibri"/>
          <w:b/>
          <w:i w:val="0"/>
          <w:sz w:val="28"/>
        </w:rPr>
        <w:t>7.  References (Selected)</w:t>
      </w:r>
    </w:p>
    <w:p>
      <w:pPr>
        <w:spacing w:after="80"/>
        <w:ind w:left="720" w:hanging="720"/>
      </w:pPr>
      <w:r>
        <w:rPr>
          <w:rFonts w:ascii="Calibri" w:hAnsi="Calibri"/>
          <w:b w:val="0"/>
          <w:i w:val="0"/>
          <w:sz w:val="22"/>
        </w:rPr>
        <w:t>Ansari, Z. N., Fanous, A., Omiye, J. A., Agarwal, A., et al. (2025). Using large language models to audit model healthcare biases. Proceedings of the AAAI Conference on Artificial Intelligence, 2026.</w:t>
      </w:r>
    </w:p>
    <w:p>
      <w:pPr>
        <w:spacing w:after="80"/>
        <w:ind w:left="720" w:hanging="720"/>
      </w:pPr>
      <w:r>
        <w:rPr>
          <w:rFonts w:ascii="Calibri" w:hAnsi="Calibri"/>
          <w:b w:val="0"/>
          <w:i w:val="0"/>
          <w:sz w:val="22"/>
        </w:rPr>
        <w:t>Arel, B., Brody, R. G., &amp; Pany, K. (2005). Audit firm rotation and audit quality. The CPA Journal, 75(1), 36–39.</w:t>
      </w:r>
    </w:p>
    <w:p>
      <w:pPr>
        <w:spacing w:after="80"/>
        <w:ind w:left="720" w:hanging="720"/>
      </w:pPr>
      <w:r>
        <w:rPr>
          <w:rFonts w:ascii="Calibri" w:hAnsi="Calibri"/>
          <w:b w:val="0"/>
          <w:i w:val="0"/>
          <w:sz w:val="22"/>
        </w:rPr>
        <w:t>Asare, S. K., &amp; Wright, A. M. (2004). The effectiveness of alternative risk assessment and program planning tools in a fraud setting. Contemporary Accounting Research, 21(2), 325–352.</w:t>
      </w:r>
    </w:p>
    <w:p>
      <w:pPr>
        <w:spacing w:after="80"/>
        <w:ind w:left="720" w:hanging="720"/>
      </w:pPr>
      <w:r>
        <w:rPr>
          <w:rFonts w:ascii="Calibri" w:hAnsi="Calibri"/>
          <w:b w:val="0"/>
          <w:i w:val="0"/>
          <w:sz w:val="22"/>
        </w:rPr>
        <w:t>Bamber, E. M., &amp; Iyer, V. M. (2007). Auditors' identification with their clients and its effect on auditors' objectivity. Auditing: A Journal of Practice &amp; Theory, 26(2), 1–24.</w:t>
      </w:r>
    </w:p>
    <w:p>
      <w:pPr>
        <w:spacing w:after="80"/>
        <w:ind w:left="720" w:hanging="720"/>
      </w:pPr>
      <w:r>
        <w:rPr>
          <w:rFonts w:ascii="Calibri" w:hAnsi="Calibri"/>
          <w:b w:val="0"/>
          <w:i w:val="0"/>
          <w:sz w:val="22"/>
        </w:rPr>
        <w:t>Bell, T. B., Peecher, M. E., &amp; Solomon, I. (2005). The 21st century public company audit. KPMG LLP.</w:t>
      </w:r>
    </w:p>
    <w:p>
      <w:pPr>
        <w:spacing w:after="80"/>
        <w:ind w:left="720" w:hanging="720"/>
      </w:pPr>
      <w:r>
        <w:rPr>
          <w:rFonts w:ascii="Calibri" w:hAnsi="Calibri"/>
          <w:b w:val="0"/>
          <w:i w:val="0"/>
          <w:sz w:val="22"/>
        </w:rPr>
        <w:t>Bonner, S. E. (2008). Judgment and decision making in accounting. Prentice Hall.</w:t>
      </w:r>
    </w:p>
    <w:p>
      <w:pPr>
        <w:spacing w:after="80"/>
        <w:ind w:left="720" w:hanging="720"/>
      </w:pPr>
      <w:r>
        <w:rPr>
          <w:rFonts w:ascii="Calibri" w:hAnsi="Calibri"/>
          <w:b w:val="0"/>
          <w:i w:val="0"/>
          <w:sz w:val="22"/>
        </w:rPr>
        <w:t>Bonner, S. E., &amp; Sprinkle, G. B. (2002). The effects of monetary incentives on effort and task performance. Accounting, Organizations and Society, 27(4–5), 303–345.</w:t>
      </w:r>
    </w:p>
    <w:p>
      <w:pPr>
        <w:spacing w:after="80"/>
        <w:ind w:left="720" w:hanging="720"/>
      </w:pPr>
      <w:r>
        <w:rPr>
          <w:rFonts w:ascii="Calibri" w:hAnsi="Calibri"/>
          <w:b w:val="0"/>
          <w:i w:val="0"/>
          <w:sz w:val="22"/>
        </w:rPr>
        <w:t>Brazel, J. F., Jones, K. L., &amp; Prawitt, D. F. (2014). Auditors' reactions to inconsistencies between financial and nonfinancial measures. Auditing: A Journal of Practice &amp; Theory, 33(2), 25–44.</w:t>
      </w:r>
    </w:p>
    <w:p>
      <w:pPr>
        <w:spacing w:after="80"/>
        <w:ind w:left="720" w:hanging="720"/>
      </w:pPr>
      <w:r>
        <w:rPr>
          <w:rFonts w:ascii="Calibri" w:hAnsi="Calibri"/>
          <w:b w:val="0"/>
          <w:i w:val="0"/>
          <w:sz w:val="22"/>
        </w:rPr>
        <w:t>Chen, C. Y., Lin, C. J., &amp; Lin, Y. C. (2016). Audit partner tenure and discretionary accruals. Contemporary Accounting Research, 33(2), 415–445.</w:t>
      </w:r>
    </w:p>
    <w:p>
      <w:pPr>
        <w:spacing w:after="80"/>
        <w:ind w:left="720" w:hanging="720"/>
      </w:pPr>
      <w:r>
        <w:rPr>
          <w:rFonts w:ascii="Calibri" w:hAnsi="Calibri"/>
          <w:b w:val="0"/>
          <w:i w:val="0"/>
          <w:sz w:val="22"/>
        </w:rPr>
        <w:t>Chi, W., Huang, H., Liao, Y., &amp; Xie, H. (2009). Mandatory audit partner rotation and audit quality. Contemporary Accounting Research, 26(2), 359–391.</w:t>
      </w:r>
    </w:p>
    <w:p>
      <w:pPr>
        <w:spacing w:after="80"/>
        <w:ind w:left="720" w:hanging="720"/>
      </w:pPr>
      <w:r>
        <w:rPr>
          <w:rFonts w:ascii="Calibri" w:hAnsi="Calibri"/>
          <w:b w:val="0"/>
          <w:i w:val="0"/>
          <w:sz w:val="22"/>
        </w:rPr>
        <w:t>Church, B. K., &amp; Shefchik, L. B. (2012). PCAOB inspections and large accounting firms. Accounting Horizons, 26(1), 43–63.</w:t>
      </w:r>
    </w:p>
    <w:p>
      <w:pPr>
        <w:spacing w:after="80"/>
        <w:ind w:left="720" w:hanging="720"/>
      </w:pPr>
      <w:r>
        <w:rPr>
          <w:rFonts w:ascii="Calibri" w:hAnsi="Calibri"/>
          <w:b w:val="0"/>
          <w:i w:val="0"/>
          <w:sz w:val="22"/>
        </w:rPr>
        <w:t>DeFond, M. L., &amp; Francis, J. R. (2005). Audit research after Sarbanes-Oxley. Auditing: A Journal of Practice &amp; Theory, 24(s-1), 5–30.</w:t>
      </w:r>
    </w:p>
    <w:p>
      <w:pPr>
        <w:spacing w:after="80"/>
        <w:ind w:left="720" w:hanging="720"/>
      </w:pPr>
      <w:r>
        <w:rPr>
          <w:rFonts w:ascii="Calibri" w:hAnsi="Calibri"/>
          <w:b w:val="0"/>
          <w:i w:val="0"/>
          <w:sz w:val="22"/>
        </w:rPr>
        <w:t>Deng, W. H., Holstein, K., &amp; Eslami, M. (2026). Human-centered and participatory AI auditing. In Handbook of Human-Centered AI. Springer.</w:t>
      </w:r>
    </w:p>
    <w:p>
      <w:pPr>
        <w:spacing w:after="80"/>
        <w:ind w:left="720" w:hanging="720"/>
      </w:pPr>
      <w:r>
        <w:rPr>
          <w:rFonts w:ascii="Calibri" w:hAnsi="Calibri"/>
          <w:b w:val="0"/>
          <w:i w:val="0"/>
          <w:sz w:val="22"/>
        </w:rPr>
        <w:t>Dowling, C., &amp; Leech, S. A. (2007). Audit support systems and decision aids. International Journal of Accounting Information Systems, 8(2), 92–116.</w:t>
      </w:r>
    </w:p>
    <w:p>
      <w:pPr>
        <w:spacing w:after="80"/>
        <w:ind w:left="720" w:hanging="720"/>
      </w:pPr>
      <w:r>
        <w:rPr>
          <w:rFonts w:ascii="Calibri" w:hAnsi="Calibri"/>
          <w:b w:val="0"/>
          <w:i w:val="0"/>
          <w:sz w:val="22"/>
        </w:rPr>
        <w:t>Earley, C. E. (2001). Knowledge acquisition and knowledge use in auditing. Accounting Horizons, 15(3), 225–238.</w:t>
      </w:r>
    </w:p>
    <w:p>
      <w:pPr>
        <w:spacing w:after="80"/>
        <w:ind w:left="720" w:hanging="720"/>
      </w:pPr>
      <w:r>
        <w:rPr>
          <w:rFonts w:ascii="Calibri" w:hAnsi="Calibri"/>
          <w:b w:val="0"/>
          <w:i w:val="0"/>
          <w:sz w:val="22"/>
        </w:rPr>
        <w:t>Elbouanani, A., Tuo, A., &amp; Popescu, A. (2026). A scalable entity-based framework for auditing bias in LLMs. arXiv:2601.12374.</w:t>
      </w:r>
    </w:p>
    <w:p>
      <w:pPr>
        <w:spacing w:after="80"/>
        <w:ind w:left="720" w:hanging="720"/>
      </w:pPr>
      <w:r>
        <w:rPr>
          <w:rFonts w:ascii="Calibri" w:hAnsi="Calibri"/>
          <w:b w:val="0"/>
          <w:i w:val="0"/>
          <w:sz w:val="22"/>
        </w:rPr>
        <w:t>Knechel, W. R. (2013). Do auditing standards matter? Current Issues in Auditing, 7(2), A1–A16.</w:t>
      </w:r>
    </w:p>
    <w:p>
      <w:pPr>
        <w:spacing w:after="80"/>
        <w:ind w:left="720" w:hanging="720"/>
      </w:pPr>
      <w:r>
        <w:rPr>
          <w:rFonts w:ascii="Calibri" w:hAnsi="Calibri"/>
          <w:b w:val="0"/>
          <w:i w:val="0"/>
          <w:sz w:val="22"/>
        </w:rPr>
        <w:t>Libby, R., &amp; Luft, J. (1993). Determinants of judgment performance in accounting settings. Accounting, Organizations and Society, 18(5), 425–450.</w:t>
      </w:r>
    </w:p>
    <w:p>
      <w:pPr>
        <w:spacing w:after="80"/>
        <w:ind w:left="720" w:hanging="720"/>
      </w:pPr>
      <w:r>
        <w:rPr>
          <w:rFonts w:ascii="Calibri" w:hAnsi="Calibri"/>
          <w:b w:val="0"/>
          <w:i w:val="0"/>
          <w:sz w:val="22"/>
        </w:rPr>
        <w:t>Nelson, M. W. (2009). A model and literature review of professional skepticism in auditing. Auditing: A Journal of Practice &amp; Theory, 28(2), 1–34.</w:t>
      </w:r>
    </w:p>
    <w:p>
      <w:pPr>
        <w:spacing w:after="80"/>
        <w:ind w:left="720" w:hanging="720"/>
      </w:pPr>
      <w:r>
        <w:rPr>
          <w:rFonts w:ascii="Calibri" w:hAnsi="Calibri"/>
          <w:b w:val="0"/>
          <w:i w:val="0"/>
          <w:sz w:val="22"/>
        </w:rPr>
        <w:t>Nelson, M. W., &amp; Tan, H. T. (2005). Judgment and decision-making research in auditing. Auditing: A Journal of Practice &amp; Theory, 24(s-1), 41–71.</w:t>
      </w:r>
    </w:p>
    <w:p>
      <w:pPr>
        <w:spacing w:after="80"/>
        <w:ind w:left="720" w:hanging="720"/>
      </w:pPr>
      <w:r>
        <w:rPr>
          <w:rFonts w:ascii="Calibri" w:hAnsi="Calibri"/>
          <w:b w:val="0"/>
          <w:i w:val="0"/>
          <w:sz w:val="22"/>
        </w:rPr>
        <w:t>Peecher, M. E., Solomon, I., &amp; Trotman, K. T. (2013). An accountability framework for financial statement auditors. Accounting, Organizations and Society, 38(8), 596–620.</w:t>
      </w:r>
    </w:p>
    <w:p>
      <w:pPr>
        <w:spacing w:after="80"/>
        <w:ind w:left="720" w:hanging="720"/>
      </w:pPr>
      <w:r>
        <w:rPr>
          <w:rFonts w:ascii="Calibri" w:hAnsi="Calibri"/>
          <w:b w:val="0"/>
          <w:i w:val="0"/>
          <w:sz w:val="22"/>
        </w:rPr>
        <w:t>Public Company Accounting Oversight Board. (2015). PCAOB auditing standards.</w:t>
      </w:r>
    </w:p>
    <w:p>
      <w:pPr>
        <w:spacing w:after="80"/>
        <w:ind w:left="720" w:hanging="720"/>
      </w:pPr>
      <w:r>
        <w:rPr>
          <w:rFonts w:ascii="Calibri" w:hAnsi="Calibri"/>
          <w:b w:val="0"/>
          <w:i w:val="0"/>
          <w:sz w:val="22"/>
        </w:rPr>
        <w:t>Törnberg, P., &amp; Schimmel, M. (2026). Political bias audits of LLMs capture sycophancy to the inferred auditor. arXiv:2604.27633.</w:t>
      </w:r>
    </w:p>
    <w:p>
      <w:pPr>
        <w:spacing w:after="80"/>
        <w:ind w:left="720" w:hanging="720"/>
      </w:pPr>
      <w:r>
        <w:rPr>
          <w:rFonts w:ascii="Calibri" w:hAnsi="Calibri"/>
          <w:b w:val="0"/>
          <w:i w:val="0"/>
          <w:sz w:val="22"/>
        </w:rPr>
        <w:t>Tversky, A., &amp; Kahneman, D. (1974). Judgment under uncertainty: Heuristics and biases. Science, 185(4157), 1124–1131.</w:t>
      </w:r>
    </w:p>
    <w:p>
      <w:pPr>
        <w:spacing w:after="80"/>
        <w:ind w:left="720" w:hanging="720"/>
      </w:pPr>
      <w:r>
        <w:rPr>
          <w:rFonts w:ascii="Calibri" w:hAnsi="Calibri"/>
          <w:b w:val="0"/>
          <w:i w:val="0"/>
          <w:sz w:val="22"/>
        </w:rPr>
        <w:t>Yoon, K., Hoogduin, L., &amp; Zhang, L. (2015). Big data as complementary audit evidence. Accounting Horizons, 29(2), 431–438.</w:t>
      </w:r>
    </w:p>
    <w:p>
      <w:pPr>
        <w:spacing w:after="80"/>
        <w:ind w:left="720" w:hanging="720"/>
      </w:pPr>
      <w:r>
        <w:rPr>
          <w:rFonts w:ascii="Calibri" w:hAnsi="Calibri"/>
          <w:b w:val="0"/>
          <w:i w:val="0"/>
          <w:sz w:val="22"/>
        </w:rPr>
        <w:t>Zhao, Z., Esmaeili, A., &amp; Fard, F. (2026). Bias in the loop: Auditing LLM-as-a-judge for software engineering. arXiv:2604.16790.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