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Survey Questionnaire — v2 (Post Peer Review)</w:t>
      </w:r>
    </w:p>
    <w:p>
      <w:r>
        <w:rPr>
          <w:b/>
        </w:rPr>
        <w:t>Study:</w:t>
      </w:r>
      <w:r>
        <w:t xml:space="preserve"> Mitigating Anchoring Bias in Long-Term Auditor Engagements — An EFA-Based Validation Study</w:t>
      </w:r>
    </w:p>
    <w:p>
      <w:r>
        <w:rPr>
          <w:b/>
        </w:rPr>
        <w:t>Researcher:</w:t>
      </w:r>
      <w:r>
        <w:t xml:space="preserve"> Yasir A. Malik (PID 1687105) | </w:t>
      </w:r>
      <w:r>
        <w:rPr>
          <w:b/>
        </w:rPr>
        <w:t>Advisor:</w:t>
      </w:r>
      <w:r>
        <w:t xml:space="preserve"> Prof. Dr. Juan Rey | </w:t>
      </w:r>
      <w:r>
        <w:rPr>
          <w:b/>
        </w:rPr>
        <w:t>IRB:</w:t>
      </w:r>
      <w:r>
        <w:t xml:space="preserve"> IRB-25-0462</w:t>
      </w:r>
    </w:p>
    <w:p>
      <w:r>
        <w:rPr>
          <w:b/>
        </w:rPr>
        <w:t>Version:</w:t>
      </w:r>
      <w:r>
        <w:t xml:space="preserve"> v2.1 — incorporates Richard's peer review including his follow-up chat comments (see </w:t>
      </w:r>
      <w:r>
        <w:rPr>
          <w:rFonts w:ascii="Courier New" w:hAnsi="Courier New"/>
        </w:rPr>
        <w:t>04_Peer_Review/</w:t>
      </w:r>
      <w:r>
        <w:t>)</w:t>
      </w:r>
    </w:p>
    <w:p>
      <w:pPr>
        <w:ind w:left="432"/>
      </w:pPr>
      <w:r>
        <w:rPr>
          <w:b/>
        </w:rPr>
        <w:t>Response scale (all construct items):</w:t>
      </w:r>
      <w:r>
        <w:t xml:space="preserve"> 5-point Likert — </w:t>
      </w:r>
      <w:r>
        <w:rPr>
          <w:i/>
        </w:rPr>
        <w:t>1 = Strongly disagree · 2 = Disagree · 3 = Neither agree nor disagree · 4 = Agree · 5 = Strongly agree.</w:t>
      </w:r>
      <w:r>
        <w:t xml:space="preserve"> </w:t>
      </w:r>
      <w:r>
        <w:rPr>
          <w:b/>
        </w:rPr>
        <w:t>(R)</w:t>
      </w:r>
      <w:r>
        <w:t xml:space="preserve"> = reverse-coded (</w:t>
      </w:r>
      <w:r>
        <w:rPr>
          <w:rFonts w:ascii="Courier New" w:hAnsi="Courier New"/>
        </w:rPr>
        <w:t>6 − response</w:t>
      </w:r>
      <w:r>
        <w:t xml:space="preserve"> at cleaning).</w:t>
      </w:r>
    </w:p>
    <w:p>
      <w:pPr>
        <w:ind w:left="432"/>
      </w:pPr>
      <w:r>
        <w:t>Scale decision (5-point retained) is documented in the peer-review response §3.1, grounded in Preston &amp; Colman (2000) and Dawes (2008).</w:t>
      </w:r>
    </w:p>
    <w:p>
      <w:r>
        <w:br/>
      </w:r>
    </w:p>
    <w:p>
      <w:pPr>
        <w:pStyle w:val="Heading2"/>
      </w:pPr>
      <w:r>
        <w:t>Change log — v1 → v2</w:t>
      </w:r>
    </w:p>
    <w:p>
      <w:r>
        <w:t>| Item | v1 | v2 |</w:t>
      </w:r>
    </w:p>
    <w:p>
      <w:r>
        <w:t>|---|---|---|</w:t>
      </w:r>
    </w:p>
    <w:p>
      <w:r>
        <w:t xml:space="preserve">| TA_5 | I feel well prepared to recognize when an anchor is influencing my conclusion. | </w:t>
      </w:r>
      <w:r>
        <w:rPr>
          <w:b/>
        </w:rPr>
        <w:t>I can recognize when an initial reference point is influencing my professional judgment.</w:t>
      </w:r>
      <w:r>
        <w:t xml:space="preserve"> |</w:t>
      </w:r>
    </w:p>
    <w:p>
      <w:r>
        <w:t xml:space="preserve">| RA_5 | Rotation policies in my firm meaningfully reduce over-familiarity with clients. | </w:t>
      </w:r>
      <w:r>
        <w:rPr>
          <w:b/>
        </w:rPr>
        <w:t>Rotation policies or requirements in my firm meaningfully reduce over-familiarity with clients or auditees.</w:t>
      </w:r>
      <w:r>
        <w:t xml:space="preserve"> |</w:t>
      </w:r>
    </w:p>
    <w:p>
      <w:r>
        <w:t xml:space="preserve">| AT_3 | …draw on data beyond the client's own ledgers. | </w:t>
      </w:r>
      <w:r>
        <w:rPr>
          <w:b/>
        </w:rPr>
        <w:t>…draw on data beyond the client's own ledgers (i.e., multiple sources of evidence).</w:t>
      </w:r>
      <w:r>
        <w:t xml:space="preserve"> |</w:t>
      </w:r>
    </w:p>
    <w:p>
      <w:r>
        <w:t xml:space="preserve">| SAP_5 | The structure of my firm's methodology reduces reliance on mental shortcuts. | </w:t>
      </w:r>
      <w:r>
        <w:rPr>
          <w:b/>
        </w:rPr>
        <w:t>The structure of my firm's audit methodology reduces reliance on mental shortcuts.</w:t>
      </w:r>
      <w:r>
        <w:t xml:space="preserve"> |</w:t>
      </w:r>
    </w:p>
    <w:p>
      <w:r>
        <w:t xml:space="preserve">| IR_1 | …reviewed by a qualified auditor who was not involved… | </w:t>
      </w:r>
      <w:r>
        <w:rPr>
          <w:b/>
        </w:rPr>
        <w:t>…reviewed by a senior or equally qualified auditor who was not involved…</w:t>
      </w:r>
      <w:r>
        <w:t xml:space="preserve"> |</w:t>
      </w:r>
    </w:p>
    <w:p>
      <w:r>
        <w:t xml:space="preserve">| IR_3 | The review process catches instances where I have under-adjusted from a prior-year figure. | </w:t>
      </w:r>
      <w:r>
        <w:rPr>
          <w:b/>
        </w:rPr>
        <w:t>Reviewers challenge whether my judgments rely too heavily on prior-year audit conclusions.</w:t>
      </w:r>
      <w:r>
        <w:t xml:space="preserve"> |</w:t>
      </w:r>
    </w:p>
    <w:p>
      <w:r>
        <w:t xml:space="preserve">| RPG_1 | Regulatory standards (e.g., PCAOB) meaningfully shape how I exercise judgment. | </w:t>
      </w:r>
      <w:r>
        <w:rPr>
          <w:b/>
        </w:rPr>
        <w:t>Regulatory and professional standards (e.g., PCAOB, AICPA, IIA, COSO) meaningfully shape how I exercise judgment.</w:t>
      </w:r>
      <w:r>
        <w:t xml:space="preserve"> |</w:t>
      </w:r>
    </w:p>
    <w:p>
      <w:r>
        <w:t xml:space="preserve">| RPG_2 | Inspection risk motivates me to reconsider judgments more carefully. | </w:t>
      </w:r>
      <w:r>
        <w:rPr>
          <w:b/>
        </w:rPr>
        <w:t>The possibility of inspection encourages me to double-check the support and analysis behind my judgments.</w:t>
      </w:r>
      <w:r>
        <w:t xml:space="preserve"> |</w:t>
      </w:r>
    </w:p>
    <w:p>
      <w:r>
        <w:t xml:space="preserve">| PMI_4 (R) | Pressure to meet budgets discourages me from re-examining prior-year balances. | </w:t>
      </w:r>
      <w:r>
        <w:rPr>
          <w:b/>
        </w:rPr>
        <w:t>My firm's incentive and evaluation system discourages spending the extra time needed to challenge prior-year balances.</w:t>
      </w:r>
      <w:r>
        <w:t xml:space="preserve"> |</w:t>
      </w:r>
    </w:p>
    <w:p>
      <w:r>
        <w:t xml:space="preserve">| APR_5 | The rigor of the process does not depend on any single individual. | </w:t>
      </w:r>
      <w:r>
        <w:rPr>
          <w:b/>
        </w:rPr>
        <w:t>Critical audit procedures are consistently followed across all my engagements.</w:t>
      </w:r>
      <w:r>
        <w:t xml:space="preserve"> |</w:t>
      </w:r>
    </w:p>
    <w:p>
      <w:r>
        <w:t xml:space="preserve">| </w:t>
      </w:r>
      <w:r>
        <w:rPr>
          <w:b/>
        </w:rPr>
        <w:t>C1 (new, refined)</w:t>
      </w:r>
      <w:r>
        <w:t xml:space="preserve"> | — | </w:t>
      </w:r>
      <w:r>
        <w:rPr>
          <w:b/>
        </w:rPr>
        <w:t>Across my engagements, prior-year workpapers and conclusions are accessible to the audit team:</w:t>
      </w:r>
      <w:r>
        <w:t xml:space="preserve"> </w:t>
      </w:r>
      <w:r>
        <w:rPr>
          <w:i/>
        </w:rPr>
        <w:t>(frequency scale — captures that access varies engagement-by-engagement)</w:t>
      </w:r>
      <w:r>
        <w:t xml:space="preserve"> |</w:t>
      </w:r>
    </w:p>
    <w:p>
      <w:r>
        <w:t xml:space="preserve">| </w:t>
      </w:r>
      <w:r>
        <w:rPr>
          <w:b/>
        </w:rPr>
        <w:t>D1 (split)</w:t>
      </w:r>
      <w:r>
        <w:t xml:space="preserve"> | Years of audit experience | </w:t>
      </w:r>
      <w:r>
        <w:rPr>
          <w:b/>
        </w:rPr>
        <w:t>D1a — years of external audit experience; D1b — years of internal audit experience</w:t>
      </w:r>
      <w:r>
        <w:t xml:space="preserve"> |</w:t>
      </w:r>
    </w:p>
    <w:p>
      <w:r>
        <w:t xml:space="preserve">| </w:t>
      </w:r>
      <w:r>
        <w:rPr>
          <w:b/>
        </w:rPr>
        <w:t>Intro (new)</w:t>
      </w:r>
      <w:r>
        <w:t xml:space="preserve"> | — | </w:t>
      </w:r>
      <w:r>
        <w:rPr>
          <w:b/>
        </w:rPr>
        <w:t>Brief, neutral definition of anchoring bias added to the orientation screen</w:t>
      </w:r>
      <w:r>
        <w:t xml:space="preserve"> (Richard's follow-up) |</w:t>
      </w:r>
    </w:p>
    <w:p>
      <w:r>
        <w:t xml:space="preserve">| </w:t>
      </w:r>
      <w:r>
        <w:rPr>
          <w:b/>
        </w:rPr>
        <w:t>D3b (new)</w:t>
      </w:r>
      <w:r>
        <w:t xml:space="preserve"> | — | </w:t>
      </w:r>
      <w:r>
        <w:rPr>
          <w:b/>
        </w:rPr>
        <w:t>Firm size — Big 4 / Mid-tier / Small / Sole practitioner</w:t>
      </w:r>
      <w:r>
        <w:t xml:space="preserve"> (Richard's follow-up) |</w:t>
      </w:r>
    </w:p>
    <w:p>
      <w:r>
        <w:rPr>
          <w:i/>
        </w:rPr>
        <w:t>Constructs, items-per-construct (5), and the 16 hypotheses are unchanged. All edits are wording, coverage, or controls — none alters what a construct measures.</w:t>
      </w:r>
    </w:p>
    <w:p>
      <w:r>
        <w:rPr>
          <w:b/>
        </w:rPr>
        <w:t>Follow-up chat comments from Richard (June 21) — all accommodated:</w:t>
      </w:r>
    </w:p>
    <w:p>
      <w:pPr>
        <w:pStyle w:val="ListNumber"/>
      </w:pPr>
      <w:r>
        <w:rPr>
          <w:i/>
        </w:rPr>
        <w:t>"I would add the definition of anchoring bias"</w:t>
      </w:r>
      <w:r>
        <w:t xml:space="preserve"> → a brief, neutral definition is now shown on the orientation screen (see Section 0). Kept deliberately non-leading to limit priming.</w:t>
      </w:r>
    </w:p>
    <w:p>
      <w:pPr>
        <w:pStyle w:val="ListNumber"/>
      </w:pPr>
      <w:r>
        <w:rPr>
          <w:i/>
        </w:rPr>
        <w:t>"Whether the manager gives access to previous audit files could vary audit by audit; a control variable should be pursued"</w:t>
      </w:r>
      <w:r>
        <w:t xml:space="preserve"> → control item C1 retained and </w:t>
      </w:r>
      <w:r>
        <w:rPr>
          <w:b/>
        </w:rPr>
        <w:t>converted to a frequency scale</w:t>
      </w:r>
      <w:r>
        <w:t xml:space="preserve"> so it captures engagement-by-engagement variation.</w:t>
      </w:r>
    </w:p>
    <w:p>
      <w:pPr>
        <w:pStyle w:val="ListNumber"/>
      </w:pPr>
      <w:r>
        <w:rPr>
          <w:i/>
        </w:rPr>
        <w:t>"Demographics… add firm size — big 4 / mid-tier / small"</w:t>
      </w:r>
      <w:r>
        <w:t xml:space="preserve"> → new demographic D3b added.</w:t>
      </w:r>
    </w:p>
    <w:p>
      <w:r>
        <w:br/>
      </w:r>
    </w:p>
    <w:p>
      <w:pPr>
        <w:pStyle w:val="Heading1"/>
      </w:pPr>
      <w:r>
        <w:t>SECTION 0 — Informed Consent</w:t>
      </w:r>
    </w:p>
    <w:p>
      <w:r>
        <w:rPr>
          <w:i/>
        </w:rPr>
        <w:t>(IRB-approved consent letter, IRB-25-0462, displayed in full. Affirmative consent required to proceed.)</w:t>
      </w:r>
    </w:p>
    <w:p>
      <w:r>
        <w:rPr>
          <w:b/>
        </w:rPr>
        <w:t>Consent.</w:t>
      </w:r>
      <w:r>
        <w:t xml:space="preserve"> Do you consent to participate in this study?</w:t>
      </w:r>
    </w:p>
    <w:p>
      <w:pPr>
        <w:pStyle w:val="ListBullet"/>
      </w:pPr>
      <w:r>
        <w:t>Yes, I consent and wish to continue</w:t>
      </w:r>
    </w:p>
    <w:p>
      <w:pPr>
        <w:pStyle w:val="ListBullet"/>
      </w:pPr>
      <w:r>
        <w:t xml:space="preserve">No, I do not consent </w:t>
      </w:r>
      <w:r>
        <w:rPr>
          <w:b/>
        </w:rPr>
        <w:t>[SCREEN-OUT]</w:t>
      </w:r>
    </w:p>
    <w:p>
      <w:r>
        <w:rPr>
          <w:b/>
        </w:rPr>
        <w:t>Orientation — key term (display only, shown after consent).</w:t>
      </w:r>
    </w:p>
    <w:p>
      <w:pPr>
        <w:ind w:left="432"/>
      </w:pPr>
      <w:r>
        <w:rPr>
          <w:i/>
        </w:rPr>
        <w:t>Anchoring bias</w:t>
      </w:r>
      <w:r>
        <w:t xml:space="preserve"> is the tendency to rely too heavily on an initial piece of information — an "anchor," such as a prior-year balance, a management estimate, or a budget figure — when making a judgment, so that final conclusions stay closer to that starting point than the evidence alone would justify. This survey asks about your audit work and the conditions around it; please answer based on your own experience.</w:t>
      </w:r>
    </w:p>
    <w:p>
      <w:r>
        <w:t>&gt;</w:t>
      </w:r>
    </w:p>
    <w:p>
      <w:pPr>
        <w:ind w:left="432"/>
      </w:pPr>
      <w:r>
        <w:rPr>
          <w:i/>
        </w:rPr>
        <w:t>(Added per reviewer request. Worded neutrally and placed as general orientation to aid comprehension while limiting any priming of specific answers.)</w:t>
      </w:r>
    </w:p>
    <w:p>
      <w:r>
        <w:br/>
      </w:r>
    </w:p>
    <w:p>
      <w:pPr>
        <w:pStyle w:val="Heading1"/>
      </w:pPr>
      <w:r>
        <w:t>SECTION 1 — Eligibility Screeners</w:t>
      </w:r>
    </w:p>
    <w:p>
      <w:r>
        <w:rPr>
          <w:i/>
        </w:rPr>
        <w:t>(All five must pass; any failing answer ends the survey with a polite ineligible message.)</w:t>
      </w:r>
    </w:p>
    <w:p>
      <w:r>
        <w:rPr>
          <w:b/>
        </w:rPr>
        <w:t>S1.</w:t>
      </w:r>
      <w:r>
        <w:t xml:space="preserve"> Are you currently located in the United States? — Yes / No </w:t>
      </w:r>
      <w:r>
        <w:rPr>
          <w:b/>
        </w:rPr>
        <w:t>[SCREEN-OUT]</w:t>
      </w:r>
    </w:p>
    <w:p>
      <w:r>
        <w:rPr>
          <w:b/>
        </w:rPr>
        <w:t>S2.</w:t>
      </w:r>
      <w:r>
        <w:t xml:space="preserve"> Are you fluent in English? — Yes / No </w:t>
      </w:r>
      <w:r>
        <w:rPr>
          <w:b/>
        </w:rPr>
        <w:t>[SCREEN-OUT]</w:t>
      </w:r>
    </w:p>
    <w:p>
      <w:r>
        <w:rPr>
          <w:b/>
        </w:rPr>
        <w:t>S3.</w:t>
      </w:r>
      <w:r>
        <w:t xml:space="preserve"> Are you currently, or have you been within the last 24 months, employed in an audit-related role (external audit, internal audit, or audit support)? — Yes / No </w:t>
      </w:r>
      <w:r>
        <w:rPr>
          <w:b/>
        </w:rPr>
        <w:t>[SCREEN-OUT]</w:t>
      </w:r>
    </w:p>
    <w:p>
      <w:r>
        <w:rPr>
          <w:b/>
        </w:rPr>
        <w:t>S4.</w:t>
      </w:r>
      <w:r>
        <w:t xml:space="preserve"> Have you personally worked on at least one continuing audit engagement (a multi-year engagement with the same client)? — Yes / No </w:t>
      </w:r>
      <w:r>
        <w:rPr>
          <w:b/>
        </w:rPr>
        <w:t>[SCREEN-OUT]</w:t>
      </w:r>
    </w:p>
    <w:p>
      <w:r>
        <w:rPr>
          <w:b/>
        </w:rPr>
        <w:t>S5.</w:t>
      </w:r>
      <w:r>
        <w:t xml:space="preserve"> Confirm you are completing this survey on your own, you have not seen it before, and you will not share it. — Yes, I confirm / No </w:t>
      </w:r>
      <w:r>
        <w:rPr>
          <w:b/>
        </w:rPr>
        <w:t>[SCREEN-OUT]</w:t>
      </w:r>
    </w:p>
    <w:p>
      <w:r>
        <w:br/>
      </w:r>
    </w:p>
    <w:p>
      <w:pPr>
        <w:pStyle w:val="Heading1"/>
      </w:pPr>
      <w:r>
        <w:t>SECTION 2 — Construct Items</w:t>
      </w:r>
    </w:p>
    <w:p>
      <w:r>
        <w:rPr>
          <w:i/>
        </w:rPr>
        <w:t>5-point Likert. Eight intervention blocks (TA, RA, AT, SAP, FR, IR, RPG, PMI) presented in randomized order; mediators (AJQ, APR) and DV (RAB) follow in fixed order. Item order randomized within each block.</w:t>
      </w:r>
    </w:p>
    <w:p>
      <w:pPr>
        <w:pStyle w:val="Heading2"/>
      </w:pPr>
      <w:r>
        <w:t>A.1 — Training &amp; Awareness (TA)</w:t>
      </w:r>
    </w:p>
    <w:p>
      <w:pPr>
        <w:pStyle w:val="ListNumber"/>
      </w:pPr>
      <w:r>
        <w:t>My firm provides specific training on cognitive biases (such as anchoring) that can affect audit judgments.</w:t>
      </w:r>
    </w:p>
    <w:p>
      <w:pPr>
        <w:pStyle w:val="ListNumber"/>
      </w:pPr>
      <w:r>
        <w:t>I have been taught concrete techniques for avoiding over-reliance on prior-year figures.</w:t>
      </w:r>
    </w:p>
    <w:p>
      <w:pPr>
        <w:pStyle w:val="ListNumber"/>
      </w:pPr>
      <w:r>
        <w:t>Training in my firm includes practice exercises with feedback, not only lectures.</w:t>
      </w:r>
    </w:p>
    <w:p>
      <w:pPr>
        <w:pStyle w:val="ListNumber"/>
      </w:pPr>
      <w:r>
        <w:rPr>
          <w:b/>
        </w:rPr>
        <w:t>(R)</w:t>
      </w:r>
      <w:r>
        <w:t xml:space="preserve"> I have received little or no training on how initial reference points can distort judgment.</w:t>
      </w:r>
    </w:p>
    <w:p>
      <w:pPr>
        <w:pStyle w:val="ListNumber"/>
      </w:pPr>
      <w:r>
        <w:t>I can recognize when an initial reference point is influencing my professional judgment.</w:t>
      </w:r>
    </w:p>
    <w:p>
      <w:pPr>
        <w:pStyle w:val="Heading2"/>
      </w:pPr>
      <w:r>
        <w:t>A.2 — Rotation of Auditors (RA)</w:t>
      </w:r>
    </w:p>
    <w:p>
      <w:pPr>
        <w:pStyle w:val="ListNumber"/>
      </w:pPr>
      <w:r>
        <w:t>Personnel on my long-term engagements are rotated on a regular schedule.</w:t>
      </w:r>
    </w:p>
    <w:p>
      <w:pPr>
        <w:pStyle w:val="ListNumber"/>
      </w:pPr>
      <w:r>
        <w:t>Rotation in my firm is frequent enough to bring a "fresh look" to recurring clients.</w:t>
      </w:r>
    </w:p>
    <w:p>
      <w:pPr>
        <w:pStyle w:val="ListNumber"/>
      </w:pPr>
      <w:r>
        <w:t>When I join a continuing engagement, I form my own view before reading prior auditors' conclusions.</w:t>
      </w:r>
    </w:p>
    <w:p>
      <w:pPr>
        <w:pStyle w:val="ListNumber"/>
      </w:pPr>
      <w:r>
        <w:rPr>
          <w:b/>
        </w:rPr>
        <w:t>(R)</w:t>
      </w:r>
      <w:r>
        <w:t xml:space="preserve"> The same individuals remain on my engagements for many years without change.</w:t>
      </w:r>
    </w:p>
    <w:p>
      <w:pPr>
        <w:pStyle w:val="ListNumber"/>
      </w:pPr>
      <w:r>
        <w:t>Rotation policies or requirements in my firm meaningfully reduce over-familiarity with clients or auditees.</w:t>
      </w:r>
    </w:p>
    <w:p>
      <w:pPr>
        <w:pStyle w:val="Heading2"/>
      </w:pPr>
      <w:r>
        <w:t>A.3 — Use of Analytical Tools (AT)</w:t>
      </w:r>
    </w:p>
    <w:p>
      <w:pPr>
        <w:pStyle w:val="ListNumber"/>
      </w:pPr>
      <w:r>
        <w:t>I routinely use data-analytics tools that flag anomalies in client data.</w:t>
      </w:r>
    </w:p>
    <w:p>
      <w:pPr>
        <w:pStyle w:val="ListNumber"/>
      </w:pPr>
      <w:r>
        <w:t>Visualization tools help me notice patterns that differ from prior-year expectations.</w:t>
      </w:r>
    </w:p>
    <w:p>
      <w:pPr>
        <w:pStyle w:val="ListNumber"/>
      </w:pPr>
      <w:r>
        <w:t>The analytical tools I use draw on data beyond the client's own ledgers (i.e., multiple sources of evidence).</w:t>
      </w:r>
    </w:p>
    <w:p>
      <w:pPr>
        <w:pStyle w:val="ListNumber"/>
      </w:pPr>
      <w:r>
        <w:rPr>
          <w:b/>
        </w:rPr>
        <w:t>(R)</w:t>
      </w:r>
      <w:r>
        <w:t xml:space="preserve"> I rely mainly on prior-year workpapers rather than on current-period analytics.</w:t>
      </w:r>
    </w:p>
    <w:p>
      <w:pPr>
        <w:pStyle w:val="ListNumber"/>
      </w:pPr>
      <w:r>
        <w:t>The tools I use prompt me to investigate items that contradict my expectations.</w:t>
      </w:r>
    </w:p>
    <w:p>
      <w:pPr>
        <w:pStyle w:val="Heading2"/>
      </w:pPr>
      <w:r>
        <w:t>A.4 — Structured Auditing Processes (SAP)</w:t>
      </w:r>
    </w:p>
    <w:p>
      <w:pPr>
        <w:pStyle w:val="ListNumber"/>
      </w:pPr>
      <w:r>
        <w:t>My audit work follows standardized procedures and decision aids.</w:t>
      </w:r>
    </w:p>
    <w:p>
      <w:pPr>
        <w:pStyle w:val="ListNumber"/>
      </w:pPr>
      <w:r>
        <w:t>Procedures require me to evaluate current evidence before consulting the prior-year conclusion.</w:t>
      </w:r>
    </w:p>
    <w:p>
      <w:pPr>
        <w:pStyle w:val="ListNumber"/>
      </w:pPr>
      <w:r>
        <w:t>Documentation templates make my reasoning explicit and reviewable.</w:t>
      </w:r>
    </w:p>
    <w:p>
      <w:pPr>
        <w:pStyle w:val="ListNumber"/>
      </w:pPr>
      <w:r>
        <w:rPr>
          <w:b/>
        </w:rPr>
        <w:t>(R)</w:t>
      </w:r>
      <w:r>
        <w:t xml:space="preserve"> My approach to recurring tasks is mostly informal and ad hoc.</w:t>
      </w:r>
    </w:p>
    <w:p>
      <w:pPr>
        <w:pStyle w:val="ListNumber"/>
      </w:pPr>
      <w:r>
        <w:t>The structure of my firm's audit methodology reduces reliance on mental shortcuts.</w:t>
      </w:r>
    </w:p>
    <w:p>
      <w:pPr>
        <w:pStyle w:val="Heading3"/>
      </w:pPr>
      <w:r>
        <w:t>⚠ Attention Check 1 *(after the respondent's fourth intervention block)*</w:t>
      </w:r>
    </w:p>
    <w:p>
      <w:pPr>
        <w:ind w:left="432"/>
      </w:pPr>
      <w:r>
        <w:rPr>
          <w:i/>
        </w:rPr>
        <w:t xml:space="preserve">To confirm you are reading carefully, please select </w:t>
      </w:r>
      <w:r>
        <w:rPr>
          <w:i/>
        </w:rPr>
        <w:t>"Disagree"</w:t>
      </w:r>
      <w:r>
        <w:rPr>
          <w:i/>
        </w:rPr>
        <w:t xml:space="preserve"> for this item.</w:t>
      </w:r>
    </w:p>
    <w:p>
      <w:pPr>
        <w:pStyle w:val="Heading2"/>
      </w:pPr>
      <w:r>
        <w:t>A.5 — Feedback &amp; Reflection (FR)</w:t>
      </w:r>
    </w:p>
    <w:p>
      <w:pPr>
        <w:pStyle w:val="ListNumber"/>
      </w:pPr>
      <w:r>
        <w:t>I receive feedback on the quality of my judgments, not only on meeting deadlines.</w:t>
      </w:r>
    </w:p>
    <w:p>
      <w:pPr>
        <w:pStyle w:val="ListNumber"/>
      </w:pPr>
      <w:r>
        <w:t>Post-engagement debriefs prompt me to reflect on judgment errors.</w:t>
      </w:r>
    </w:p>
    <w:p>
      <w:pPr>
        <w:pStyle w:val="ListNumber"/>
      </w:pPr>
      <w:r>
        <w:t>Feedback compares my conclusions against independent evidence.</w:t>
      </w:r>
    </w:p>
    <w:p>
      <w:pPr>
        <w:pStyle w:val="ListNumber"/>
      </w:pPr>
      <w:r>
        <w:rPr>
          <w:b/>
        </w:rPr>
        <w:t>(R)</w:t>
      </w:r>
      <w:r>
        <w:t xml:space="preserve"> I rarely learn whether my professional judgments were accurate.</w:t>
      </w:r>
    </w:p>
    <w:p>
      <w:pPr>
        <w:pStyle w:val="ListNumber"/>
      </w:pPr>
      <w:r>
        <w:t>Structured reflection is a regular part of how I improve my work.</w:t>
      </w:r>
    </w:p>
    <w:p>
      <w:pPr>
        <w:pStyle w:val="Heading2"/>
      </w:pPr>
      <w:r>
        <w:t>A.6 — Independent Reviews (IR)</w:t>
      </w:r>
    </w:p>
    <w:p>
      <w:pPr>
        <w:pStyle w:val="ListNumber"/>
      </w:pPr>
      <w:r>
        <w:t>My work is reviewed by a senior or equally qualified auditor who was not involved in forming the original judgment.</w:t>
      </w:r>
    </w:p>
    <w:p>
      <w:pPr>
        <w:pStyle w:val="ListNumber"/>
      </w:pPr>
      <w:r>
        <w:t>Reviewers in my firm independently re-examine key estimates.</w:t>
      </w:r>
    </w:p>
    <w:p>
      <w:pPr>
        <w:pStyle w:val="ListNumber"/>
      </w:pPr>
      <w:r>
        <w:t>Reviewers challenge whether my judgments rely too heavily on prior-year audit conclusions.</w:t>
      </w:r>
    </w:p>
    <w:p>
      <w:pPr>
        <w:pStyle w:val="ListNumber"/>
      </w:pPr>
      <w:r>
        <w:rPr>
          <w:b/>
        </w:rPr>
        <w:t>(R)</w:t>
      </w:r>
      <w:r>
        <w:t xml:space="preserve"> Reviews in my firm mostly confirm the preparer's conclusion without independent analysis.</w:t>
      </w:r>
    </w:p>
    <w:p>
      <w:pPr>
        <w:pStyle w:val="ListNumber"/>
      </w:pPr>
      <w:r>
        <w:t>Engagement-quality reviews are substantive rather than a formality.</w:t>
      </w:r>
    </w:p>
    <w:p>
      <w:pPr>
        <w:pStyle w:val="Heading2"/>
      </w:pPr>
      <w:r>
        <w:t>A.7 — Regulatory &amp; Professional Guidance (RPG)</w:t>
      </w:r>
    </w:p>
    <w:p>
      <w:pPr>
        <w:pStyle w:val="ListNumber"/>
      </w:pPr>
      <w:r>
        <w:t>Regulatory and professional standards (e.g., PCAOB, AICPA, IIA, COSO) meaningfully shape how I exercise judgment.</w:t>
      </w:r>
    </w:p>
    <w:p>
      <w:pPr>
        <w:pStyle w:val="ListNumber"/>
      </w:pPr>
      <w:r>
        <w:t>The possibility of inspection encourages me to double-check the support and analysis behind my judgments.</w:t>
      </w:r>
    </w:p>
    <w:p>
      <w:pPr>
        <w:pStyle w:val="ListNumber"/>
      </w:pPr>
      <w:r>
        <w:t>Professional-skepticism requirements are actively reinforced in my firm.</w:t>
      </w:r>
    </w:p>
    <w:p>
      <w:pPr>
        <w:pStyle w:val="ListNumber"/>
      </w:pPr>
      <w:r>
        <w:rPr>
          <w:b/>
        </w:rPr>
        <w:t>(R)</w:t>
      </w:r>
      <w:r>
        <w:t xml:space="preserve"> Regulatory guidance has little practical effect on my day-to-day judgments.</w:t>
      </w:r>
    </w:p>
    <w:p>
      <w:pPr>
        <w:pStyle w:val="ListNumber"/>
      </w:pPr>
      <w:r>
        <w:t>Standards require me to document independent support for estimates.</w:t>
      </w:r>
    </w:p>
    <w:p>
      <w:pPr>
        <w:pStyle w:val="Heading2"/>
      </w:pPr>
      <w:r>
        <w:t>A.8 — Performance Metrics &amp; Incentives (PMI)</w:t>
      </w:r>
    </w:p>
    <w:p>
      <w:pPr>
        <w:pStyle w:val="ListNumber"/>
      </w:pPr>
      <w:r>
        <w:t>My performance evaluation rewards judgment quality, not only efficiency.</w:t>
      </w:r>
    </w:p>
    <w:p>
      <w:pPr>
        <w:pStyle w:val="ListNumber"/>
      </w:pPr>
      <w:r>
        <w:t>Incentives in my firm are aligned with audit quality.</w:t>
      </w:r>
    </w:p>
    <w:p>
      <w:pPr>
        <w:pStyle w:val="ListNumber"/>
      </w:pPr>
      <w:r>
        <w:t>I am recognized for exercising appropriate professional skepticism.</w:t>
      </w:r>
    </w:p>
    <w:p>
      <w:pPr>
        <w:pStyle w:val="ListNumber"/>
      </w:pPr>
      <w:r>
        <w:rPr>
          <w:b/>
        </w:rPr>
        <w:t>(R)</w:t>
      </w:r>
      <w:r>
        <w:t xml:space="preserve"> My firm's incentive and evaluation system discourages spending the extra time needed to challenge prior-year balances.</w:t>
      </w:r>
    </w:p>
    <w:p>
      <w:pPr>
        <w:pStyle w:val="ListNumber"/>
      </w:pPr>
      <w:r>
        <w:t>The way my work is evaluated encourages thorough, independent analysis.</w:t>
      </w:r>
    </w:p>
    <w:p>
      <w:pPr>
        <w:pStyle w:val="Heading3"/>
      </w:pPr>
      <w:r>
        <w:t>⚠ Attention Check 2 *(after the respondent's eighth intervention block)*</w:t>
      </w:r>
    </w:p>
    <w:p>
      <w:pPr>
        <w:ind w:left="432"/>
      </w:pPr>
      <w:r>
        <w:rPr>
          <w:i/>
        </w:rPr>
        <w:t xml:space="preserve">Please select </w:t>
      </w:r>
      <w:r>
        <w:rPr>
          <w:i/>
        </w:rPr>
        <w:t>"Agree"</w:t>
      </w:r>
      <w:r>
        <w:rPr>
          <w:i/>
        </w:rPr>
        <w:t xml:space="preserve"> for this item to confirm your attention.</w:t>
      </w:r>
    </w:p>
    <w:p>
      <w:pPr>
        <w:pStyle w:val="Heading2"/>
      </w:pPr>
      <w:r>
        <w:t>A.9 — Auditor Judgment Quality (AJQ) — Mediator</w:t>
      </w:r>
    </w:p>
    <w:p>
      <w:pPr>
        <w:pStyle w:val="ListNumber"/>
      </w:pPr>
      <w:r>
        <w:t>My audit judgments are based on careful evaluation of independent evidence.</w:t>
      </w:r>
    </w:p>
    <w:p>
      <w:pPr>
        <w:pStyle w:val="ListNumber"/>
      </w:pPr>
      <w:r>
        <w:t>I reach conclusions objectively, free of undue influence from management's explanations.</w:t>
      </w:r>
    </w:p>
    <w:p>
      <w:pPr>
        <w:pStyle w:val="ListNumber"/>
      </w:pPr>
      <w:r>
        <w:t>I deploy relevant knowledge and reasoning when forming difficult judgments.</w:t>
      </w:r>
    </w:p>
    <w:p>
      <w:pPr>
        <w:pStyle w:val="ListNumber"/>
      </w:pPr>
      <w:r>
        <w:rPr>
          <w:b/>
        </w:rPr>
        <w:t>(R)</w:t>
      </w:r>
      <w:r>
        <w:t xml:space="preserve"> My conclusions often default to last year's position.</w:t>
      </w:r>
    </w:p>
    <w:p>
      <w:pPr>
        <w:pStyle w:val="ListNumber"/>
      </w:pPr>
      <w:r>
        <w:t>I am confident my judgments would withstand independent scrutiny.</w:t>
      </w:r>
    </w:p>
    <w:p>
      <w:pPr>
        <w:pStyle w:val="Heading2"/>
      </w:pPr>
      <w:r>
        <w:t>A.10 — Audit Process Rigor (APR) — Mediator</w:t>
      </w:r>
    </w:p>
    <w:p>
      <w:pPr>
        <w:pStyle w:val="ListNumber"/>
      </w:pPr>
      <w:r>
        <w:t>The audit process I follow is thorough and consistently executed.</w:t>
      </w:r>
    </w:p>
    <w:p>
      <w:pPr>
        <w:pStyle w:val="ListNumber"/>
      </w:pPr>
      <w:r>
        <w:t>Key judgments are independently corroborated within the engagement.</w:t>
      </w:r>
    </w:p>
    <w:p>
      <w:pPr>
        <w:pStyle w:val="ListNumber"/>
      </w:pPr>
      <w:r>
        <w:t>The process enforces disciplined evaluation of evidence in a defined order.</w:t>
      </w:r>
    </w:p>
    <w:p>
      <w:pPr>
        <w:pStyle w:val="ListNumber"/>
      </w:pPr>
      <w:r>
        <w:rPr>
          <w:b/>
        </w:rPr>
        <w:t>(R)</w:t>
      </w:r>
      <w:r>
        <w:t xml:space="preserve"> Execution on my engagements is often rushed or inconsistent.</w:t>
      </w:r>
    </w:p>
    <w:p>
      <w:pPr>
        <w:pStyle w:val="ListNumber"/>
      </w:pPr>
      <w:r>
        <w:t>Critical audit procedures are consistently followed across all my engagements.</w:t>
      </w:r>
    </w:p>
    <w:p>
      <w:pPr>
        <w:pStyle w:val="Heading2"/>
      </w:pPr>
      <w:r>
        <w:t>A.11 — Reduction in Anchoring Bias (RAB) — Dependent Variable</w:t>
      </w:r>
    </w:p>
    <w:p>
      <w:pPr>
        <w:pStyle w:val="ListNumber"/>
      </w:pPr>
      <w:r>
        <w:t>When auditing a recurring account, I adjust fully away from the prior-year balance when current evidence warrants.</w:t>
      </w:r>
    </w:p>
    <w:p>
      <w:pPr>
        <w:pStyle w:val="ListNumber"/>
      </w:pPr>
      <w:r>
        <w:t>I form an independent expectation before I look at management's estimate.</w:t>
      </w:r>
    </w:p>
    <w:p>
      <w:pPr>
        <w:pStyle w:val="ListNumber"/>
      </w:pPr>
      <w:r>
        <w:t>My final conclusions are driven by current evidence rather than by initial reference points.</w:t>
      </w:r>
    </w:p>
    <w:p>
      <w:pPr>
        <w:pStyle w:val="ListNumber"/>
      </w:pPr>
      <w:r>
        <w:rPr>
          <w:b/>
        </w:rPr>
        <w:t>(R)</w:t>
      </w:r>
      <w:r>
        <w:t xml:space="preserve"> My estimates tend to stay close to the prior-year figure even when evidence suggests otherwise.</w:t>
      </w:r>
    </w:p>
    <w:p>
      <w:pPr>
        <w:pStyle w:val="ListNumber"/>
      </w:pPr>
      <w:r>
        <w:t>I actively seek evidence that contradicts my initial expectation.</w:t>
      </w:r>
    </w:p>
    <w:p>
      <w:r>
        <w:br/>
      </w:r>
    </w:p>
    <w:p>
      <w:pPr>
        <w:pStyle w:val="Heading1"/>
      </w:pPr>
      <w:r>
        <w:t>SECTION 3 — Context Control &amp; Open-Ended Check</w:t>
      </w:r>
    </w:p>
    <w:p>
      <w:r>
        <w:rPr>
          <w:b/>
        </w:rPr>
        <w:t>C1 (context control).</w:t>
      </w:r>
      <w:r>
        <w:t xml:space="preserve"> Across my engagements, how often are prior-year workpapers and conclusions accessible to the audit team?</w:t>
      </w:r>
    </w:p>
    <w:p>
      <w:pPr>
        <w:pStyle w:val="ListBullet"/>
      </w:pPr>
      <w:r>
        <w:t>On every engagement · On most engagements · On about half · On some engagements · Rarely or never</w:t>
      </w:r>
    </w:p>
    <w:p>
      <w:r>
        <w:rPr>
          <w:i/>
        </w:rPr>
        <w:t xml:space="preserve">Rationale: the anchoring premise assumes exposure to the prior-year reference point. The reviewer noted that access "could vary audit by audit," so this is a </w:t>
      </w:r>
      <w:r>
        <w:rPr>
          <w:i/>
        </w:rPr>
        <w:t>frequency</w:t>
      </w:r>
      <w:r>
        <w:rPr>
          <w:i/>
        </w:rPr>
        <w:t xml:space="preserve"> scale rather than a single agree/disagree — it captures within-respondent variability and lets the analysis test whether anchoring effects differ by exposure. Treated as a control, excluded from the factor analysis.</w:t>
      </w:r>
    </w:p>
    <w:p>
      <w:r>
        <w:rPr>
          <w:b/>
        </w:rPr>
        <w:t>Open-ended substantive check.</w:t>
      </w:r>
      <w:r>
        <w:t xml:space="preserve"> In your own words, please briefly describe a time in your audit work when you noticed an initial figure (a prior-year balance, a management estimate, or a budget) influencing your judgment. </w:t>
      </w:r>
      <w:r>
        <w:rPr>
          <w:i/>
        </w:rPr>
        <w:t>2–4 sentences is plenty.</w:t>
      </w:r>
    </w:p>
    <w:p>
      <w:r>
        <w:br/>
      </w:r>
    </w:p>
    <w:p>
      <w:pPr>
        <w:pStyle w:val="Heading1"/>
      </w:pPr>
      <w:r>
        <w:t>SECTION 4 — Demographics &amp; Controls</w:t>
      </w:r>
    </w:p>
    <w:p>
      <w:r>
        <w:rPr>
          <w:b/>
        </w:rPr>
        <w:t>D1a.</w:t>
      </w:r>
      <w:r>
        <w:t xml:space="preserve"> Years of </w:t>
      </w:r>
      <w:r>
        <w:rPr>
          <w:b/>
        </w:rPr>
        <w:t>external</w:t>
      </w:r>
      <w:r>
        <w:t xml:space="preserve"> audit experience (enter 0 if none).</w:t>
      </w:r>
    </w:p>
    <w:p>
      <w:pPr>
        <w:pStyle w:val="ListBullet"/>
      </w:pPr>
      <w:r>
        <w:t>0 (none) · Less than 2 · 2–5 · 6–10 · 11–15 · More than 15</w:t>
      </w:r>
    </w:p>
    <w:p>
      <w:r>
        <w:rPr>
          <w:b/>
        </w:rPr>
        <w:t>D1b.</w:t>
      </w:r>
      <w:r>
        <w:t xml:space="preserve"> Years of </w:t>
      </w:r>
      <w:r>
        <w:rPr>
          <w:b/>
        </w:rPr>
        <w:t>internal</w:t>
      </w:r>
      <w:r>
        <w:t xml:space="preserve"> audit experience (enter 0 if none).</w:t>
      </w:r>
    </w:p>
    <w:p>
      <w:pPr>
        <w:pStyle w:val="ListBullet"/>
      </w:pPr>
      <w:r>
        <w:t>0 (none) · Less than 2 · 2–5 · 6–10 · 11–15 · More than 15</w:t>
      </w:r>
    </w:p>
    <w:p>
      <w:r>
        <w:rPr>
          <w:i/>
        </w:rPr>
        <w:t>(Note: internal auditors frequently have prior external audit experience; capturing both avoids hiding dual backgrounds.)</w:t>
      </w:r>
    </w:p>
    <w:p>
      <w:r>
        <w:rPr>
          <w:b/>
        </w:rPr>
        <w:t>D2.</w:t>
      </w:r>
      <w:r>
        <w:t xml:space="preserve"> Primary audit role — External audit / Internal audit / Audit support or other / Not currently in an audit role</w:t>
      </w:r>
    </w:p>
    <w:p>
      <w:r>
        <w:rPr>
          <w:b/>
        </w:rPr>
        <w:t>D3.</w:t>
      </w:r>
      <w:r>
        <w:t xml:space="preserve"> Organization type — Public accounting firm / Private company / Regulatory body / Government / Other</w:t>
      </w:r>
    </w:p>
    <w:p>
      <w:r>
        <w:rPr>
          <w:b/>
        </w:rPr>
        <w:t>D3b.</w:t>
      </w:r>
      <w:r>
        <w:t xml:space="preserve"> If you work in (or most recently worked in) public accounting, what is the firm's size? — Big 4 / Mid-tier (national or large regional) / Small (local or regional) / Sole practitioner / Not applicable</w:t>
      </w:r>
    </w:p>
    <w:p>
      <w:r>
        <w:rPr>
          <w:i/>
        </w:rPr>
        <w:t>(Firm size added per reviewer follow-up; separates firm scale from organization type.)</w:t>
      </w:r>
    </w:p>
    <w:p>
      <w:r>
        <w:rPr>
          <w:b/>
        </w:rPr>
        <w:t>D4.</w:t>
      </w:r>
      <w:r>
        <w:t xml:space="preserve"> Primary industry focus — Financial services / Manufacturing / Technology / Healthcare / Energy / Government-nonprofit / Other</w:t>
      </w:r>
    </w:p>
    <w:p>
      <w:r>
        <w:rPr>
          <w:b/>
        </w:rPr>
        <w:t>D5.</w:t>
      </w:r>
      <w:r>
        <w:t xml:space="preserve"> Do you currently work on multi-year (long-term) engagements? — Yes / No</w:t>
      </w:r>
    </w:p>
    <w:p>
      <w:r>
        <w:rPr>
          <w:b/>
        </w:rPr>
        <w:t>D6.</w:t>
      </w:r>
      <w:r>
        <w:t xml:space="preserve"> Highest professional credential — CPA / CIA / CISA / Other accounting credential / None yet</w:t>
      </w:r>
    </w:p>
    <w:p>
      <w:r>
        <w:rPr>
          <w:b/>
        </w:rPr>
        <w:t>D7.</w:t>
      </w:r>
      <w:r>
        <w:t xml:space="preserve"> US region </w:t>
      </w:r>
      <w:r>
        <w:rPr>
          <w:i/>
        </w:rPr>
        <w:t>(optional)</w:t>
      </w:r>
      <w:r>
        <w:t xml:space="preserve"> — Northeast / Southeast / Midwest / Southwest / West / Remote-multi-region</w:t>
      </w:r>
    </w:p>
    <w:p>
      <w:r>
        <w:br/>
      </w:r>
    </w:p>
    <w:p>
      <w:pPr>
        <w:pStyle w:val="Heading1"/>
      </w:pPr>
      <w:r>
        <w:t>SECTION 5 — Debrief</w:t>
      </w:r>
    </w:p>
    <w:p>
      <w:pPr>
        <w:ind w:left="432"/>
      </w:pPr>
      <w:r>
        <w:rPr>
          <w:b/>
        </w:rPr>
        <w:t>Thank you for participating.</w:t>
      </w:r>
      <w:r>
        <w:t xml:space="preserve"> Your responses help test a model predicting which audit-process interventions most effectively reduce anchoring bias in long-term engagements. No individually identifying information was collected. Questions: Yasir A. Malik, FIU DBA Program (IRB-25-0462).</w:t>
      </w:r>
    </w:p>
    <w:p>
      <w:pPr>
        <w:ind w:left="432"/>
      </w:pPr>
      <w:r>
        <w:rPr>
          <w:i/>
        </w:rPr>
        <w:t>(Live survey shows the completion code / CloudResearch redirect here.)</w:t>
      </w:r>
    </w:p>
    <w:p>
      <w:r>
        <w:br/>
      </w:r>
    </w:p>
    <w:p>
      <w:pPr>
        <w:pStyle w:val="Heading2"/>
      </w:pPr>
      <w:r>
        <w:t>Instrument map (v2)</w:t>
      </w:r>
    </w:p>
    <w:p>
      <w:r>
        <w:t>| Section | Items |</w:t>
      </w:r>
    </w:p>
    <w:p>
      <w:r>
        <w:t>|---|---|</w:t>
      </w:r>
    </w:p>
    <w:p>
      <w:r>
        <w:t>| Consent | 1 |</w:t>
      </w:r>
    </w:p>
    <w:p>
      <w:r>
        <w:t>| Screeners | 5 |</w:t>
      </w:r>
    </w:p>
    <w:p>
      <w:r>
        <w:t>| 8 IV constructs × 5 | 40 |</w:t>
      </w:r>
    </w:p>
    <w:p>
      <w:r>
        <w:t>| 2 mediators × 5 | 10 |</w:t>
      </w:r>
    </w:p>
    <w:p>
      <w:r>
        <w:t>| 1 DV × 5 | 5 |</w:t>
      </w:r>
    </w:p>
    <w:p>
      <w:r>
        <w:t>| Attention checks | 2 |</w:t>
      </w:r>
    </w:p>
    <w:p>
      <w:r>
        <w:t>| Context control (C1, frequency) | 1 |</w:t>
      </w:r>
    </w:p>
    <w:p>
      <w:r>
        <w:t>| Open-ended check | 1 |</w:t>
      </w:r>
    </w:p>
    <w:p>
      <w:r>
        <w:t>| Demographics (D1a, D1b, D2, D3, D3b, D4–D7) | 9 |</w:t>
      </w:r>
    </w:p>
    <w:p>
      <w:r>
        <w:t xml:space="preserve">| </w:t>
      </w:r>
      <w:r>
        <w:rPr>
          <w:b/>
        </w:rPr>
        <w:t>Respondent-facing total</w:t>
      </w:r>
      <w:r>
        <w:t xml:space="preserve"> | </w:t>
      </w:r>
      <w:r>
        <w:rPr>
          <w:b/>
        </w:rPr>
        <w:t>74</w:t>
      </w:r>
      <w:r>
        <w:t xml:space="preserve"> |</w:t>
      </w:r>
    </w:p>
    <w:p>
      <w:r>
        <w:rPr>
          <w:i/>
        </w:rPr>
        <w:t>(Plus a display-only anchoring-bias definition on the orientation screen — not a response item.)</w:t>
      </w:r>
    </w:p>
    <w:p>
      <w:r>
        <w:rPr>
          <w:i/>
        </w:rPr>
        <w:t>Reconciliation note: reconciled against the IRB-approved instrument (IRB-25-0462) on Monday Jun 22; where the approved instrument differs, the approved wording governs, and any item judged substantive is cleared with advisor + IRB before fielding.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