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Update — One Page</w:t>
      </w:r>
    </w:p>
    <w:p>
      <w:r>
        <w:rPr>
          <w:b/>
        </w:rPr>
        <w:t>To:</w:t>
      </w:r>
      <w:r>
        <w:t xml:space="preserve"> Prof. Dr. Juan Rey | </w:t>
      </w:r>
      <w:r>
        <w:rPr>
          <w:b/>
        </w:rPr>
        <w:t>From:</w:t>
      </w:r>
      <w:r>
        <w:t xml:space="preserve"> Yasir A. Malik (PID 1687105) | </w:t>
      </w:r>
      <w:r>
        <w:rPr>
          <w:b/>
        </w:rPr>
        <w:t>Date:</w:t>
      </w:r>
      <w:r>
        <w:t xml:space="preserve"> June 21, 2026</w:t>
      </w:r>
    </w:p>
    <w:p>
      <w:r>
        <w:rPr>
          <w:b/>
        </w:rPr>
        <w:t>Re:</w:t>
      </w:r>
      <w:r>
        <w:t xml:space="preserve"> Peer review of the survey instrument; instrument fielding this week per your timeline</w:t>
      </w:r>
    </w:p>
    <w:p>
      <w:r>
        <w:br/>
      </w:r>
    </w:p>
    <w:p>
      <w:r>
        <w:rPr>
          <w:b/>
        </w:rPr>
        <w:t>Where things stand.</w:t>
      </w:r>
      <w:r>
        <w:t xml:space="preserve"> The full measurement instrument (eleven constructs, five items each) completed an informal </w:t>
      </w:r>
      <w:r>
        <w:rPr>
          <w:b/>
        </w:rPr>
        <w:t>peer review by an audit-experienced reviewer</w:t>
      </w:r>
      <w:r>
        <w:t xml:space="preserve"> this week. I have analyzed every comment, applied the validity-improving changes, and documented reasoned decisions where I held a design choice. The instrument is now </w:t>
      </w:r>
      <w:r>
        <w:rPr>
          <w:b/>
        </w:rPr>
        <w:t>v2</w:t>
      </w:r>
      <w:r>
        <w:t xml:space="preserve"> and is being loaded into Qualtrics to field this week, on the day-by-day schedule below. The eleven constructs, the five-items-per-construct structure, and the sixteen hypotheses are </w:t>
      </w:r>
      <w:r>
        <w:rPr>
          <w:b/>
        </w:rPr>
        <w:t>unchanged</w:t>
      </w:r>
      <w:r>
        <w:t>, so the exploratory-factor-analysis and mediation plan is fully preserved.</w:t>
      </w:r>
    </w:p>
    <w:p>
      <w:r>
        <w:rPr>
          <w:b/>
        </w:rPr>
        <w:t>What the review changed (all wording, coverage, or controls — no construct redefined):</w:t>
      </w:r>
    </w:p>
    <w:p>
      <w:pPr>
        <w:pStyle w:val="ListBullet"/>
      </w:pPr>
      <w:r>
        <w:rPr>
          <w:b/>
        </w:rPr>
        <w:t>Eight items reworded for clarity and fairness to internal auditors</w:t>
      </w:r>
      <w:r>
        <w:t xml:space="preserve"> — e.g., the independent-review item now reads "Reviewers challenge whether my judgments rely too heavily on prior-year audit conclusions"; the regulatory item now names PCAOB, AICPA, IIA, and COSO; the incentives reverse-item was rewritten so it measures the </w:t>
      </w:r>
      <w:r>
        <w:rPr>
          <w:i/>
        </w:rPr>
        <w:t>firm's incentive system</w:t>
      </w:r>
      <w:r>
        <w:t xml:space="preserve"> rather than universal budget pressure (a contamination the reviewer correctly flagged).</w:t>
      </w:r>
    </w:p>
    <w:p>
      <w:pPr>
        <w:pStyle w:val="ListBullet"/>
      </w:pPr>
      <w:r>
        <w:rPr>
          <w:b/>
        </w:rPr>
        <w:t>Two controls added</w:t>
      </w:r>
      <w:r>
        <w:t xml:space="preserve"> — a context item on whether the audit team actually has access to prior-year files (the anchoring premise assumes exposure to the anchor), and a split of audit experience into </w:t>
      </w:r>
      <w:r>
        <w:rPr>
          <w:b/>
        </w:rPr>
        <w:t>external</w:t>
      </w:r>
      <w:r>
        <w:t xml:space="preserve"> vs </w:t>
      </w:r>
      <w:r>
        <w:rPr>
          <w:b/>
        </w:rPr>
        <w:t>internal</w:t>
      </w:r>
      <w:r>
        <w:t xml:space="preserve"> years (internal auditors often have prior external experience).</w:t>
      </w:r>
    </w:p>
    <w:p>
      <w:pPr>
        <w:pStyle w:val="ListBullet"/>
      </w:pPr>
      <w:r>
        <w:rPr>
          <w:b/>
        </w:rPr>
        <w:t>Respondent-facing items: 71 → 73.</w:t>
      </w:r>
    </w:p>
    <w:p>
      <w:r>
        <w:rPr>
          <w:b/>
        </w:rPr>
        <w:t>Reasoned decisions I am flagging for you:</w:t>
      </w:r>
    </w:p>
    <w:p>
      <w:pPr>
        <w:pStyle w:val="ListNumber"/>
      </w:pPr>
      <w:r>
        <w:rPr>
          <w:b/>
        </w:rPr>
        <w:t>5-point vs 7-point Likert.</w:t>
      </w:r>
      <w:r>
        <w:t xml:space="preserve"> The reviewer asked about 7-point. I recommend </w:t>
      </w:r>
      <w:r>
        <w:rPr>
          <w:b/>
        </w:rPr>
        <w:t>keeping 5-point</w:t>
      </w:r>
      <w:r>
        <w:t xml:space="preserve"> — the measurement literature shows reliability/validity gains plateau by ~7 points and that 5- and 7-point scales perform comparably (Preston &amp; Colman, 2000, </w:t>
      </w:r>
      <w:r>
        <w:rPr>
          <w:i/>
        </w:rPr>
        <w:t>Acta Psychologica</w:t>
      </w:r>
      <w:r>
        <w:t xml:space="preserve">; Dawes, 2008, </w:t>
      </w:r>
      <w:r>
        <w:rPr>
          <w:i/>
        </w:rPr>
        <w:t>Int. J. Market Research</w:t>
      </w:r>
      <w:r>
        <w:t xml:space="preserve">), while 5-point reduces fatigue across 55 items and renders better on mobile. </w:t>
      </w:r>
      <w:r>
        <w:rPr>
          <w:b/>
        </w:rPr>
        <w:t>This is reversible before launch if you prefer 7-point</w:t>
      </w:r>
      <w:r>
        <w:t xml:space="preserve"> — please let me know.</w:t>
      </w:r>
    </w:p>
    <w:p>
      <w:pPr>
        <w:pStyle w:val="ListNumber"/>
      </w:pPr>
      <w:r>
        <w:rPr>
          <w:b/>
        </w:rPr>
        <w:t>Regulatory + Professional Guidance as one construct.</w:t>
      </w:r>
      <w:r>
        <w:t xml:space="preserve"> The reviewer asked whether to split it. I am keeping it combined (both operate through the same accountability/System-2 mechanism), but the </w:t>
      </w:r>
      <w:r>
        <w:rPr>
          <w:b/>
        </w:rPr>
        <w:t>EFA will test its dimensionality empirically</w:t>
      </w:r>
      <w:r>
        <w:t xml:space="preserve"> — if the items split into two factors, I will report it and revise the model with your sign-off.</w:t>
      </w:r>
    </w:p>
    <w:p>
      <w:r>
        <w:rPr>
          <w:b/>
        </w:rPr>
        <w:t>Scope and IRB.</w:t>
      </w:r>
      <w:r>
        <w:t xml:space="preserve"> Every change is wording, coverage, or a control; </w:t>
      </w:r>
      <w:r>
        <w:rPr>
          <w:b/>
        </w:rPr>
        <w:t>none alters what a construct measures</w:t>
      </w:r>
      <w:r>
        <w:t>, so none is a substantive IRB change. Monday's item-by-item reconciliation against the IRB-approved instrument will confirm this; anything judged substantive halts and escalates to you and the IRB before fielding.</w:t>
      </w:r>
    </w:p>
    <w:p>
      <w:r>
        <w:rPr>
          <w:b/>
        </w:rPr>
        <w:t>Plan this week (day by day).</w:t>
      </w:r>
    </w:p>
    <w:p>
      <w:pPr>
        <w:pStyle w:val="ListBullet"/>
      </w:pPr>
      <w:r>
        <w:rPr>
          <w:b/>
        </w:rPr>
        <w:t>Mon Jun 22</w:t>
      </w:r>
      <w:r>
        <w:t xml:space="preserve"> — Reconcile v2 against the IRB-approved instrument; review pilot feedback.</w:t>
      </w:r>
    </w:p>
    <w:p>
      <w:pPr>
        <w:pStyle w:val="ListBullet"/>
      </w:pPr>
      <w:r>
        <w:rPr>
          <w:b/>
        </w:rPr>
        <w:t>Tue Jun 23</w:t>
      </w:r>
      <w:r>
        <w:t xml:space="preserve"> — Build + preview-test + publish in Qualtrics; send the informed-pilot link to 6–10 eligible auditors that evening.</w:t>
      </w:r>
    </w:p>
    <w:p>
      <w:pPr>
        <w:pStyle w:val="ListBullet"/>
      </w:pPr>
      <w:r>
        <w:rPr>
          <w:b/>
        </w:rPr>
        <w:t>Wed Jun 24</w:t>
      </w:r>
      <w:r>
        <w:t xml:space="preserve"> — Informed pilot open; collect feedback.</w:t>
      </w:r>
    </w:p>
    <w:p>
      <w:pPr>
        <w:pStyle w:val="ListBullet"/>
      </w:pPr>
      <w:r>
        <w:rPr>
          <w:b/>
        </w:rPr>
        <w:t>Thu Jun 25</w:t>
      </w:r>
      <w:r>
        <w:t xml:space="preserve"> — Close pilot (≥6 completions); apply wording-only fixes; verify the six pre-launch decision gates.</w:t>
      </w:r>
    </w:p>
    <w:p>
      <w:pPr>
        <w:pStyle w:val="ListBullet"/>
      </w:pPr>
      <w:r>
        <w:rPr>
          <w:b/>
        </w:rPr>
        <w:t>Fri Jun 26</w:t>
      </w:r>
      <w:r>
        <w:t xml:space="preserve"> — CloudResearch soft-launch — data collection begins.</w:t>
      </w:r>
    </w:p>
    <w:p>
      <w:pPr>
        <w:pStyle w:val="ListBullet"/>
      </w:pPr>
      <w:r>
        <w:rPr>
          <w:b/>
        </w:rPr>
        <w:t>Sun Jun 28</w:t>
      </w:r>
      <w:r>
        <w:t xml:space="preserve"> — Submit Weekly Update W07 with data-collection progress.</w:t>
      </w:r>
    </w:p>
    <w:p>
      <w:r>
        <w:rPr>
          <w:b/>
        </w:rPr>
        <w:t>Full detail</w:t>
      </w:r>
      <w:r>
        <w:t xml:space="preserve"> (the verbatim review, the point-by-point response, and the v2 instrument) is on the project repository:</w:t>
      </w:r>
    </w:p>
    <w:p>
      <w:r>
        <w:t>https://github.com/AuditingAI/Profile/tree/claude/scholar-links-review-Plgk6/dba/04_Peer_Review</w:t>
      </w:r>
    </w:p>
    <w:p>
      <w:r>
        <w:t>— Yasir A. Malik | PID 1687105 | FIU DBA Cohort 7.16 | IRB-25-0462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