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0"/>
        </w:rPr>
        <w:t>Initial Project Idea</w:t>
      </w:r>
    </w:p>
    <w:p>
      <w:pPr>
        <w:spacing w:after="200"/>
      </w:pPr>
      <w:r>
        <w:rPr>
          <w:rFonts w:ascii="Times New Roman" w:hAnsi="Times New Roman" w:cs="Times New Roman" w:eastAsia="Times New Roman"/>
          <w:i/>
          <w:color w:val="000000"/>
          <w:sz w:val="24"/>
        </w:rPr>
        <w:t>Feasibility Constraints on Cross-National Research into Narrow Specialist Professional Populations</w:t>
      </w:r>
    </w:p>
    <w:p>
      <w:pPr>
        <w:spacing w:after="20" w:line="240" w:lineRule="auto"/>
      </w:pPr>
      <w:r>
        <w:rPr>
          <w:rFonts w:ascii="Times New Roman" w:hAnsi="Times New Roman" w:cs="Times New Roman" w:eastAsia="Times New Roman"/>
          <w:color w:val="000000"/>
          <w:sz w:val="21"/>
        </w:rPr>
        <w:t>Yasir A. Malik</w:t>
      </w:r>
    </w:p>
    <w:p>
      <w:pPr>
        <w:spacing w:after="20" w:line="240" w:lineRule="auto"/>
      </w:pPr>
      <w:r>
        <w:rPr>
          <w:rFonts w:ascii="Times New Roman" w:hAnsi="Times New Roman" w:cs="Times New Roman" w:eastAsia="Times New Roman"/>
          <w:color w:val="000000"/>
          <w:sz w:val="21"/>
        </w:rPr>
        <w:t>Florida International University — College of Business</w:t>
      </w:r>
    </w:p>
    <w:p>
      <w:pPr>
        <w:spacing w:after="20" w:line="240" w:lineRule="auto"/>
      </w:pPr>
      <w:r>
        <w:rPr>
          <w:rFonts w:ascii="Times New Roman" w:hAnsi="Times New Roman" w:cs="Times New Roman" w:eastAsia="Times New Roman"/>
          <w:color w:val="000000"/>
          <w:sz w:val="21"/>
        </w:rPr>
        <w:t>Doctor of Business Administration — Cohort 8.14</w:t>
      </w:r>
    </w:p>
    <w:p>
      <w:pPr>
        <w:spacing w:after="20" w:line="240" w:lineRule="auto"/>
      </w:pPr>
      <w:r>
        <w:rPr>
          <w:rFonts w:ascii="Times New Roman" w:hAnsi="Times New Roman" w:cs="Times New Roman" w:eastAsia="Times New Roman"/>
          <w:color w:val="000000"/>
          <w:sz w:val="21"/>
        </w:rPr>
        <w:t>GEB 7365 — International Business · Instructor: Professor William Newburry</w:t>
      </w:r>
    </w:p>
    <w:p>
      <w:pPr>
        <w:spacing w:after="20" w:line="240" w:lineRule="auto"/>
      </w:pPr>
      <w:r>
        <w:rPr>
          <w:rFonts w:ascii="Times New Roman" w:hAnsi="Times New Roman" w:cs="Times New Roman" w:eastAsia="Times New Roman"/>
          <w:color w:val="000000"/>
          <w:sz w:val="21"/>
        </w:rPr>
        <w:t>August 28, 2026</w:t>
      </w:r>
    </w:p>
    <w:p>
      <w:pPr>
        <w:spacing w:after="80"/>
      </w:pPr>
    </w:p>
    <w:p>
      <w:pPr>
        <w:pStyle w:val="Heading2"/>
      </w:pPr>
      <w:r>
        <w:rPr>
          <w:rFonts w:ascii="Times New Roman" w:hAnsi="Times New Roman" w:cs="Times New Roman" w:eastAsia="Times New Roman"/>
          <w:b/>
          <w:color w:val="000000"/>
          <w:sz w:val="24"/>
        </w:rPr>
        <w:t>1.  Project Format</w:t>
      </w:r>
    </w:p>
    <w:p>
      <w:pPr>
        <w:spacing w:line="276" w:lineRule="auto" w:after="160"/>
        <w:jc w:val="both"/>
      </w:pPr>
      <w:r>
        <w:rPr>
          <w:rFonts w:ascii="Times New Roman" w:hAnsi="Times New Roman" w:cs="Times New Roman" w:eastAsia="Times New Roman"/>
          <w:color w:val="000000"/>
          <w:sz w:val="22"/>
        </w:rPr>
        <w:t xml:space="preserve">I am completing the research project </w:t>
      </w:r>
      <w:r>
        <w:rPr>
          <w:rFonts w:ascii="Times New Roman" w:hAnsi="Times New Roman" w:cs="Times New Roman" w:eastAsia="Times New Roman"/>
          <w:b/>
          <w:i w:val="0"/>
          <w:color w:val="000000"/>
          <w:sz w:val="22"/>
        </w:rPr>
        <w:t>individually</w:t>
      </w:r>
      <w:r>
        <w:rPr>
          <w:rFonts w:ascii="Times New Roman" w:hAnsi="Times New Roman" w:cs="Times New Roman" w:eastAsia="Times New Roman"/>
          <w:color w:val="000000"/>
          <w:sz w:val="22"/>
        </w:rPr>
        <w:t xml:space="preserve"> rather than in a group. This was confirmed verbally in the August 27 session and is stated here in writing, per your instruction to submit group selections or the choice to work individually for approval prior to undertaking extensive work.</w:t>
      </w:r>
    </w:p>
    <w:p>
      <w:pPr>
        <w:pStyle w:val="Heading2"/>
      </w:pPr>
      <w:r>
        <w:rPr>
          <w:rFonts w:ascii="Times New Roman" w:hAnsi="Times New Roman" w:cs="Times New Roman" w:eastAsia="Times New Roman"/>
          <w:b/>
          <w:color w:val="000000"/>
          <w:sz w:val="24"/>
        </w:rPr>
        <w:t>2.  Topic Area</w:t>
      </w:r>
    </w:p>
    <w:p>
      <w:pPr>
        <w:spacing w:line="276" w:lineRule="auto" w:after="160"/>
        <w:jc w:val="both"/>
      </w:pPr>
      <w:r>
        <w:rPr>
          <w:rFonts w:ascii="Times New Roman" w:hAnsi="Times New Roman" w:cs="Times New Roman" w:eastAsia="Times New Roman"/>
          <w:color w:val="000000"/>
          <w:sz w:val="22"/>
        </w:rPr>
        <w:t>The methodological constraint that narrow specialist professional populations impose on cross-national international business research — specifically, the conditions under which a comparative, multi-country design targeting such a population is feasible at all.</w:t>
      </w:r>
    </w:p>
    <w:p>
      <w:pPr>
        <w:pStyle w:val="Heading2"/>
      </w:pPr>
      <w:r>
        <w:rPr>
          <w:rFonts w:ascii="Times New Roman" w:hAnsi="Times New Roman" w:cs="Times New Roman" w:eastAsia="Times New Roman"/>
          <w:b/>
          <w:color w:val="000000"/>
          <w:sz w:val="24"/>
        </w:rPr>
        <w:t>3.  Interest in the Topic</w:t>
      </w:r>
    </w:p>
    <w:p>
      <w:pPr>
        <w:spacing w:line="276" w:lineRule="auto" w:after="160"/>
        <w:jc w:val="both"/>
      </w:pPr>
      <w:r>
        <w:rPr>
          <w:rFonts w:ascii="Times New Roman" w:hAnsi="Times New Roman" w:cs="Times New Roman" w:eastAsia="Times New Roman"/>
          <w:color w:val="000000"/>
          <w:sz w:val="22"/>
        </w:rPr>
        <w:t>The background is first-hand. My dissertation study required a sample of experienced auditors. Applying the study's eligibility criteria to a commercial research panel of 334,976 members returned approximately twenty eligible participants, a prevalence of roughly six per hundred thousand. Of twenty-three raw responses collected, four survived screening.</w:t>
      </w:r>
    </w:p>
    <w:p>
      <w:pPr>
        <w:spacing w:line="276" w:lineRule="auto" w:after="160"/>
        <w:jc w:val="both"/>
      </w:pPr>
      <w:r>
        <w:rPr>
          <w:rFonts w:ascii="Times New Roman" w:hAnsi="Times New Roman" w:cs="Times New Roman" w:eastAsia="Times New Roman"/>
          <w:color w:val="000000"/>
          <w:sz w:val="22"/>
        </w:rPr>
        <w:t>I did not set out to work on a methodological question. The constraint arrived as a result, and it was expensive to learn. What makes it an international business question rather than a personal setback is that the arithmetic does not remain stable when a design crosses a national border.</w:t>
      </w:r>
    </w:p>
    <w:p>
      <w:pPr>
        <w:pStyle w:val="Heading2"/>
      </w:pPr>
      <w:r>
        <w:rPr>
          <w:rFonts w:ascii="Times New Roman" w:hAnsi="Times New Roman" w:cs="Times New Roman" w:eastAsia="Times New Roman"/>
          <w:b/>
          <w:color w:val="000000"/>
          <w:sz w:val="24"/>
        </w:rPr>
        <w:t>4.  Intended Theoretical Contribution</w:t>
      </w:r>
    </w:p>
    <w:p>
      <w:pPr>
        <w:spacing w:line="276" w:lineRule="auto" w:after="160"/>
        <w:jc w:val="both"/>
      </w:pPr>
      <w:r>
        <w:rPr>
          <w:rFonts w:ascii="Times New Roman" w:hAnsi="Times New Roman" w:cs="Times New Roman" w:eastAsia="Times New Roman"/>
          <w:color w:val="000000"/>
          <w:sz w:val="22"/>
        </w:rPr>
        <w:t xml:space="preserve">Comparative international business designs depend on reaching the </w:t>
      </w:r>
      <w:r>
        <w:rPr>
          <w:rFonts w:ascii="Times New Roman" w:hAnsi="Times New Roman" w:cs="Times New Roman" w:eastAsia="Times New Roman"/>
          <w:b w:val="0"/>
          <w:i/>
          <w:color w:val="000000"/>
          <w:sz w:val="22"/>
        </w:rPr>
        <w:t>same</w:t>
      </w:r>
      <w:r>
        <w:rPr>
          <w:rFonts w:ascii="Times New Roman" w:hAnsi="Times New Roman" w:cs="Times New Roman" w:eastAsia="Times New Roman"/>
          <w:color w:val="000000"/>
          <w:sz w:val="22"/>
        </w:rPr>
        <w:t xml:space="preserve"> narrow professional population in several national frames simultaneously. That constraint does not add across countries; it compounds. A design that is marginal within a single national frame can be structurally impossible across four, and the point at which it becomes impossible is a function of population prevalence, panel coverage, and the strictness of eligibility criteria rather than of researcher effort or budget.</w:t>
      </w:r>
    </w:p>
    <w:p>
      <w:pPr>
        <w:spacing w:line="276" w:lineRule="auto" w:after="160"/>
        <w:jc w:val="both"/>
      </w:pPr>
      <w:r>
        <w:rPr>
          <w:rFonts w:ascii="Times New Roman" w:hAnsi="Times New Roman" w:cs="Times New Roman" w:eastAsia="Times New Roman"/>
          <w:color w:val="000000"/>
          <w:sz w:val="22"/>
        </w:rPr>
        <w:t>The contribution I intend is a specification of those conditions: a statement of when a cross-national design targeting a specialist population is viable, when it is viable only with a different instrument, and when the defensible conclusion is that it cannot be executed as designed. I have not located international business literature treating this explicitly. Sampling difficulty typically appears in method sections as a limitation; I propose to treat it as a parameter.</w:t>
      </w:r>
    </w:p>
    <w:p>
      <w:pPr>
        <w:spacing w:line="276" w:lineRule="auto" w:after="160"/>
        <w:jc w:val="both"/>
      </w:pPr>
      <w:r>
        <w:rPr>
          <w:rFonts w:ascii="Times New Roman" w:hAnsi="Times New Roman" w:cs="Times New Roman" w:eastAsia="Times New Roman"/>
          <w:color w:val="000000"/>
          <w:sz w:val="22"/>
        </w:rPr>
        <w:t>A secondary implication is, I think, the more useful one. Where the arithmetic rules out a survey, it does not rule out the study. The same twenty reachable participants who cannot sustain a comparative survey can sustain a qualitative design. The threshold at which one method fails and another becomes appropriate is locatable in advance, before resources are committed.</w:t>
      </w:r>
    </w:p>
    <w:p>
      <w:pPr>
        <w:pStyle w:val="Heading2"/>
      </w:pPr>
      <w:r>
        <w:rPr>
          <w:rFonts w:ascii="Times New Roman" w:hAnsi="Times New Roman" w:cs="Times New Roman" w:eastAsia="Times New Roman"/>
          <w:b/>
          <w:color w:val="000000"/>
          <w:sz w:val="24"/>
        </w:rPr>
        <w:t>5.  Potential for Data Collection</w:t>
      </w:r>
    </w:p>
    <w:p>
      <w:pPr>
        <w:spacing w:line="276" w:lineRule="auto" w:after="160"/>
        <w:jc w:val="both"/>
      </w:pPr>
      <w:r>
        <w:rPr>
          <w:rFonts w:ascii="Times New Roman" w:hAnsi="Times New Roman" w:cs="Times New Roman" w:eastAsia="Times New Roman"/>
          <w:color w:val="000000"/>
          <w:sz w:val="22"/>
        </w:rPr>
        <w:t xml:space="preserve">Your third criterion requires that data </w:t>
      </w:r>
      <w:r>
        <w:rPr>
          <w:rFonts w:ascii="Times New Roman" w:hAnsi="Times New Roman" w:cs="Times New Roman" w:eastAsia="Times New Roman"/>
          <w:b w:val="0"/>
          <w:i/>
          <w:color w:val="000000"/>
          <w:sz w:val="22"/>
        </w:rPr>
        <w:t>could potentially</w:t>
      </w:r>
      <w:r>
        <w:rPr>
          <w:rFonts w:ascii="Times New Roman" w:hAnsi="Times New Roman" w:cs="Times New Roman" w:eastAsia="Times New Roman"/>
          <w:color w:val="000000"/>
          <w:sz w:val="22"/>
        </w:rPr>
        <w:t xml:space="preserve"> be collected, not that collection has occurred. This topic satisfies it directly. Prevalence estimates for a target population are observable on a research panel's own audience-configuration interface before a study is fielded: entering screening criteria returns an estimated reachable count without commitment. The same facility exists on the major professional panels operating in other national markets.</w:t>
      </w:r>
    </w:p>
    <w:p>
      <w:pPr>
        <w:spacing w:line="276" w:lineRule="auto" w:after="160"/>
        <w:jc w:val="both"/>
      </w:pPr>
      <w:r>
        <w:rPr>
          <w:rFonts w:ascii="Times New Roman" w:hAnsi="Times New Roman" w:cs="Times New Roman" w:eastAsia="Times New Roman"/>
          <w:color w:val="000000"/>
          <w:sz w:val="22"/>
        </w:rPr>
        <w:t>The empirical work is therefore a matter of access rather than instrumentation. The measurements exist and are quotable; the task is to gather them systematically across several countries and a set of specialist occupations, and to compare the resulting feasibility surfaces. My own study supplies one fully documented case, including cost per usable response, available as a validating example.</w:t>
      </w:r>
    </w:p>
    <w:p>
      <w:pPr>
        <w:pStyle w:val="Heading2"/>
      </w:pPr>
      <w:r>
        <w:rPr>
          <w:rFonts w:ascii="Times New Roman" w:hAnsi="Times New Roman" w:cs="Times New Roman" w:eastAsia="Times New Roman"/>
          <w:b/>
          <w:color w:val="000000"/>
          <w:sz w:val="24"/>
        </w:rPr>
        <w:t>6.  Relation to the Course</w:t>
      </w:r>
    </w:p>
    <w:p>
      <w:pPr>
        <w:spacing w:line="276" w:lineRule="auto" w:after="160"/>
        <w:jc w:val="both"/>
      </w:pPr>
      <w:r>
        <w:rPr>
          <w:rFonts w:ascii="Times New Roman" w:hAnsi="Times New Roman" w:cs="Times New Roman" w:eastAsia="Times New Roman"/>
          <w:color w:val="000000"/>
          <w:sz w:val="22"/>
        </w:rPr>
        <w:t>The topic sits on the same fault line as the Module 2 readings. Contractor, Kundu and Hsu (2003) reconcile a contradictory literature by demonstrating that the field had been sampling different segments of a single curve. Mezias (2002) makes progress on liability of foreignness only by abandoning aggregate performance measurement in favour of a measure that isolates one disadvantage. In both cases the obstacle was not the theory but what the field was able to measure, and on whom. This project takes that problem — who can actually be reached, and what follows for the design — as its subject rather than as a limitation paragraph.</w:t>
      </w:r>
    </w:p>
    <w:p>
      <w:pPr>
        <w:pStyle w:val="Heading2"/>
      </w:pPr>
      <w:r>
        <w:rPr>
          <w:rFonts w:ascii="Times New Roman" w:hAnsi="Times New Roman" w:cs="Times New Roman" w:eastAsia="Times New Roman"/>
          <w:b/>
          <w:color w:val="000000"/>
          <w:sz w:val="24"/>
        </w:rPr>
        <w:t>7.  Questions for the Scheduled Discussion</w:t>
      </w:r>
    </w:p>
    <w:p>
      <w:pPr>
        <w:spacing w:line="276" w:lineRule="auto" w:after="160"/>
        <w:jc w:val="both"/>
      </w:pPr>
      <w:r>
        <w:rPr>
          <w:rFonts w:ascii="Times New Roman" w:hAnsi="Times New Roman" w:cs="Times New Roman" w:eastAsia="Times New Roman"/>
          <w:color w:val="000000"/>
          <w:sz w:val="22"/>
        </w:rPr>
        <w:t>I have requested a short call on Tuesday, September 1. Two questions for it:</w:t>
      </w:r>
    </w:p>
    <w:p>
      <w:pPr>
        <w:pStyle w:val="ListBullet"/>
        <w:spacing w:line="276" w:lineRule="auto"/>
      </w:pPr>
      <w:r>
        <w:rPr>
          <w:rFonts w:ascii="Times New Roman" w:hAnsi="Times New Roman" w:cs="Times New Roman" w:eastAsia="Times New Roman"/>
          <w:color w:val="000000"/>
          <w:sz w:val="22"/>
        </w:rPr>
        <w:t>Whether this is sufficiently close to the substantive concerns of the seminar, or whether it reads as a methods paper in an international business frame. I would rather hear that now than in October.</w:t>
      </w:r>
    </w:p>
    <w:p>
      <w:pPr>
        <w:pStyle w:val="ListBullet"/>
        <w:spacing w:line="276" w:lineRule="auto"/>
      </w:pPr>
      <w:r>
        <w:rPr>
          <w:rFonts w:ascii="Times New Roman" w:hAnsi="Times New Roman" w:cs="Times New Roman" w:eastAsia="Times New Roman"/>
          <w:color w:val="000000"/>
          <w:sz w:val="22"/>
        </w:rPr>
        <w:t>If the topic holds, where you would direct me in the international business methodology literature. My searching to date has found the problem noted in passing but not treated systematically.</w:t>
      </w:r>
    </w:p>
    <w:p>
      <w:pPr>
        <w:spacing w:line="276" w:lineRule="auto" w:after="160"/>
        <w:jc w:val="both"/>
      </w:pPr>
      <w:r>
        <w:rPr>
          <w:rFonts w:ascii="Times New Roman" w:hAnsi="Times New Roman" w:cs="Times New Roman" w:eastAsia="Times New Roman"/>
          <w:color w:val="000000"/>
          <w:sz w:val="22"/>
        </w:rPr>
        <w:t>I have a second topic in reserve, closer to the course's substantive areas, which I would prefer to discuss live rather than pre-commit to here.</w:t>
      </w:r>
    </w:p>
    <w:p>
      <w:pPr>
        <w:pStyle w:val="Heading2"/>
      </w:pPr>
      <w:r>
        <w:rPr>
          <w:rFonts w:ascii="Times New Roman" w:hAnsi="Times New Roman" w:cs="Times New Roman" w:eastAsia="Times New Roman"/>
          <w:b/>
          <w:color w:val="000000"/>
          <w:sz w:val="24"/>
        </w:rPr>
        <w:t>References</w:t>
      </w:r>
    </w:p>
    <w:p>
      <w:pPr>
        <w:spacing w:line="276" w:lineRule="auto" w:after="160"/>
        <w:jc w:val="both"/>
      </w:pPr>
      <w:r>
        <w:rPr>
          <w:rFonts w:ascii="Times New Roman" w:hAnsi="Times New Roman" w:cs="Times New Roman" w:eastAsia="Times New Roman"/>
          <w:color w:val="000000"/>
          <w:sz w:val="22"/>
        </w:rPr>
        <w:t xml:space="preserve">Contractor, F. J., Kundu, S. K., &amp; Hsu, C.-C. (2003). A three-stage theory of international expansion: The link between multinationality and performance in the service sector. </w:t>
      </w:r>
      <w:r>
        <w:rPr>
          <w:rFonts w:ascii="Times New Roman" w:hAnsi="Times New Roman" w:cs="Times New Roman" w:eastAsia="Times New Roman"/>
          <w:b w:val="0"/>
          <w:i/>
          <w:color w:val="000000"/>
          <w:sz w:val="22"/>
        </w:rPr>
        <w:t>Journal of International Business Studies, 34</w:t>
      </w:r>
      <w:r>
        <w:rPr>
          <w:rFonts w:ascii="Times New Roman" w:hAnsi="Times New Roman" w:cs="Times New Roman" w:eastAsia="Times New Roman"/>
          <w:b w:val="0"/>
          <w:i w:val="0"/>
          <w:color w:val="000000"/>
          <w:sz w:val="22"/>
        </w:rPr>
        <w:t>(1), 5–18.</w:t>
      </w:r>
    </w:p>
    <w:p>
      <w:pPr>
        <w:spacing w:line="276" w:lineRule="auto" w:after="160"/>
        <w:jc w:val="both"/>
      </w:pPr>
      <w:r>
        <w:rPr>
          <w:rFonts w:ascii="Times New Roman" w:hAnsi="Times New Roman" w:cs="Times New Roman" w:eastAsia="Times New Roman"/>
          <w:color w:val="000000"/>
          <w:sz w:val="22"/>
        </w:rPr>
        <w:t xml:space="preserve">Mezias, J. M. (2002). Identifying liabilities of foreignness and strategies to minimize their effects: The case of labor lawsuit judgments in the United States. </w:t>
      </w:r>
      <w:r>
        <w:rPr>
          <w:rFonts w:ascii="Times New Roman" w:hAnsi="Times New Roman" w:cs="Times New Roman" w:eastAsia="Times New Roman"/>
          <w:b w:val="0"/>
          <w:i/>
          <w:color w:val="000000"/>
          <w:sz w:val="22"/>
        </w:rPr>
        <w:t>Strategic Management Journal, 23</w:t>
      </w:r>
      <w:r>
        <w:rPr>
          <w:rFonts w:ascii="Times New Roman" w:hAnsi="Times New Roman" w:cs="Times New Roman" w:eastAsia="Times New Roman"/>
          <w:b w:val="0"/>
          <w:i w:val="0"/>
          <w:color w:val="000000"/>
          <w:sz w:val="22"/>
        </w:rPr>
        <w:t>(3), 229–244.</w:t>
      </w:r>
    </w:p>
    <w:p>
      <w:pPr>
        <w:pStyle w:val="Heading2"/>
      </w:pPr>
      <w:r>
        <w:rPr>
          <w:rFonts w:ascii="Times New Roman" w:hAnsi="Times New Roman" w:cs="Times New Roman" w:eastAsia="Times New Roman"/>
          <w:b/>
          <w:color w:val="000000"/>
          <w:sz w:val="24"/>
        </w:rPr>
        <w:t>Disclosure of Artificial Intelligence Use</w:t>
      </w:r>
    </w:p>
    <w:p>
      <w:pPr>
        <w:spacing w:line="276" w:lineRule="auto" w:after="160"/>
        <w:jc w:val="both"/>
      </w:pPr>
      <w:r>
        <w:rPr>
          <w:rFonts w:ascii="Times New Roman" w:hAnsi="Times New Roman" w:cs="Times New Roman" w:eastAsia="Times New Roman"/>
          <w:color w:val="000000"/>
          <w:sz w:val="22"/>
        </w:rPr>
        <w:t>Generative artificial intelligence (Claude, Anthropic) was used to organise and edit this document. The topic, the argument, and the figures reported are my own; the figures derive from my own study records. No confidential, identifiable, or restricted data was provided to any artificial intelligence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