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cs="Georgia"/>
          <w:b/>
          <w:i w:val="0"/>
          <w:color w:val="1F4E79"/>
          <w:sz w:val="30"/>
        </w:rPr>
        <w:t xml:space="preserve">Audit </w:t>
      </w:r>
      <w:r>
        <w:rPr>
          <w:rFonts w:ascii="Georgia" w:hAnsi="Georgia" w:cs="Georgia"/>
          <w:b w:val="0"/>
          <w:i/>
          <w:color w:val="767D86"/>
          <w:sz w:val="24"/>
        </w:rPr>
        <w:t xml:space="preserve">the </w:t>
      </w:r>
      <w:r>
        <w:rPr>
          <w:rFonts w:ascii="Georgia" w:hAnsi="Georgia" w:cs="Georgia"/>
          <w:b/>
          <w:i w:val="0"/>
          <w:color w:val="1F4E79"/>
          <w:sz w:val="30"/>
        </w:rPr>
        <w:t>Algorithm</w:t>
      </w:r>
    </w:p>
    <w:p>
      <w:pPr>
        <w:spacing w:after="180"/>
        <w:pBdr>
          <w:bottom w:val="single" w:sz="12" w:space="4" w:color="1F4E79"/>
        </w:pBdr>
      </w:pPr>
      <w:r>
        <w:rPr>
          <w:rFonts w:ascii="Consolas" w:hAnsi="Consolas" w:cs="Consolas"/>
          <w:b w:val="0"/>
          <w:i w:val="0"/>
          <w:color w:val="767D86"/>
          <w:sz w:val="15"/>
          <w:spacing w:val="18"/>
        </w:rPr>
        <w:t>github.com/AuditingAI/Profile   ·   auditingai.github.io</w:t>
      </w:r>
    </w:p>
    <w:p>
      <w:pPr>
        <w:spacing w:before="200" w:after="40"/>
      </w:pPr>
      <w:r>
        <w:rPr>
          <w:rFonts w:ascii="Georgia" w:hAnsi="Georgia" w:cs="Georgia"/>
          <w:b/>
          <w:i w:val="0"/>
          <w:color w:val="14171C"/>
          <w:sz w:val="30"/>
        </w:rPr>
        <w:t>Learning Memo 2 — Philosophical Assumptions and Interpretive Framework</w:t>
      </w:r>
    </w:p>
    <w:p>
      <w:pPr>
        <w:spacing w:after="320"/>
      </w:pPr>
      <w:r>
        <w:rPr>
          <w:rFonts w:ascii="Consolas" w:hAnsi="Consolas" w:cs="Consolas"/>
          <w:b w:val="0"/>
          <w:i w:val="0"/>
          <w:caps/>
          <w:color w:val="767D86"/>
          <w:sz w:val="16"/>
          <w:spacing w:val="22"/>
        </w:rPr>
        <w:t>Yasir A. Malik  ·  GEB 7911  ·  Dr. Cristina Gonzalez  ·  24 August 2026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 w:val="0"/>
          <w:i w:val="0"/>
          <w:color w:val="14171C"/>
          <w:sz w:val="23"/>
        </w:rPr>
        <w:t>Gioia and Chittipeddi never state their philosophical assumptions. Working them out from the article is what taught me something, because I had to reason backwards from design choices to the commitments those choices imply — which is the exercise I never performed on my own study.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/>
          <w:i w:val="0"/>
          <w:color w:val="14171C"/>
          <w:sz w:val="23"/>
        </w:rPr>
        <w:t>Ontological.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They treat reality as multiple and participant-constructed. The strategic change they follow is not an event with one correct description; it exists as the president's vision, the deans' readings of that vision, and the faculty's readings of the deans — several realities in play at once. A single-reality assumption would have made the divergence between those accounts measurement error to be minimised. Here the divergence </w:t>
      </w:r>
      <w:r>
        <w:rPr>
          <w:rFonts w:ascii="Georgia" w:hAnsi="Georgia" w:cs="Georgia"/>
          <w:b w:val="0"/>
          <w:i/>
          <w:color w:val="14171C"/>
          <w:sz w:val="23"/>
        </w:rPr>
        <w:t>is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the finding.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/>
          <w:i w:val="0"/>
          <w:color w:val="14171C"/>
          <w:sz w:val="23"/>
        </w:rPr>
        <w:t>Epistemological.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Knowledge is produced by proximity, and they engineer proximity deliberately. One author was embedded on site as a participant-observer over an extended period; the other was kept away from direct contact. That arrangement is an epistemological claim: closeness is what generates understanding, and it is also what threatens it, so the research team is built to hold both positions at once. I find this the most instructive design decision in the paper.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/>
          <w:i w:val="0"/>
          <w:color w:val="14171C"/>
          <w:sz w:val="23"/>
        </w:rPr>
        <w:t>Axiological.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Values are acknowledged rather than controlled away. The insider/outsider split functions as a reflexivity mechanism — instead of asserting neutrality, they install a colleague whose job is to interrogate the insider's interpretations. Bias is treated as a condition to be managed in the open.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/>
          <w:i w:val="0"/>
          <w:color w:val="14171C"/>
          <w:sz w:val="23"/>
        </w:rPr>
        <w:t>Methodological.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Inductive and emergent. They work from first-order informant terms up to second-order theoretical constructs, and the design moves across two phases as understanding develops rather than being fixed in advance. The sensemaking–sensegiving cycle is an output of that process, not a proposition tested by it.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/>
          <w:i w:val="0"/>
          <w:color w:val="14171C"/>
          <w:sz w:val="23"/>
        </w:rPr>
        <w:t>Interpretive framework: social constructivism, with a post-positivist discipline running underneath it.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The ontology is constructivist — meaning is made by participants and the researchers build theory upward from it. But the procedures are not loose. The staged design, the systematic first- and second-order coding, and the structured second phase all look like moves borrowed from a post-positivist concern with defensible inference. Table 2.2 sorts these frameworks cleanly; this article sits less cleanly than the table implies.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 w:val="0"/>
          <w:i w:val="0"/>
          <w:color w:val="14171C"/>
          <w:sz w:val="23"/>
        </w:rPr>
        <w:t>That mixture is the thing I want to take with me. I had assumed a framework was a single label selected before fieldwork. What the article shows is a constructivist ontology paired with procedural rigour ordinarily associated with the other camp — and the rigour is what makes the constructivism credible rather than merely asserted.</w:t>
      </w:r>
    </w:p>
    <w:p>
      <w:pPr>
        <w:spacing w:after="180" w:line="276" w:lineRule="auto"/>
        <w:jc w:val="both"/>
      </w:pPr>
      <w:r>
        <w:rPr>
          <w:rFonts w:ascii="Georgia" w:hAnsi="Georgia" w:cs="Georgia"/>
          <w:b w:val="0"/>
          <w:i w:val="0"/>
          <w:color w:val="14171C"/>
          <w:sz w:val="23"/>
        </w:rPr>
        <w:t xml:space="preserve">This matters directly to my own proposal. My qualifying study committed, without my noticing, to an ontology in which anchoring is a stable property auditors carry and a quantity I could ask </w:t>
      </w:r>
      <w:r>
        <w:rPr>
          <w:rFonts w:ascii="Georgia" w:hAnsi="Georgia" w:cs="Georgia"/>
          <w:b w:val="0"/>
          <w:i/>
          <w:color w:val="14171C"/>
          <w:sz w:val="23"/>
        </w:rPr>
        <w:t>how much</w:t>
      </w:r>
      <w:r>
        <w:rPr>
          <w:rFonts w:ascii="Georgia" w:hAnsi="Georgia" w:cs="Georgia"/>
          <w:b w:val="0"/>
          <w:i w:val="0"/>
          <w:color w:val="14171C"/>
          <w:sz w:val="23"/>
        </w:rPr>
        <w:t xml:space="preserve"> about. I never argued for it; it arrived with the fifty-five-item instrument. If I now want to ask what an auditor understands themselves to be doing when an AI system produces a conclusion before they have formed one, that is a constructivist question, and I will have to state the assumption on the first page rather than let the method smuggle it in again.</w:t>
      </w:r>
    </w:p>
    <w:p>
      <w:pPr>
        <w:spacing w:before="280" w:after="60"/>
        <w:pBdr>
          <w:bottom w:val="single" w:sz="6" w:space="4" w:color="D8D4CB"/>
        </w:pBdr>
      </w:pPr>
      <w:r>
        <w:rPr>
          <w:rFonts w:ascii="Consolas" w:hAnsi="Consolas" w:cs="Consolas"/>
          <w:b/>
          <w:i w:val="0"/>
          <w:caps/>
          <w:color w:val="767D86"/>
          <w:sz w:val="16"/>
          <w:spacing w:val="22"/>
        </w:rPr>
        <w:t>Article analysed</w:t>
      </w:r>
    </w:p>
    <w:p>
      <w:pPr>
        <w:spacing w:after="100" w:line="264" w:lineRule="auto"/>
      </w:pPr>
      <w:r>
        <w:rPr>
          <w:rFonts w:ascii="Georgia" w:hAnsi="Georgia" w:cs="Georgia"/>
          <w:b w:val="0"/>
          <w:i w:val="0"/>
          <w:color w:val="767D86"/>
          <w:sz w:val="18"/>
        </w:rPr>
        <w:t xml:space="preserve">Gioia, D. A., &amp; Chittipeddi, K. (1991). Sensemaking and sensegiving in strategic change initiation. </w:t>
      </w:r>
      <w:r>
        <w:rPr>
          <w:rFonts w:ascii="Georgia" w:hAnsi="Georgia" w:cs="Georgia"/>
          <w:b w:val="0"/>
          <w:i/>
          <w:color w:val="767D86"/>
          <w:sz w:val="18"/>
        </w:rPr>
        <w:t>Strategic Management Journal, 12</w:t>
      </w:r>
      <w:r>
        <w:rPr>
          <w:rFonts w:ascii="Georgia" w:hAnsi="Georgia" w:cs="Georgia"/>
          <w:b w:val="0"/>
          <w:i w:val="0"/>
          <w:color w:val="767D86"/>
          <w:sz w:val="18"/>
        </w:rPr>
        <w:t>(6), 433–448.  (Assigned, Week 1.)</w:t>
      </w:r>
    </w:p>
    <w:p>
      <w:pPr>
        <w:spacing w:before="280" w:after="60"/>
        <w:pBdr>
          <w:bottom w:val="single" w:sz="6" w:space="4" w:color="D8D4CB"/>
        </w:pBdr>
      </w:pPr>
      <w:r>
        <w:rPr>
          <w:rFonts w:ascii="Consolas" w:hAnsi="Consolas" w:cs="Consolas"/>
          <w:b/>
          <w:i w:val="0"/>
          <w:caps/>
          <w:color w:val="767D86"/>
          <w:sz w:val="16"/>
          <w:spacing w:val="22"/>
        </w:rPr>
        <w:t>AI-use disclosure — required by the syllabus</w:t>
      </w:r>
    </w:p>
    <w:p>
      <w:pPr>
        <w:spacing w:after="100" w:line="264" w:lineRule="auto"/>
      </w:pPr>
      <w:r>
        <w:rPr>
          <w:rFonts w:ascii="Georgia" w:hAnsi="Georgia" w:cs="Georgia"/>
          <w:b/>
          <w:i w:val="0"/>
          <w:caps/>
          <w:color w:val="1F4E79"/>
          <w:sz w:val="18"/>
          <w:highlight w:val="yellow"/>
        </w:rPr>
        <w:t>REPLACE THIS LINE BEFORE SUBMITTING — STATE HONESTLY WHAT WAS AI-ASSISTED AND WHAT WAS YOURS. THE CAP IS 25%.</w:t>
      </w:r>
    </w:p>
    <w:p>
      <w:pPr>
        <w:spacing w:after="100" w:line="264" w:lineRule="auto"/>
      </w:pPr>
      <w:r>
        <w:rPr>
          <w:rFonts w:ascii="Georgia" w:hAnsi="Georgia" w:cs="Georgia"/>
          <w:b w:val="0"/>
          <w:i/>
          <w:color w:val="767D86"/>
          <w:sz w:val="18"/>
        </w:rPr>
        <w:t>Suggested wording if it fits the truth: “An AI assistant was used to organise my notes and check clarity. The argument, the examples and the conclusions are my own.”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76" w:lineRule="auto"/>
    </w:pPr>
    <w:rPr>
      <w:rFonts w:ascii="Georgia" w:hAnsi="Georgia"/>
      <w:color w:val="14171C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