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spacing w:line="240" w:lineRule="auto" w:after="80"/>
        <w:jc w:val="center"/>
      </w:pPr>
      <w:r>
        <w:rPr>
          <w:b/>
          <w:i w:val="0"/>
          <w:sz w:val="28"/>
        </w:rPr>
        <w:t>FLORIDA INTERNATIONAL UNIVERSITY</w:t>
      </w:r>
    </w:p>
    <w:p>
      <w:pPr>
        <w:spacing w:line="240" w:lineRule="auto" w:after="80"/>
        <w:jc w:val="center"/>
      </w:pPr>
      <w:r>
        <w:rPr>
          <w:b w:val="0"/>
          <w:i w:val="0"/>
          <w:sz w:val="22"/>
        </w:rPr>
        <w:t>College of Business  Doctor of Business Administration</w:t>
      </w:r>
    </w:p>
    <w:p/>
    <w:p>
      <w:pPr>
        <w:spacing w:line="240" w:lineRule="auto" w:after="80"/>
        <w:jc w:val="center"/>
      </w:pPr>
      <w:r>
        <w:rPr>
          <w:b w:val="0"/>
          <w:i/>
          <w:sz w:val="22"/>
        </w:rPr>
        <w:t>DBA RESEARCH PROJECT  ALL-IN-ONE PACKAGE</w:t>
      </w:r>
    </w:p>
    <w:p>
      <w:pPr>
        <w:spacing w:line="240" w:lineRule="auto" w:after="80"/>
        <w:jc w:val="center"/>
      </w:pPr>
      <w:r>
        <w:rPr>
          <w:b w:val="0"/>
          <w:i/>
          <w:sz w:val="20"/>
        </w:rPr>
        <w:t>(Complete research paper + supporting workflow materials + study toolkit)</w:t>
      </w:r>
    </w:p>
    <w:p/>
    <w:p>
      <w:pPr>
        <w:spacing w:line="240" w:lineRule="auto" w:after="40"/>
        <w:jc w:val="center"/>
      </w:pPr>
      <w:r>
        <w:rPr>
          <w:b/>
          <w:i w:val="0"/>
          <w:sz w:val="40"/>
        </w:rPr>
        <w:t>Mitigating Anchoring Bias in</w:t>
      </w:r>
    </w:p>
    <w:p>
      <w:pPr>
        <w:spacing w:line="240" w:lineRule="auto" w:after="40"/>
        <w:jc w:val="center"/>
      </w:pPr>
      <w:r>
        <w:rPr>
          <w:b/>
          <w:i w:val="0"/>
          <w:sz w:val="40"/>
        </w:rPr>
        <w:t>Long-Term Auditor Engagements:</w:t>
      </w:r>
    </w:p>
    <w:p>
      <w:pPr>
        <w:spacing w:line="240" w:lineRule="auto" w:after="160"/>
        <w:jc w:val="center"/>
      </w:pPr>
      <w:r>
        <w:rPr>
          <w:b/>
          <w:i w:val="0"/>
          <w:sz w:val="36"/>
        </w:rPr>
        <w:t>An EFA-Based Validation Study</w:t>
      </w:r>
    </w:p>
    <w:p/>
    <w:p>
      <w:pPr>
        <w:spacing w:line="240" w:lineRule="auto" w:after="80"/>
        <w:jc w:val="center"/>
      </w:pPr>
      <w:r>
        <w:rPr>
          <w:b/>
          <w:i w:val="0"/>
          <w:sz w:val="26"/>
        </w:rPr>
        <w:t>Yasir A. Malik</w:t>
      </w:r>
    </w:p>
    <w:p>
      <w:pPr>
        <w:spacing w:line="240" w:lineRule="auto" w:after="80"/>
        <w:jc w:val="center"/>
      </w:pPr>
      <w:r>
        <w:rPr>
          <w:b w:val="0"/>
          <w:i w:val="0"/>
          <w:sz w:val="22"/>
        </w:rPr>
        <w:t>PID 1687105  |  Cohort 7.16  |  Course GEB7913</w:t>
      </w:r>
    </w:p>
    <w:p>
      <w:pPr>
        <w:spacing w:line="240" w:lineRule="auto" w:after="80"/>
        <w:jc w:val="center"/>
      </w:pPr>
      <w:r>
        <w:rPr>
          <w:b w:val="0"/>
          <w:i w:val="0"/>
          <w:sz w:val="22"/>
        </w:rPr>
        <w:t>Instructor / Chair: Professor Juan Rey</w:t>
      </w:r>
    </w:p>
    <w:p/>
    <w:p>
      <w:pPr>
        <w:spacing w:line="240" w:lineRule="auto" w:after="80"/>
        <w:jc w:val="center"/>
      </w:pPr>
      <w:r>
        <w:rPr>
          <w:b w:val="0"/>
          <w:i/>
          <w:sz w:val="22"/>
        </w:rPr>
        <w:t>Compiled: May 30, 2026</w:t>
      </w:r>
    </w:p>
    <w:p>
      <w:pPr>
        <w:spacing w:line="240" w:lineRule="auto" w:after="80"/>
        <w:jc w:val="center"/>
      </w:pPr>
      <w:r>
        <w:rPr>
          <w:b w:val="0"/>
          <w:i/>
          <w:sz w:val="22"/>
        </w:rPr>
        <w:t>Package version: ALL-IN-ONE v1 (paper v4.1)</w:t>
      </w:r>
    </w:p>
    <w:p/>
    <w:p>
      <w:pPr>
        <w:spacing w:line="240" w:lineRule="auto" w:after="0"/>
      </w:pPr>
      <w:r>
        <w:rPr>
          <w:b/>
          <w:i/>
          <w:sz w:val="20"/>
        </w:rPr>
        <w:t xml:space="preserve">Note. </w:t>
      </w:r>
      <w:r>
        <w:rPr>
          <w:i/>
          <w:sz w:val="20"/>
        </w:rPr>
        <w:t>This single document consolidates every working file in the DBA project repo as of the compile date. It is the author's master reference, not the submission to the advisor. The advisor receives only Part I (the research paper itself). Parts II-III support development.</w:t>
      </w:r>
    </w:p>
    <w:p>
      <w:r>
        <w:br w:type="page"/>
      </w:r>
    </w:p>
    <w:p>
      <w:pPr>
        <w:pStyle w:val="Heading1"/>
      </w:pPr>
      <w:r>
        <w:t>Contents</w:t>
      </w:r>
    </w:p>
    <w:p>
      <w:pPr>
        <w:spacing w:line="240" w:lineRule="auto" w:after="40"/>
      </w:pPr>
      <w:r>
        <w:rPr>
          <w:b/>
          <w:sz w:val="24"/>
        </w:rPr>
        <w:t xml:space="preserve"> PART I  RESEARCH PAPER (v4.1, complete)</w:t>
      </w:r>
    </w:p>
    <w:p>
      <w:pPr>
        <w:spacing w:line="240" w:lineRule="auto" w:after="40"/>
      </w:pPr>
      <w:r>
        <w:rPr>
          <w:sz w:val="22"/>
        </w:rPr>
        <w:t xml:space="preserve">     Chapter 1  Introduction and Statement of the Problem</w:t>
      </w:r>
    </w:p>
    <w:p>
      <w:pPr>
        <w:spacing w:line="240" w:lineRule="auto" w:after="40"/>
      </w:pPr>
      <w:r>
        <w:rPr>
          <w:sz w:val="22"/>
        </w:rPr>
        <w:t xml:space="preserve">     Chapter 2  Review of the Literature  (expanded, v4.1)</w:t>
      </w:r>
    </w:p>
    <w:p>
      <w:pPr>
        <w:spacing w:line="240" w:lineRule="auto" w:after="40"/>
      </w:pPr>
      <w:r>
        <w:rPr>
          <w:sz w:val="22"/>
        </w:rPr>
        <w:t xml:space="preserve">     Chapter 3  Research Model and Hypotheses  (expanded, v4.1)</w:t>
      </w:r>
    </w:p>
    <w:p>
      <w:pPr>
        <w:spacing w:line="240" w:lineRule="auto" w:after="40"/>
      </w:pPr>
      <w:r>
        <w:rPr>
          <w:sz w:val="22"/>
        </w:rPr>
        <w:t xml:space="preserve">     Chapter 4  Methodology</w:t>
      </w:r>
    </w:p>
    <w:p>
      <w:pPr>
        <w:spacing w:line="240" w:lineRule="auto" w:after="40"/>
      </w:pPr>
      <w:r>
        <w:rPr>
          <w:sz w:val="22"/>
        </w:rPr>
        <w:t xml:space="preserve">     Chapter 5  Project Timeline (Summary)</w:t>
      </w:r>
    </w:p>
    <w:p>
      <w:pPr>
        <w:spacing w:line="240" w:lineRule="auto" w:after="40"/>
      </w:pPr>
      <w:r>
        <w:rPr>
          <w:sz w:val="22"/>
        </w:rPr>
        <w:t xml:space="preserve">     Chapter 6  Recommendations for Future Research</w:t>
      </w:r>
    </w:p>
    <w:p>
      <w:pPr>
        <w:spacing w:line="240" w:lineRule="auto" w:after="40"/>
      </w:pPr>
      <w:r>
        <w:rPr>
          <w:sz w:val="22"/>
        </w:rPr>
        <w:t xml:space="preserve">     Appendix A  Measurement Instrument (draft for review)</w:t>
      </w:r>
    </w:p>
    <w:p>
      <w:pPr>
        <w:spacing w:line="240" w:lineRule="auto" w:after="40"/>
      </w:pPr>
      <w:r>
        <w:rPr>
          <w:sz w:val="22"/>
        </w:rPr>
        <w:t xml:space="preserve">     Verified Reference Pool</w:t>
      </w:r>
    </w:p>
    <w:p>
      <w:pPr>
        <w:spacing w:line="240" w:lineRule="auto" w:after="40"/>
      </w:pPr>
      <w:r>
        <w:rPr>
          <w:b/>
          <w:sz w:val="24"/>
        </w:rPr>
        <w:t xml:space="preserve"> PART II  ADVISOR CORRESPONDENCE &amp; DATA-COLLECTION READINESS</w:t>
      </w:r>
    </w:p>
    <w:p>
      <w:pPr>
        <w:spacing w:line="240" w:lineRule="auto" w:after="40"/>
      </w:pPr>
      <w:r>
        <w:rPr>
          <w:sz w:val="22"/>
        </w:rPr>
        <w:t xml:space="preserve">     2026-06-01  Dr. Rey feedback + response draft</w:t>
      </w:r>
    </w:p>
    <w:p>
      <w:pPr>
        <w:spacing w:line="240" w:lineRule="auto" w:after="40"/>
      </w:pPr>
      <w:r>
        <w:rPr>
          <w:sz w:val="22"/>
        </w:rPr>
        <w:t xml:space="preserve">     Data Collection Readiness checklist</w:t>
      </w:r>
    </w:p>
    <w:p>
      <w:pPr>
        <w:spacing w:line="240" w:lineRule="auto" w:after="40"/>
      </w:pPr>
      <w:r>
        <w:rPr>
          <w:b/>
          <w:sz w:val="24"/>
        </w:rPr>
        <w:t xml:space="preserve"> PART III  SUPPORTING WORKFLOW MATERIALS</w:t>
      </w:r>
    </w:p>
    <w:p>
      <w:pPr>
        <w:spacing w:line="240" w:lineRule="auto" w:after="40"/>
      </w:pPr>
      <w:r>
        <w:rPr>
          <w:sz w:val="22"/>
        </w:rPr>
        <w:t xml:space="preserve">     Weekly Update  Week 1 (revised)</w:t>
      </w:r>
    </w:p>
    <w:p>
      <w:pPr>
        <w:spacing w:line="240" w:lineRule="auto" w:after="40"/>
      </w:pPr>
      <w:r>
        <w:rPr>
          <w:sz w:val="22"/>
        </w:rPr>
        <w:t xml:space="preserve">     LinkedIn Outreach Pack (IRB-approved recruitment copy)</w:t>
      </w:r>
    </w:p>
    <w:p>
      <w:pPr>
        <w:spacing w:line="240" w:lineRule="auto" w:after="40"/>
      </w:pPr>
      <w:r>
        <w:rPr>
          <w:sz w:val="22"/>
        </w:rPr>
        <w:t xml:space="preserve">     Read Me First (folder guide)</w:t>
      </w:r>
    </w:p>
    <w:p>
      <w:pPr>
        <w:spacing w:line="240" w:lineRule="auto" w:after="40"/>
      </w:pPr>
      <w:r>
        <w:rPr>
          <w:b/>
          <w:sz w:val="24"/>
        </w:rPr>
        <w:t xml:space="preserve"> PART IV  WORKING TOOLKIT</w:t>
      </w:r>
    </w:p>
    <w:p>
      <w:pPr>
        <w:spacing w:line="240" w:lineRule="auto" w:after="40"/>
      </w:pPr>
      <w:r>
        <w:rPr>
          <w:sz w:val="22"/>
        </w:rPr>
        <w:t xml:space="preserve">     NotebookLM Playbook (ADD-friendly extraction workflow)</w:t>
      </w:r>
    </w:p>
    <w:p>
      <w:pPr>
        <w:spacing w:line="240" w:lineRule="auto" w:after="40"/>
      </w:pPr>
      <w:r>
        <w:rPr>
          <w:sz w:val="22"/>
        </w:rPr>
        <w:t xml:space="preserve">     Repository and Branch Links</w:t>
      </w:r>
    </w:p>
    <w:p>
      <w:r>
        <w:br w:type="page"/>
      </w:r>
    </w:p>
    <w:p>
      <w:pPr>
        <w:pStyle w:val="Heading1"/>
      </w:pPr>
      <w:r>
        <w:t>PART I  RESEARCH PAPER (v4.1, complete)</w:t>
      </w:r>
    </w:p>
    <w:p>
      <w:r>
        <w:t>This part is the complete research paper, combining the v3 baseline (Chapters 1, 4, 5, 6) with the v4.1 expanded Chapters 2 and 3, Appendix A (instrument), and the Verified Reference Pool. This is the version to send to the advisor.</w:t>
      </w:r>
    </w:p>
    <w:p>
      <w:r>
        <w:br w:type="page"/>
      </w:r>
    </w:p>
    <w:p>
      <w:pPr>
        <w:pStyle w:val="Heading2"/>
      </w:pPr>
      <w:r>
        <w:t>Chapter 1  Introduction and Statement of the Problem</w:t>
      </w:r>
    </w:p>
    <w:p>
      <w:r>
        <w:t>Anchoring bias is a cognitive heuristic in which individuals weight an initial reference point too heavily when adjusting toward a final estimate (Tversky &amp; Kahneman, 1974). In financial-statement auditing, this manifests when audit teams returning to long-term client engagements anchor on prior-period balances, estimates, or management explanations rather than re-evaluating each account on independent evidence. The consequence is a measurable threat to professional skepticism, audit quality, and the reliability of financial reporting on which capital markets, regulators, and depositors depend.</w:t>
      </w:r>
    </w:p>
    <w:p>
      <w:r>
        <w:t>The problem worthy of study is twofold. First, the anchoring effect has been demonstrated repeatedly in laboratory and field studies of auditor judgment (Earley, 2001; Nelson, 2009; Bonner, 2008), yet practitioner-facing interventions remain fragmented. Second, the audit profession's standard tool kit — training, rotation, analytical procedures, structured methodologies, peer review, regulatory guidance, and incentive design — has never been examined as an integrated debiasing system within a single empirical model. Closing this gap matters because regulated industries (banking, insurance, healthcare) and Public Company Accounting Oversight Board (PCAOB) inspection findings consistently identify estimate-anchoring as a recurring deficiency.</w:t>
      </w:r>
    </w:p>
    <w:p>
      <w:r>
        <w:t>This Research Project asks one primary question:</w:t>
      </w:r>
    </w:p>
    <w:p>
      <w:r>
        <w:t>Which audit-process interventions, mediated by Auditor Judgment Quality and Audit Process Rigor, most effectively reduce anchoring bias in long-term auditor engagements?</w:t>
      </w:r>
    </w:p>
    <w:p>
      <w:r>
        <w:t>The study's contribution is an empirically validated, multi-construct model of anchoring-bias reduction that audit firms, internal audit functions, and regulators can use to prioritize debiasing investment. A secondary contribution is the validated measurement instrument itself, which is suitable for replication in adjacent professional-judgment domains (e.g., loan underwriting, model risk validation).</w:t>
      </w:r>
    </w:p>
    <w:p>
      <w:r>
        <w:br w:type="page"/>
      </w:r>
    </w:p>
    <w:p>
      <w:pPr>
        <w:pStyle w:val="Heading1"/>
      </w:pPr>
      <w:r>
        <w:t>CHAPTER 2 — REVIEW OF THE LITERATURE</w:t>
      </w:r>
    </w:p>
    <w:p>
      <w:pPr>
        <w:pStyle w:val="Heading2"/>
      </w:pPr>
      <w:r>
        <w:t>2.1  Introduction to the Chapter</w:t>
      </w:r>
    </w:p>
    <w:p>
      <w:r>
        <w:t>This chapter reviews the body of scholarship on which the present study is built. It has three purposes. First, it introduces the theoretical foundations that explain why anchoring bias arises in human judgment generally and in auditor judgment specifically, and it identifies the single theoretical lens that organizes the remainder of the study. Second, it examines, one construct at a time, each of the eleven concepts that compose the research model — the eight audit-process interventions, the two judgment-process mediators, and the dependent variable — summarizing what the literature has established about each, where scholars disagree, and what remains unresolved. Third, it synthesizes these separate literatures into the research gap that motivates the integrated model developed in Chapter 3.</w:t>
      </w:r>
    </w:p>
    <w:p>
      <w:r>
        <w:t xml:space="preserve">The chapter is deliberately organized so that the constructs are treated here as </w:t>
      </w:r>
      <w:r>
        <w:rPr>
          <w:i/>
        </w:rPr>
        <w:t>separate</w:t>
      </w:r>
      <w:r>
        <w:t xml:space="preserve"> bodies of knowledge: each section describes a single "box" in the eventual model, the way the literature defines it, measures it, and links it to professional-judgment quality. The relationships </w:t>
      </w:r>
      <w:r>
        <w:rPr>
          <w:i/>
        </w:rPr>
        <w:t>among</w:t>
      </w:r>
      <w:r>
        <w:t xml:space="preserve"> the boxes — the arrows, the directional hypotheses, and the mediating pathways — are reserved for Chapter 3. This separation follows the convention that a literature review establishes what is known about each concept, while the model-and-hypotheses chapter argues for the specific causal relationships the study will test (Bonner, 2008; Nelson &amp; Tan, 2005).</w:t>
      </w:r>
    </w:p>
    <w:p>
      <w:r>
        <w:t>Anchoring bias is among the most robust and widely replicated findings in the judgment-and-decision-making literature (Furnham &amp; Boo, 2011; Tversky &amp; Kahneman, 1974). In the audit setting it is also among the most consequential, because auditors who return year after year to the same long-term client are repeatedly exposed to a powerful set of anchors — prior-period balances, management's estimates, last year's workpapers, and the client's own explanations. When these anchors are weighted too heavily, the auditor's adjustment toward an independent, evidence-based conclusion is insufficient, and professional skepticism is quietly eroded (Joyce &amp; Biddle, 1981; Kinney &amp; Uecker, 1982; Nelson, 2009). The literature reviewed below establishes both the depth of this problem and the fragmented state of the interventions proposed to address it.</w:t>
      </w:r>
    </w:p>
    <w:p>
      <w:pPr>
        <w:pStyle w:val="Heading2"/>
      </w:pPr>
      <w:r>
        <w:t>2.2  Theoretical Foundations</w:t>
      </w:r>
    </w:p>
    <w:p>
      <w:r>
        <w:t xml:space="preserve">A theory of anchoring is required before the model's constructs can be justified, because each intervention in the model is ultimately an attempt to interrupt a cognitive mechanism that theory specifies. Anchoring bias has been explained by several complementary theoretical accounts. In the judgment-and-decision-making and audit literatures, the most influential are: (a) the </w:t>
      </w:r>
      <w:r>
        <w:rPr>
          <w:b/>
        </w:rPr>
        <w:t>anchoring-and-adjustment heuristic</w:t>
      </w:r>
      <w:r>
        <w:t xml:space="preserve"> (Tversky &amp; Kahneman, 1974; Epley &amp; Gilovich, 2006); (b) the </w:t>
      </w:r>
      <w:r>
        <w:rPr>
          <w:b/>
        </w:rPr>
        <w:t>selective-accessibility, or semantic-priming, account</w:t>
      </w:r>
      <w:r>
        <w:t xml:space="preserve"> (Strack &amp; Mussweiler, 1997); (c) </w:t>
      </w:r>
      <w:r>
        <w:rPr>
          <w:b/>
        </w:rPr>
        <w:t>dual-process theory</w:t>
      </w:r>
      <w:r>
        <w:t xml:space="preserve">, which distinguishes fast, automatic System-1 cognition from slow, deliberate System-2 reasoning (Evans, 2008; Kahneman, 2011); (d) the </w:t>
      </w:r>
      <w:r>
        <w:rPr>
          <w:b/>
        </w:rPr>
        <w:t>belief-adjustment model</w:t>
      </w:r>
      <w:r>
        <w:t xml:space="preserve"> of sequential evidence evaluation (Hogarth &amp; Einhorn, 1992); and (e) the </w:t>
      </w:r>
      <w:r>
        <w:rPr>
          <w:b/>
        </w:rPr>
        <w:t>audit-quality and judgment-performance frameworks</w:t>
      </w:r>
      <w:r>
        <w:t xml:space="preserve"> that connect process attributes to judgment outcomes (Knechel, 2013; Libby &amp; Luft, 1993; Nelson &amp; Tan, 2005). Each is introduced in turn below for a reader encountering it for the first time, after which the study's selected lens is named and justified.</w:t>
      </w:r>
    </w:p>
    <w:p>
      <w:pPr>
        <w:pStyle w:val="Heading3"/>
      </w:pPr>
      <w:r>
        <w:t>2.2.1  The Anchoring-and-Adjustment Heuristic</w:t>
      </w:r>
    </w:p>
    <w:p>
      <w:r>
        <w:t xml:space="preserve">Tversky and Kahneman (1974) introduced anchoring as one of three general heuristics people use to reduce the complexity of judgment under uncertainty. In their account, individuals form estimates by starting from an initial value — the anchor — and adjusting from it to reach a final answer; critically, the adjustment is typically insufficient, so the final estimate remains biased toward the anchor. The effect proved extraordinarily robust: it appears even when the anchor is known to be random, uninformative, or implausibly extreme, and even when respondents are warned about it and paid for accuracy (Furnham &amp; Boo, 2011). Wilson, Houston, Etling, and Brekke (1996), in the </w:t>
      </w:r>
      <w:r>
        <w:rPr>
          <w:i/>
        </w:rPr>
        <w:t>Journal of Experimental Psychology: General</w:t>
      </w:r>
      <w:r>
        <w:t xml:space="preserve">, demonstrated "basic anchoring" — that uninformative numerical anchors influence subsequent judgments even when no explicit comparison to the target is requested, expanding the conditions under which anchoring is now known to operate. Epley and Gilovich (2006) refined the mechanism, showing that anchoring actually reflects (at least) two processes — insufficient </w:t>
      </w:r>
      <w:r>
        <w:rPr>
          <w:i/>
        </w:rPr>
        <w:t>effortful</w:t>
      </w:r>
      <w:r>
        <w:t xml:space="preserve"> adjustment from self-generated anchors and a more automatic priming effect from externally provided anchors — a distinction that matters for debiasing, because the two are interrupted by different interventions. For the audit setting, the heuristic's relevance is direct: prior-year balances and management estimates function as externally provided anchors from which the auditor adjusts too little, and Northcraft and Neale (1987), in </w:t>
      </w:r>
      <w:r>
        <w:rPr>
          <w:i/>
        </w:rPr>
        <w:t>Organizational Behavior and Human Decision Processes</w:t>
      </w:r>
      <w:r>
        <w:t>, supplied an early demonstration that experts in an information-rich professional setting (real-estate appraisers) anchor on listing prices much as novices do — undermining the assumption that domain expertise alone neutralizes the bias.</w:t>
      </w:r>
    </w:p>
    <w:p>
      <w:pPr>
        <w:pStyle w:val="Heading3"/>
      </w:pPr>
      <w:r>
        <w:t>2.2.2  The Selective-Accessibility (Semantic-Priming) Account</w:t>
      </w:r>
    </w:p>
    <w:p>
      <w:r>
        <w:t xml:space="preserve">Strack and Mussweiler (1997) proposed that anchoring is, in large part, a special case of semantic priming. On their account, considering an anchor causes the judge to selectively retrieve and activate information </w:t>
      </w:r>
      <w:r>
        <w:rPr>
          <w:i/>
        </w:rPr>
        <w:t>consistent</w:t>
      </w:r>
      <w:r>
        <w:t xml:space="preserve"> with that anchor; this anchor-consistent information is then disproportionately accessible when the absolute judgment is made, biasing it toward the anchor. Mussweiler and Strack (1999), in the </w:t>
      </w:r>
      <w:r>
        <w:rPr>
          <w:i/>
        </w:rPr>
        <w:t>Journal of Experimental Social Psychology</w:t>
      </w:r>
      <w:r>
        <w:t xml:space="preserve">, extended the account by showing that the mechanism is </w:t>
      </w:r>
      <w:r>
        <w:rPr>
          <w:i/>
        </w:rPr>
        <w:t>hypothesis-consistent testing</w:t>
      </w:r>
      <w:r>
        <w:t>: judges implicitly test the hypothesis that the anchor is the correct value, which selectively raises the accessibility of anchor-consistent knowledge used in the subsequent judgment. The selective-accessibility model explains why anchoring is so resistant to simple warnings and why a particularly effective countermeasure is the deliberate "consider-the-opposite" strategy (Lord, Lepper, &amp; Preston, 1984; Mussweiler, Strack, &amp; Pfeiffer, 2000), in which the judge is prompted to generate anchor-</w:t>
      </w:r>
      <w:r>
        <w:rPr>
          <w:i/>
        </w:rPr>
        <w:t>inconsistent</w:t>
      </w:r>
      <w:r>
        <w:t xml:space="preserve"> evidence. This account is the theoretical bridge to several interventions in the present model — independent review, structured procedures, and feedback all function, in part, by forcing the auditor to surface evidence inconsistent with the prior-year anchor.</w:t>
      </w:r>
    </w:p>
    <w:p>
      <w:pPr>
        <w:pStyle w:val="Heading3"/>
      </w:pPr>
      <w:r>
        <w:t>2.2.3  Dual-Process Theory of Judgment</w:t>
      </w:r>
    </w:p>
    <w:p>
      <w:r>
        <w:t xml:space="preserve">Dual-process theory holds that cognition operates through two interacting systems: System 1 is fast, automatic, associative, and effortless; System 2 is slow, controlled, rule-governed, and effortful (Evans, 2008; Kahneman, 2011). Kahneman and Frederick (2002), in their "representativeness revisited" chapter, formalized the dual-process account through the concept of </w:t>
      </w:r>
      <w:r>
        <w:rPr>
          <w:i/>
        </w:rPr>
        <w:t>attribute substitution</w:t>
      </w:r>
      <w:r>
        <w:t xml:space="preserve"> — when a target attribute is hard to assess, individuals unwittingly substitute a related but easier-to-evaluate attribute — providing a unifying mechanism that links anchoring, representativeness, and availability under the same theoretical umbrella. Anchoring is understood as a System-1 phenomenon — the anchor exerts its pull automatically — that can be overridden by System-2 engagement when, and only when, the judge has the motivation, the cognitive resources, and a structure that prompts deliberate reconsideration. In auditing, Nelson (2009) and Libby and Luft (1993) frame professional skepticism and judgment performance in compatible terms: knowledge, ability, motivation, and environment jointly determine whether the deliberate, evidence-driven system is actually deployed. Dual-process theory is thus the natural framework for an </w:t>
      </w:r>
      <w:r>
        <w:rPr>
          <w:i/>
        </w:rPr>
        <w:t>intervention</w:t>
      </w:r>
      <w:r>
        <w:t xml:space="preserve"> study, because every construct in the model can be read as a lever that increases the probability that effortful System-2 reasoning displaces automatic System-1 anchoring.</w:t>
      </w:r>
    </w:p>
    <w:p>
      <w:pPr>
        <w:pStyle w:val="Heading3"/>
      </w:pPr>
      <w:r>
        <w:t>2.2.4  The Belief-Adjustment Model</w:t>
      </w:r>
    </w:p>
    <w:p>
      <w:r>
        <w:t xml:space="preserve">Hogarth and Einhorn (1992) developed the belief-adjustment model to explain how judgments evolve as evidence is processed in sequence. Their model is itself a generalized anchoring-and-adjustment process: a current belief serves as the anchor, and each new evidence item produces an adjustment whose size depends on task complexity, the length of the evidence series, and whether evidence is processed step-by-step or end-of-sequence. The model predicts systematic order effects — notably recency in step-by-step processing of mixed evidence — that are directly relevant to multi-year audit engagements, where the order and framing of evidence (last year's conclusion first, current evidence second) can entrench the prior-period anchor. The belief-adjustment model supplies the theoretical rationale for interventions that alter </w:t>
      </w:r>
      <w:r>
        <w:rPr>
          <w:i/>
        </w:rPr>
        <w:t>how</w:t>
      </w:r>
      <w:r>
        <w:t xml:space="preserve"> and </w:t>
      </w:r>
      <w:r>
        <w:rPr>
          <w:i/>
        </w:rPr>
        <w:t>in what order</w:t>
      </w:r>
      <w:r>
        <w:t xml:space="preserve"> evidence is evaluated, such as structured processes and analytical tools.</w:t>
      </w:r>
    </w:p>
    <w:p>
      <w:pPr>
        <w:pStyle w:val="Heading3"/>
      </w:pPr>
      <w:r>
        <w:t>2.2.5  Audit-Quality and Judgment-Performance Frameworks</w:t>
      </w:r>
    </w:p>
    <w:p>
      <w:r>
        <w:t xml:space="preserve">Finally, a stream of audit-specific frameworks connects the attributes of the audit </w:t>
      </w:r>
      <w:r>
        <w:rPr>
          <w:i/>
        </w:rPr>
        <w:t>process</w:t>
      </w:r>
      <w:r>
        <w:t xml:space="preserve"> to the quality of audit </w:t>
      </w:r>
      <w:r>
        <w:rPr>
          <w:i/>
        </w:rPr>
        <w:t>judgments</w:t>
      </w:r>
      <w:r>
        <w:t xml:space="preserve"> and, ultimately, to audit quality (DeFond &amp; Francis, 2005; Knechel, 2013; Nelson &amp; Tan, 2005). Libby and Luft's (1993) determinants-of-performance framework — ability, knowledge, motivation, and environment — is the canonical organizing scheme, and Bonner (2008) provides the comprehensive treatment of judgment-and-decision-making in accounting on which most measurement in this area rests. These frameworks do not, by themselves, explain anchoring; rather, they specify the conditions under which any debiasing intervention will or will not improve judgment, and they supply the validated construct definitions and measurement logic that the present study adopts.</w:t>
      </w:r>
    </w:p>
    <w:p>
      <w:pPr>
        <w:pStyle w:val="Heading3"/>
      </w:pPr>
      <w:r>
        <w:t>2.2.6  Selected Theoretical Lens for the Present Study</w:t>
      </w:r>
    </w:p>
    <w:p>
      <w:r>
        <w:t xml:space="preserve">While all five accounts inform this study, the research adopts </w:t>
      </w:r>
      <w:r>
        <w:rPr>
          <w:b/>
        </w:rPr>
        <w:t>dual-process theory, operationalized through the anchoring-and-adjustment heuristic, as its primary theoretical lens.</w:t>
      </w:r>
      <w:r>
        <w:t xml:space="preserve"> This choice is deliberate and is defended on three grounds. First, it is the most </w:t>
      </w:r>
      <w:r>
        <w:rPr>
          <w:i/>
        </w:rPr>
        <w:t>integrative</w:t>
      </w:r>
      <w:r>
        <w:t xml:space="preserve"> of the available theories: it subsumes the anchoring-and-adjustment heuristic (anchoring as System-1) and is fully compatible with both the selective-accessibility and belief-adjustment accounts (each describes a System-1 mechanism that System-2 engagement can correct). Second, it is the most </w:t>
      </w:r>
      <w:r>
        <w:rPr>
          <w:i/>
        </w:rPr>
        <w:t>actionable</w:t>
      </w:r>
      <w:r>
        <w:t xml:space="preserve"> lens for an intervention study, because every construct in the model can be expressed as a mechanism that raises the likelihood, capacity, or required structure for System-2 reasoning to override the anchor — making the theory directly testable through the hypotheses in Chapter 3. Third, it is the lens most consistent with how the </w:t>
      </w:r>
      <w:r>
        <w:rPr>
          <w:i/>
        </w:rPr>
        <w:t>audit</w:t>
      </w:r>
      <w:r>
        <w:t xml:space="preserve"> literature already theorizes professional skepticism and judgment quality (Nelson, 2009; Nelson &amp; Tan, 2005), which preserves continuity with the validated instruments the study adapts. The selective-accessibility, belief-adjustment, and audit-quality frameworks are retained as supporting theory wherever a specific construct's mechanism is better described by them.</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Several seminal anchoring and audit-JDM sources have been integrated above (Wilson et al., 1996; Mussweiler &amp; Strack, 1999; Lord et al., 1984; Kahneman &amp; Frederick, 2002; Northcraft &amp; Neale, 1987). To deepen the theory treatment further, consider adding: Mussweiler, Strack, &amp; Pfeiffer (2000) on overcoming anchoring; Stanovich and West (2000) on individual differences in System-2 engagement; and Nelson (2009) on the audit-skepticism theoretical map.</w:t>
            </w:r>
          </w:p>
        </w:tc>
      </w:tr>
    </w:tbl>
    <w:p>
      <w:pPr>
        <w:spacing w:after="0"/>
      </w:pPr>
    </w:p>
    <w:p>
      <w:pPr>
        <w:pStyle w:val="Heading2"/>
      </w:pPr>
      <w:r>
        <w:t>2.3  Reduction in Anchoring Bias (RAB) — The Dependent Variable</w:t>
      </w:r>
    </w:p>
    <w:p>
      <w:r>
        <w:t xml:space="preserve">The dependent variable, Reduction in Anchoring Bias (RAB), is defined as the extent to which an auditor's judgments are </w:t>
      </w:r>
      <w:r>
        <w:rPr>
          <w:i/>
        </w:rPr>
        <w:t>free</w:t>
      </w:r>
      <w:r>
        <w:t xml:space="preserve"> from the distorting influence of an initial reference point — that is, the degree to which the auditor adjusts adequately away from prior-period balances, management estimates, and previously documented conclusions toward an independent, evidence-based position (Tversky &amp; Kahneman, 1974). Anchoring is operationalized in the behavioral-auditing literature as the residual pull of an anchor on a final judgment, and a </w:t>
      </w:r>
      <w:r>
        <w:rPr>
          <w:i/>
        </w:rPr>
        <w:t>reduction</w:t>
      </w:r>
      <w:r>
        <w:t xml:space="preserve"> in that pull is the outcome every intervention in this model is theorized to produce.</w:t>
      </w:r>
    </w:p>
    <w:p>
      <w:r>
        <w:t xml:space="preserve">The audit-specific evidence that anchoring genuinely afflicts professional judgment is direct and longstanding. Joyce and Biddle (1981), in a set of experiments with practicing auditors published in the </w:t>
      </w:r>
      <w:r>
        <w:rPr>
          <w:i/>
        </w:rPr>
        <w:t>Journal of Accounting Research</w:t>
      </w:r>
      <w:r>
        <w:t xml:space="preserve">, found that auditors' probabilistic inferences were influenced by anchors, though not always in the simple direction a naive heuristic account predicts — establishing both the presence of the effect and its complexity in expert populations. Kinney and Uecker (1982), in </w:t>
      </w:r>
      <w:r>
        <w:rPr>
          <w:i/>
        </w:rPr>
        <w:t>The Accounting Review</w:t>
      </w:r>
      <w:r>
        <w:t xml:space="preserve">, demonstrated anchoring and adjustment in analytical review: when auditors were given biased unaudited figures, those figures shifted the investigation boundaries the auditors set, showing that an anchor can distort not only an estimate but the </w:t>
      </w:r>
      <w:r>
        <w:rPr>
          <w:i/>
        </w:rPr>
        <w:t>scope of testing</w:t>
      </w:r>
      <w:r>
        <w:t xml:space="preserve"> itself. Wilson et al. (1996) and Northcraft and Neale (1987) generalized the concern to expert populations more broadly, showing that uninformative anchors influence judgments even of professionals operating in their home domains. Furnham and Boo (2011) review the broader literature and document the effect's remarkable robustness across domains, populations, and incentives — a robustness that is precisely why the audit profession cannot assume expertise alone neutralizes it.</w:t>
      </w:r>
    </w:p>
    <w:p>
      <w:r>
        <w:t>A central tension in this literature is whether expertise and accountability attenuate anchoring. Some studies find that experienced auditors are less susceptible than novices, while others find professionals fully susceptible; Kennedy (1993) shows that accountability reduces some judgment biases only when the bias originates in insufficient effort rather than in data or memory limitations — implying that anchoring is reducible only by interventions matched to its actual cognitive source. This unresolved boundary condition is the gap the present model addresses by testing eight interventions simultaneously rather than in isolation.</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Consider: Pike's (2024+) work on mitigating auditor bias through elaboration; Cianci &amp; Bierstaker on fair-value anchoring; and recent meta-analytic syntheses of debiasing effectiveness in professional populations.</w:t>
            </w:r>
          </w:p>
        </w:tc>
      </w:tr>
    </w:tbl>
    <w:p>
      <w:pPr>
        <w:spacing w:after="0"/>
      </w:pPr>
    </w:p>
    <w:p>
      <w:pPr>
        <w:pStyle w:val="Heading2"/>
      </w:pPr>
      <w:r>
        <w:t>2.4  Training &amp; Awareness (TA)</w:t>
      </w:r>
    </w:p>
    <w:p>
      <w:r>
        <w:t xml:space="preserve">Training &amp; Awareness (TA) refers to structured instruction designed to make auditors aware of cognitive biases — anchoring among them — and to equip them with concrete debiasing strategies they can deploy during fieldwork. Earley (2001), in </w:t>
      </w:r>
      <w:r>
        <w:rPr>
          <w:i/>
        </w:rPr>
        <w:t>Accounting Horizons</w:t>
      </w:r>
      <w:r>
        <w:t xml:space="preserve">, showed that knowledge acquisition in auditing is most effective when learning is structured and accompanied by explanatory feedback, producing measurable gains in judgment performance among less-experienced auditors. Bonner and Walker (1994), in </w:t>
      </w:r>
      <w:r>
        <w:rPr>
          <w:i/>
        </w:rPr>
        <w:t>The Accounting Review</w:t>
      </w:r>
      <w:r>
        <w:t xml:space="preserve">, demonstrated that the </w:t>
      </w:r>
      <w:r>
        <w:rPr>
          <w:i/>
        </w:rPr>
        <w:t>combination</w:t>
      </w:r>
      <w:r>
        <w:t xml:space="preserve"> of instruction with practice-and-feedback — not instruction alone — was what produced durable procedural knowledge for analytical tasks, a finding that distinguishes genuine debiasing training from mere awareness. Hurtt, Brown-Liburd, Earley, and Krishnamoorthy (2013), synthesizing the auditor-skepticism literature in </w:t>
      </w:r>
      <w:r>
        <w:rPr>
          <w:i/>
        </w:rPr>
        <w:t>Auditing: A Journal of Practice &amp; Theory</w:t>
      </w:r>
      <w:r>
        <w:t>, identify training and experience as among the most studied antecedents of professional skepticism — the auditor mindset most directly implicated in resisting anchors — and document that the evidence on training's effect is positive but heterogeneous across study designs.</w:t>
      </w:r>
    </w:p>
    <w:p>
      <w:r>
        <w:t xml:space="preserve">The literature is, however, divided on whether awareness translates into behavior. A recurring finding in the broader debiasing literature is that simply </w:t>
      </w:r>
      <w:r>
        <w:rPr>
          <w:i/>
        </w:rPr>
        <w:t>informing</w:t>
      </w:r>
      <w:r>
        <w:t xml:space="preserve"> people about a bias rarely removes it, because anchoring operates automatically (Furnham &amp; Boo, 2011; Strack &amp; Mussweiler, 1997). Solomon and Trotman (2003), in their </w:t>
      </w:r>
      <w:r>
        <w:rPr>
          <w:i/>
        </w:rPr>
        <w:t>Accounting, Organizations and Society</w:t>
      </w:r>
      <w:r>
        <w:t xml:space="preserve"> review of twenty-five years of auditing judgment research, similarly note that interventions targeting knowledge structures are more effective when they alter how auditors </w:t>
      </w:r>
      <w:r>
        <w:rPr>
          <w:i/>
        </w:rPr>
        <w:t>process</w:t>
      </w:r>
      <w:r>
        <w:t xml:space="preserve"> evidence rather than merely what they </w:t>
      </w:r>
      <w:r>
        <w:rPr>
          <w:i/>
        </w:rPr>
        <w:t>know</w:t>
      </w:r>
      <w:r>
        <w:t xml:space="preserve"> about biases. This is the central contradiction the TA construct must confront: awareness is necessary but not sufficient, and training appears to "work" only when it installs an executable strategy (e.g., consider-the-opposite, independent estimation before reviewing prior-year figures) rather than abstract knowledge that a bias exists. The most defensible reading of the literature is therefore that TA reduces anchoring to the degree that it changes the auditor's </w:t>
      </w:r>
      <w:r>
        <w:rPr>
          <w:i/>
        </w:rPr>
        <w:t>process</w:t>
      </w:r>
      <w:r>
        <w:t xml:space="preserve">, not merely the auditor's </w:t>
      </w:r>
      <w:r>
        <w:rPr>
          <w:i/>
        </w:rPr>
        <w:t>beliefs</w:t>
      </w:r>
      <w:r>
        <w:t>.</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Hurtt et al. (2013) and Solomon and Trotman (2003) have been integrated above. To deepen further, consider: Nolder and Kadous on skepticism mindset; Westermann, Cohen, and Trompeter on skepticism in practice; and recent transfer-of-training studies on audit-context bias interventions.</w:t>
            </w:r>
          </w:p>
        </w:tc>
      </w:tr>
    </w:tbl>
    <w:p>
      <w:pPr>
        <w:spacing w:after="0"/>
      </w:pPr>
    </w:p>
    <w:p>
      <w:pPr>
        <w:pStyle w:val="Heading2"/>
      </w:pPr>
      <w:r>
        <w:t>2.5  Rotation of Auditors (RA)</w:t>
      </w:r>
    </w:p>
    <w:p>
      <w:r>
        <w:t xml:space="preserve">Rotation of Auditors (RA) refers to the periodic reassignment of audit personnel (at the engagement, partner, or firm level) intended to disrupt the relational and informational lock-in that accumulates over a long-term engagement. The rationale is that a fresh auditor carries no prior-year anchor of their own and no relationship-based deference to management. Arel, Brody, and Pany (2005) summarize the policy logic for rotation and audit quality, while Chi, Huang, Liao, and Xie (2009), in </w:t>
      </w:r>
      <w:r>
        <w:rPr>
          <w:i/>
        </w:rPr>
        <w:t>Contemporary Accounting Research</w:t>
      </w:r>
      <w:r>
        <w:t>, examined mandatory partner rotation and audit quality using archival data, and Chen, Lin, and Lin (2016) studied audit-partner tenure and discretionary accruals — together mapping how the length of the auditor–client relationship relates to reporting outcomes.</w:t>
      </w:r>
    </w:p>
    <w:p>
      <w:r>
        <w:t xml:space="preserve">The archival evidence on tenure is, however, decidedly mixed, and that mixed pattern is itself diagnostic. Carcello and Nagy (2004), in </w:t>
      </w:r>
      <w:r>
        <w:rPr>
          <w:i/>
        </w:rPr>
        <w:t>Auditing: A Journal of Practice &amp; Theory</w:t>
      </w:r>
      <w:r>
        <w:t xml:space="preserve">, found that fraudulent financial reporting is more likely in the </w:t>
      </w:r>
      <w:r>
        <w:rPr>
          <w:i/>
        </w:rPr>
        <w:t>first three years</w:t>
      </w:r>
      <w:r>
        <w:t xml:space="preserve"> of an auditor–client relationship and find no evidence that long tenure increases fraud risk — implying that start-up unfamiliarity, not familiarity, is the more proximate threat. Myers, Myers, and Omer (2003), in </w:t>
      </w:r>
      <w:r>
        <w:rPr>
          <w:i/>
        </w:rPr>
        <w:t>The Accounting Review</w:t>
      </w:r>
      <w:r>
        <w:t xml:space="preserve">, similarly report that longer auditor tenure is associated with </w:t>
      </w:r>
      <w:r>
        <w:rPr>
          <w:i/>
        </w:rPr>
        <w:t>higher</w:t>
      </w:r>
      <w:r>
        <w:t xml:space="preserve"> earnings quality (smaller absolute abnormal accruals), again challenging the assumption that long tenure mechanically degrades audit quality. The experimental evidence sharpens the picture: Bowlin, Hobson, and Piercey (2015), in </w:t>
      </w:r>
      <w:r>
        <w:rPr>
          <w:i/>
        </w:rPr>
        <w:t>The Accounting Review</w:t>
      </w:r>
      <w:r>
        <w:t xml:space="preserve">, found that mandatory rotation can </w:t>
      </w:r>
      <w:r>
        <w:rPr>
          <w:i/>
        </w:rPr>
        <w:t>improve</w:t>
      </w:r>
      <w:r>
        <w:t xml:space="preserve"> audit quality when auditors adopt an honesty frame but can </w:t>
      </w:r>
      <w:r>
        <w:rPr>
          <w:i/>
        </w:rPr>
        <w:t>reduce</w:t>
      </w:r>
      <w:r>
        <w:t xml:space="preserve"> audit effort when auditors already hold a skeptical frame — because rotating auditors, anticipating a short relationship, may invest less in understanding a new client. Rotation thus interacts with the very skepticism it is meant to protect, and the field-level archival evidence shows that simple "tenure-is-bad" intuitions are unsupported. The literature therefore does not support a simple "rotation reduces bias" claim; it supports the more careful position that rotation removes specific </w:t>
      </w:r>
      <w:r>
        <w:rPr>
          <w:i/>
        </w:rPr>
        <w:t>relationship-based</w:t>
      </w:r>
      <w:r>
        <w:t xml:space="preserve"> anchors while introducing its own costs (lost client-specific knowledge, start-up inefficiency), and the net direction is an empirical question this model is designed to estimate.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Carcello &amp; Nagy (2004) and Myers, Myers, &amp; Omer (2003) have been integrated. To deepen further, consider: Cameran, Prencipe, &amp; Trombetta on mandatory rotation in the EU; Bell, Causholli, &amp; Knechel on tenure and audit quality; and Daugherty et al. on partner rotation effects on familiarity threat.</w:t>
            </w:r>
          </w:p>
        </w:tc>
      </w:tr>
    </w:tbl>
    <w:p>
      <w:pPr>
        <w:spacing w:after="0"/>
      </w:pPr>
    </w:p>
    <w:p>
      <w:pPr>
        <w:pStyle w:val="Heading2"/>
      </w:pPr>
      <w:r>
        <w:t>2.6  Use of Analytical Tools (AT)</w:t>
      </w:r>
    </w:p>
    <w:p>
      <w:r>
        <w:t xml:space="preserve">Use of Analytical Tools (AT) refers to data-analytics, visualization, and anomaly-detection technologies that surface patterns and outliers in client data, redirecting the auditor's attention from historical expectations toward current evidence. Yoon, Hoogduin, and Zhang (2015), in </w:t>
      </w:r>
      <w:r>
        <w:rPr>
          <w:i/>
        </w:rPr>
        <w:t>Accounting Horizons</w:t>
      </w:r>
      <w:r>
        <w:t xml:space="preserve">, argued that big-data sources can serve as complementary audit evidence, expanding the evidence base beyond the client's own ledgers. Brazel, Jones, and Prawitt (2014) showed that attention to non-financial measures that are inconsistent with reported financials improves fraud-risk judgments — a mechanism that directly counteracts anchoring, because it confronts the auditor with disconfirming data. Trompeter and Wright (2010), in </w:t>
      </w:r>
      <w:r>
        <w:rPr>
          <w:i/>
        </w:rPr>
        <w:t>Contemporary Accounting Research</w:t>
      </w:r>
      <w:r>
        <w:t xml:space="preserve">, documented how analytical-procedure </w:t>
      </w:r>
      <w:r>
        <w:rPr>
          <w:i/>
        </w:rPr>
        <w:t>practice</w:t>
      </w:r>
      <w:r>
        <w:t xml:space="preserve"> has shifted with technology toward more precise, quantitative, and externally benchmarked expectations. The longer arc of this transition is captured by Vasarhelyi, Alles, and Kogan (2004), whose foundational treatment of continuous auditing in the </w:t>
      </w:r>
      <w:r>
        <w:rPr>
          <w:i/>
        </w:rPr>
        <w:t>Journal of Emerging Technologies in Accounting</w:t>
      </w:r>
      <w:r>
        <w:t xml:space="preserve"> sets out how information-technology-enabled monitoring can convert episodic, retrospective testing into ongoing analytic comparison — structurally raising the salience of current-period anomalies relative to prior-year expectations.</w:t>
      </w:r>
    </w:p>
    <w:p>
      <w:r>
        <w:t xml:space="preserve">The tension in this literature concerns reliance and automation. Asare and Wright (2004), in </w:t>
      </w:r>
      <w:r>
        <w:rPr>
          <w:i/>
        </w:rPr>
        <w:t>Contemporary Accounting Research</w:t>
      </w:r>
      <w:r>
        <w:t xml:space="preserve">, found that the design of risk-assessment and program-planning tools materially shapes auditor judgments — meaning a poorly designed tool can </w:t>
      </w:r>
      <w:r>
        <w:rPr>
          <w:i/>
        </w:rPr>
        <w:t>introduce</w:t>
      </w:r>
      <w:r>
        <w:t xml:space="preserve"> an anchor (e.g., a default risk score) as readily as a good tool removes one. Analytical tools, in other words, are debiasing only insofar as they direct attention to anchor-inconsistent evidence; when they present a salient default or prior-year benchmark, they risk re-anchoring the auditor. This double-edged quality is why AT is modeled as an intervention whose effect must be estimated empirically rather than assumed.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Vasarhelyi, Alles, &amp; Kogan (2004) has been integrated above. To deepen further, consider: Earley on data-analytic skills in auditing; Krieger, Drews, &amp; Velte on audit data analytics outcomes; and the automation-bias literature applied to audit decision aids.</w:t>
            </w:r>
          </w:p>
        </w:tc>
      </w:tr>
    </w:tbl>
    <w:p>
      <w:pPr>
        <w:spacing w:after="0"/>
      </w:pPr>
    </w:p>
    <w:p>
      <w:pPr>
        <w:pStyle w:val="Heading2"/>
      </w:pPr>
      <w:r>
        <w:t>2.7  Structured Auditing Processes (SAP)</w:t>
      </w:r>
    </w:p>
    <w:p>
      <w:r>
        <w:t xml:space="preserve">Structured Auditing Processes (SAP) refers to standardized procedures, checklists, decision aids, and documentation templates that prescribe the sequence and content of audit work, replacing ad hoc heuristic shortcuts with explicit, repeatable steps. Dowling and Leech (2007), in the </w:t>
      </w:r>
      <w:r>
        <w:rPr>
          <w:i/>
        </w:rPr>
        <w:t>International Journal of Accounting Information Systems</w:t>
      </w:r>
      <w:r>
        <w:t xml:space="preserve">, analyzed audit-support systems and decision aids and how their structure shapes auditor behavior and compliance. Bonner (2008) situates structure within the broader judgment-and-decision-making literature, noting that imposed structure can substitute for missing knowledge and force consideration of factors a less-structured auditor might skip. Carpenter (2007), in </w:t>
      </w:r>
      <w:r>
        <w:rPr>
          <w:i/>
        </w:rPr>
        <w:t>The Accounting Review</w:t>
      </w:r>
      <w:r>
        <w:t xml:space="preserve">, provided causal evidence for one form of imposed structure: SAS No. 99 brainstorming sessions raised the quality of fraud-risk ideas generated by audit teams above what individual auditors produced alone, and team fraud-risk assessments after brainstorming were significantly higher — demonstrating that a structured group procedure can override the prior-year frame an individual auditor would otherwise default to. Trotman, Bauer, and Humphreys (2015), reviewing group judgment-and-decision-making research in auditing in </w:t>
      </w:r>
      <w:r>
        <w:rPr>
          <w:i/>
        </w:rPr>
        <w:t>Accounting, Organizations and Society</w:t>
      </w:r>
      <w:r>
        <w:t xml:space="preserve">, situate brainstorming, hierarchical review, and consultation as the three principal structured processes through which audit teams produce judgments that exceed any single member's, and they highlight the importance of </w:t>
      </w:r>
      <w:r>
        <w:rPr>
          <w:i/>
        </w:rPr>
        <w:t>process design</w:t>
      </w:r>
      <w:r>
        <w:t xml:space="preserve"> in whether these benefits are realized.</w:t>
      </w:r>
    </w:p>
    <w:p>
      <w:r>
        <w:t xml:space="preserve">The literature's enduring debate is the "structure versus judgment" trade-off. Structure can suppress anchoring by mandating independent evidence evaluation before the prior-year conclusion is consulted, and by requiring documentation that exposes insufficient adjustment. Yet over-structuring can mechanize the audit, encouraging compliance-as-checkbox and </w:t>
      </w:r>
      <w:r>
        <w:rPr>
          <w:i/>
        </w:rPr>
        <w:t>reducing</w:t>
      </w:r>
      <w:r>
        <w:t xml:space="preserve"> the very System-2 engagement that overrides anchors — the auditor follows the template without thinking. The defensible synthesis, consistent with the belief-adjustment model (Hogarth &amp; Einhorn, 1992), is that structure reduces anchoring when it alters the </w:t>
      </w:r>
      <w:r>
        <w:rPr>
          <w:i/>
        </w:rPr>
        <w:t>order and independence</w:t>
      </w:r>
      <w:r>
        <w:t xml:space="preserve"> of evidence evaluation, but not when it merely adds documentation around an unchanged thought process. This makes SAP a procedural-rigor lever, which is why Chapter 3 routes it through the Audit Process Rigor mediator.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Carpenter (2007) and Trotman, Bauer, &amp; Humphreys (2015) have been integrated above. To deepen further, consider: Bell, Solomon, &amp; colleagues on the strategic-systems audit approach; Mock &amp; Wright on audit-program structure; and the mechanization-vs-judgment debate in audit-methodology research.</w:t>
            </w:r>
          </w:p>
        </w:tc>
      </w:tr>
    </w:tbl>
    <w:p>
      <w:pPr>
        <w:spacing w:after="0"/>
      </w:pPr>
    </w:p>
    <w:p>
      <w:pPr>
        <w:pStyle w:val="Heading2"/>
      </w:pPr>
      <w:r>
        <w:t>2.8  Feedback &amp; Reflection (FR)</w:t>
      </w:r>
    </w:p>
    <w:p>
      <w:r>
        <w:t xml:space="preserve">Feedback &amp; Reflection (FR) refers to metacognitive mechanisms — post-task debriefs, outcome and process feedback, and structured reflection — through which auditors learn to recognize and correct their own judgment tendencies. Bonner and Walker (1994) established that feedback (especially explanatory, process-oriented feedback) is a necessary ingredient for acquiring durable audit knowledge, and Bamber and Iyer (2007), in </w:t>
      </w:r>
      <w:r>
        <w:rPr>
          <w:i/>
        </w:rPr>
        <w:t>Auditing: A Journal of Practice &amp; Theory</w:t>
      </w:r>
      <w:r>
        <w:t xml:space="preserve">, examined how auditors' identification with clients affects objectivity — a tendency that reflection is meant to counteract. Kennedy (1993) provides the most direct evidence relevant to anchoring: holding auditors accountable for their </w:t>
      </w:r>
      <w:r>
        <w:rPr>
          <w:i/>
        </w:rPr>
        <w:t>process</w:t>
      </w:r>
      <w:r>
        <w:t xml:space="preserve"> reduces effort-related biases, implying that reflection works by raising effortful System-2 engagement. The cognitive-psychology evidence reinforces the mechanism: Lord, Lepper, and Preston (1984), in the </w:t>
      </w:r>
      <w:r>
        <w:rPr>
          <w:i/>
        </w:rPr>
        <w:t>Journal of Personality and Social Psychology</w:t>
      </w:r>
      <w:r>
        <w:t xml:space="preserve">, showed that inducing judges to </w:t>
      </w:r>
      <w:r>
        <w:rPr>
          <w:i/>
        </w:rPr>
        <w:t>consider the opposite</w:t>
      </w:r>
      <w:r>
        <w:t xml:space="preserve"> of their initial impression is among the most reliably effective debiasing strategies known, and Mussweiler and Strack (1999) tied this finding directly to anchoring by showing that the bias is mediated by hypothesis-consistent testing — precisely the cognitive habit that structured reflection is designed to interrupt.</w:t>
      </w:r>
    </w:p>
    <w:p>
      <w:r>
        <w:t xml:space="preserve">The key qualification in this literature is that feedback only debiases when the environment provides it in a usable form. Audit settings are notorious for delayed, noisy, or absent outcome feedback (the "true" answer often never arrives), which is why the literature emphasizes </w:t>
      </w:r>
      <w:r>
        <w:rPr>
          <w:i/>
        </w:rPr>
        <w:t>process</w:t>
      </w:r>
      <w:r>
        <w:t xml:space="preserve"> feedback and structured reflection over outcome feedback (Bonner, 2008; Kennedy, 1993). The contradiction to manage is that reflection can also rationalize a prior-year anchor after the fact rather than dislodge it; feedback is debiasing only when it is structured to compare the auditor's judgment against independent evidence, not against the anchor itself.</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Lord, Lepper, &amp; Preston (1984) and Mussweiler &amp; Strack (1999) have been integrated above. To deepen further, consider: Peecher's work on audit-quality outcome bias; Mala &amp; Chand on JDM feedback effects in auditing; and Bonner's treatment of process vs. outcome feedback.</w:t>
            </w:r>
          </w:p>
        </w:tc>
      </w:tr>
    </w:tbl>
    <w:p>
      <w:pPr>
        <w:spacing w:after="0"/>
      </w:pPr>
    </w:p>
    <w:p>
      <w:pPr>
        <w:pStyle w:val="Heading2"/>
      </w:pPr>
      <w:r>
        <w:t>2.9  Independent Reviews (IR)</w:t>
      </w:r>
    </w:p>
    <w:p>
      <w:r>
        <w:t xml:space="preserve">Independent Reviews (IR) refers to the examination of audit work by a second, uninvolved auditor — engagement-quality reviewers, peer reviewers, or quality-assurance functions — who did not form the original judgment and therefore does not share the original anchor. DeFond and Francis (2005), in </w:t>
      </w:r>
      <w:r>
        <w:rPr>
          <w:i/>
        </w:rPr>
        <w:t>Auditing: A Journal of Practice &amp; Theory</w:t>
      </w:r>
      <w:r>
        <w:t xml:space="preserve">, frame review and quality control within the post-Sarbanes-Oxley audit-quality architecture. The foundational behavioral evidence is Trotman and Yetton (1985), in the </w:t>
      </w:r>
      <w:r>
        <w:rPr>
          <w:i/>
        </w:rPr>
        <w:t>Journal of Accounting Research</w:t>
      </w:r>
      <w:r>
        <w:t xml:space="preserve">, who showed that the review process improves audit judgments, with reviewed judgments outperforming individual ones. Ramsay (1994), also in </w:t>
      </w:r>
      <w:r>
        <w:rPr>
          <w:i/>
        </w:rPr>
        <w:t>JAR</w:t>
      </w:r>
      <w:r>
        <w:t xml:space="preserve">, refined this by showing that reviewers at different ranks detect different kinds of errors — managers catching conceptual errors that seniors miss — establishing that review quality depends on reviewer expertise and focus. Tan and Trotman (2003), in </w:t>
      </w:r>
      <w:r>
        <w:rPr>
          <w:i/>
        </w:rPr>
        <w:t>The Accounting Review</w:t>
      </w:r>
      <w:r>
        <w:t xml:space="preserve">, sharpened the construct further by demonstrating that reviewers' judgments are themselves influenced by the </w:t>
      </w:r>
      <w:r>
        <w:rPr>
          <w:i/>
        </w:rPr>
        <w:t>structure and conclusions</w:t>
      </w:r>
      <w:r>
        <w:t xml:space="preserve"> documented in the preparer's workpapers — meaning the independence of the reviewer's contribution is contingent on the format in which the preparer's work is presented. Solomon and Trotman (2003), reviewing twenty-five years of </w:t>
      </w:r>
      <w:r>
        <w:rPr>
          <w:i/>
        </w:rPr>
        <w:t>Accounting, Organizations and Society</w:t>
      </w:r>
      <w:r>
        <w:t xml:space="preserve"> judgment research, situate the review process as the audit profession's primary structural mechanism for upgrading individual judgment to team judgment.</w:t>
      </w:r>
    </w:p>
    <w:p>
      <w:r>
        <w:t xml:space="preserve">The selective-accessibility account (Strack &amp; Mussweiler, 1997) explains </w:t>
      </w:r>
      <w:r>
        <w:rPr>
          <w:i/>
        </w:rPr>
        <w:t>why</w:t>
      </w:r>
      <w:r>
        <w:t xml:space="preserve"> independent review is theoretically among the strongest anti-anchoring interventions: a reviewer who did not generate the original judgment is not primed by the same anchor and can surface anchor-inconsistent evidence. The contradiction the literature flags is that review loses its independence advantage when the reviewer is exposed to, and defers to, the preparer's documented conclusion before forming an independent view — re-creating the anchor at the review level (Tan &amp; Trotman, 2003). Review is therefore debiasing in proportion to its genuine </w:t>
      </w:r>
      <w:r>
        <w:rPr>
          <w:i/>
        </w:rPr>
        <w:t>independence</w:t>
      </w:r>
      <w:r>
        <w:t>, which is why it is modeled (with SAP) as a driver of Audit Process Rigor rather than a purely cognitive lever.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Tan &amp; Trotman (2003) and Solomon &amp; Trotman (2003) have been integrated above. To deepen further, consider: Agoglia, Brazel, &amp; Hatfield on justification memos; Gibbins &amp; Trotman on audit-review effectiveness; and Owhoso, Messier, &amp; Lynch on engagement-quality review.</w:t>
            </w:r>
          </w:p>
        </w:tc>
      </w:tr>
    </w:tbl>
    <w:p>
      <w:pPr>
        <w:spacing w:after="0"/>
      </w:pPr>
    </w:p>
    <w:p>
      <w:pPr>
        <w:pStyle w:val="Heading2"/>
      </w:pPr>
      <w:r>
        <w:t>2.10  Regulatory &amp; Professional Guidance (RPG)</w:t>
      </w:r>
    </w:p>
    <w:p>
      <w:r>
        <w:t xml:space="preserve">Regulatory &amp; Professional Guidance (RPG) refers to the standards, inspection regimes, and professional requirements — PCAOB standards and inspections, professional skepticism mandates, and firm methodology aligned to them — that constrain auditor discretion and prescribe minimum judgment quality. Knechel (2013), in </w:t>
      </w:r>
      <w:r>
        <w:rPr>
          <w:i/>
        </w:rPr>
        <w:t>Current Issues in Auditing</w:t>
      </w:r>
      <w:r>
        <w:t xml:space="preserve">, asks directly whether auditing standards matter for judgment and quality, and the PCAOB's standards (PCAOB, 2015) codify the requirements auditors must meet. Church and Shefchik (2012), in </w:t>
      </w:r>
      <w:r>
        <w:rPr>
          <w:i/>
        </w:rPr>
        <w:t>Accounting Horizons</w:t>
      </w:r>
      <w:r>
        <w:t xml:space="preserve">, analyze PCAOB inspection findings for large firms, documenting that estimate- and judgment-related deficiencies — exactly the territory of anchoring — recur in inspections. Francis (2011), in </w:t>
      </w:r>
      <w:r>
        <w:rPr>
          <w:i/>
        </w:rPr>
        <w:t>Auditing: A Journal of Practice &amp; Theory</w:t>
      </w:r>
      <w:r>
        <w:t xml:space="preserve">, develops a multi-level framework for understanding audit quality in which inputs, processes, the firm, the audit industry, institutions, and economic consequences each operate as a distinct level of analysis — locating regulatory and professional guidance squarely at the institutional level that conditions, but does not determine, judgment at the engagement level. Tan and Kao (1999), in the </w:t>
      </w:r>
      <w:r>
        <w:rPr>
          <w:i/>
        </w:rPr>
        <w:t>Journal of Accounting Research</w:t>
      </w:r>
      <w:r>
        <w:t>, supply complementary experimental evidence that accountability — the proximal mechanism through which inspection pressure operates — improves auditor performance only when the auditor possesses sufficient knowledge and problem-solving ability for the task, implying that guidance amplifies but does not substitute for capability.</w:t>
      </w:r>
    </w:p>
    <w:p>
      <w:r>
        <w:t xml:space="preserve">The literature is ambivalent about whether guidance changes judgment or merely changes documentation. On one hand, inspection risk raises accountability and can motivate the effortful reconsideration that overrides anchors (consistent with Kennedy, 1993; Tan &amp; Kao, 1999). On the other, standards can induce defensive, compliance-oriented documentation that leaves the underlying anchored judgment intact — auditors document </w:t>
      </w:r>
      <w:r>
        <w:rPr>
          <w:i/>
        </w:rPr>
        <w:t>more</w:t>
      </w:r>
      <w:r>
        <w:t xml:space="preserve"> without thinking </w:t>
      </w:r>
      <w:r>
        <w:rPr>
          <w:i/>
        </w:rPr>
        <w:t>differently</w:t>
      </w:r>
      <w:r>
        <w:t>. The construct therefore captures a regulatory-pressure mechanism whose effect on anchoring is plausibly positive but, as the inspection literature suggests, far from guaranteed — an empirical question the model is designed to answer.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Francis (2011) and Tan &amp; Kao (1999) have been integrated above. To deepen further, consider: DeFond &amp; Zhang's (2014) review of audit-research evidence on audit quality; PCAOB inspection-report syntheses; and Glover &amp; Prawitt on the documentation-vs-judgment trade-off.</w:t>
            </w:r>
          </w:p>
        </w:tc>
      </w:tr>
    </w:tbl>
    <w:p>
      <w:pPr>
        <w:spacing w:after="0"/>
      </w:pPr>
    </w:p>
    <w:p>
      <w:pPr>
        <w:pStyle w:val="Heading2"/>
      </w:pPr>
      <w:r>
        <w:t>2.11  Performance Metrics &amp; Incentives (PMI)</w:t>
      </w:r>
    </w:p>
    <w:p>
      <w:r>
        <w:t xml:space="preserve">Performance Metrics &amp; Incentives (PMI) refers to the evaluation criteria, rewards, and quality-aligned performance systems that determine what auditors are motivated to do — and therefore whether they invest the effort that System-2 debiasing requires. Bonner and Sprinkle (2002), in </w:t>
      </w:r>
      <w:r>
        <w:rPr>
          <w:i/>
        </w:rPr>
        <w:t>Accounting, Organizations and Society</w:t>
      </w:r>
      <w:r>
        <w:t xml:space="preserve">, provide the framework for how monetary incentives affect effort and task performance, and Libby and Lipe (1992), in the </w:t>
      </w:r>
      <w:r>
        <w:rPr>
          <w:i/>
        </w:rPr>
        <w:t>Journal of Accounting Research</w:t>
      </w:r>
      <w:r>
        <w:t xml:space="preserve">, show experimentally that incentives improve performance on accounting judgments </w:t>
      </w:r>
      <w:r>
        <w:rPr>
          <w:i/>
        </w:rPr>
        <w:t>only</w:t>
      </w:r>
      <w:r>
        <w:t xml:space="preserve"> for tasks and cognitive processes that are actually sensitive to effort. Knechel (2013) connects incentive and quality-control design to audit quality at the system level. The institutional-economics rationale for taking firm-level incentives seriously goes back to DeAngelo (1981), whose </w:t>
      </w:r>
      <w:r>
        <w:rPr>
          <w:i/>
        </w:rPr>
        <w:t>Journal of Accounting Economics</w:t>
      </w:r>
      <w:r>
        <w:t xml:space="preserve"> analysis shows that large audit firms have stronger incentives to deliver high quality because the loss of a single client imposes a smaller marginal cost on their reputation capital — making quality-aligned incentives endogenous to firm structure and not merely an evaluation-system design choice. Tan and Kao (1999) reinforce the effort-contingency from the experimental side: incentives and accountability raise performance specifically when the task is complex and the auditor has the knowledge to deploy the additional effort productively.</w:t>
      </w:r>
    </w:p>
    <w:p>
      <w:r>
        <w:t xml:space="preserve">This is the construct where the "effort" logic of dual-process theory is most explicit, and it carries a sharp contradiction. Because anchoring is partly automatic (Epley &amp; Gilovich, 2006; Strack &amp; Mussweiler, 1997), incentives that raise effort will reduce </w:t>
      </w:r>
      <w:r>
        <w:rPr>
          <w:i/>
        </w:rPr>
        <w:t>effort-sensitive</w:t>
      </w:r>
      <w:r>
        <w:t xml:space="preserve"> components of the bias but may leave </w:t>
      </w:r>
      <w:r>
        <w:rPr>
          <w:i/>
        </w:rPr>
        <w:t>automatic</w:t>
      </w:r>
      <w:r>
        <w:t xml:space="preserve"> components untouched — precisely Libby and Lipe's (1992) finding generalized to anchoring. Worse, incentives misaligned toward efficiency or client retention can </w:t>
      </w:r>
      <w:r>
        <w:rPr>
          <w:i/>
        </w:rPr>
        <w:t>strengthen</w:t>
      </w:r>
      <w:r>
        <w:t xml:space="preserve"> the prior-year anchor by rewarding speed and continuity over independent reconsideration. PMI is thus modeled as a motivational lever whose sign and magnitude depend on what, exactly, the metrics reward.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DeAngelo (1981) and Tan &amp; Kao (1999) have been integrated above. To deepen further, consider: McNamara &amp; Liyanarachchi on audit-quality-threatening behaviors; Coram, Glavovic, Ng, &amp; Woodliff on budget pressure; and Pierce &amp; Sweeney on time-budget effects on audit work.</w:t>
            </w:r>
          </w:p>
        </w:tc>
      </w:tr>
    </w:tbl>
    <w:p>
      <w:pPr>
        <w:spacing w:after="0"/>
      </w:pPr>
    </w:p>
    <w:p>
      <w:pPr>
        <w:pStyle w:val="Heading2"/>
      </w:pPr>
      <w:r>
        <w:t>2.12  Auditor Judgment Quality (AJQ) — Mediating Construct</w:t>
      </w:r>
    </w:p>
    <w:p>
      <w:r>
        <w:t xml:space="preserve">Auditor Judgment Quality (AJQ) is the first of two mediators and captures the </w:t>
      </w:r>
      <w:r>
        <w:rPr>
          <w:i/>
        </w:rPr>
        <w:t>cognitive</w:t>
      </w:r>
      <w:r>
        <w:t xml:space="preserve"> pathway of the model: the accuracy, objectivity, and evidential soundness of the judgment the auditor actually forms. Bonner (2008) provides the comprehensive treatment of judgment quality in accounting, and Libby and Luft (1993), in </w:t>
      </w:r>
      <w:r>
        <w:rPr>
          <w:i/>
        </w:rPr>
        <w:t>Accounting, Organizations and Society</w:t>
      </w:r>
      <w:r>
        <w:t xml:space="preserve">, supply the determinants-of-performance framework — ability, knowledge, motivation, and environment — that defines the conditions under which high-quality judgment emerges. Nelson and Tan (2005), in </w:t>
      </w:r>
      <w:r>
        <w:rPr>
          <w:i/>
        </w:rPr>
        <w:t>Auditing: A Journal of Practice &amp; Theory</w:t>
      </w:r>
      <w:r>
        <w:t xml:space="preserve">, review judgment-and-decision-making research in auditing and locate judgment quality as the proximal outcome that links auditor and task characteristics to audit quality. The fifty-year synthesis by Trotman, Tan, and Ang (2011), in </w:t>
      </w:r>
      <w:r>
        <w:rPr>
          <w:i/>
        </w:rPr>
        <w:t>Accounting &amp; Finance</w:t>
      </w:r>
      <w:r>
        <w:t xml:space="preserve">, surveys roughly 5,700 JDM-in-accounting papers and confirms that </w:t>
      </w:r>
      <w:r>
        <w:rPr>
          <w:i/>
        </w:rPr>
        <w:t>judgment quality</w:t>
      </w:r>
      <w:r>
        <w:t xml:space="preserve"> — operationalized variously through accuracy, consensus, consistency, and self-insight — has been the central dependent measure of the field, providing the empirical scaffolding on which the present mediator rests. Hurtt et al. (2013) further locate judgment quality at the proximal end of an antecedents-to-skepticism chain, in which interventions raise skeptical judgment quality which then improves audit outcomes — the same logic operationalized here through AJQ.</w:t>
      </w:r>
    </w:p>
    <w:p>
      <w:r>
        <w:t xml:space="preserve">AJQ is theorized as a mediator because most of the interventions in the model do not act on anchoring directly; they act by </w:t>
      </w:r>
      <w:r>
        <w:rPr>
          <w:i/>
        </w:rPr>
        <w:t>improving the judgment process</w:t>
      </w:r>
      <w:r>
        <w:t>, which in turn reduces the anchor's influence. Training, rotation, analytical tools, feedback, regulatory pressure, and incentives all plausibly raise the cognitive quality of the judgment — the deployment of knowledge, the engagement of effortful reasoning, the objectivity of the conclusion — and it is this improved judgment that is less anchored. The literature supports treating judgment quality as the cognitive mechanism through which cognitively oriented interventions reach the dependent variable.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Hurtt et al. (2013) and Trotman, Tan, &amp; Ang (2011) have been integrated above. To deepen further, consider: Quadackers, Groot, &amp; Wright on skepticism-as-trait vs. as-state; Nolder &amp; Kadous on skepticism mindset; and recent extensions of the Libby–Luft framework.</w:t>
            </w:r>
          </w:p>
        </w:tc>
      </w:tr>
    </w:tbl>
    <w:p>
      <w:pPr>
        <w:spacing w:after="0"/>
      </w:pPr>
    </w:p>
    <w:p>
      <w:pPr>
        <w:pStyle w:val="Heading2"/>
      </w:pPr>
      <w:r>
        <w:t>2.13  Audit Process Rigor (APR) — Mediating Construct</w:t>
      </w:r>
    </w:p>
    <w:p>
      <w:r>
        <w:t xml:space="preserve">Audit Process Rigor (APR) is the second mediator and captures the </w:t>
      </w:r>
      <w:r>
        <w:rPr>
          <w:i/>
        </w:rPr>
        <w:t>procedural</w:t>
      </w:r>
      <w:r>
        <w:t xml:space="preserve"> pathway: the thoroughness, consistency, and independence with which audit work is executed, irrespective of any single auditor's cognition. Nelson and Tan (2005) and Peecher, Solomon, and Trotman (2013), in </w:t>
      </w:r>
      <w:r>
        <w:rPr>
          <w:i/>
        </w:rPr>
        <w:t>Accounting, Organizations and Society</w:t>
      </w:r>
      <w:r>
        <w:t xml:space="preserve">, develop the view that audit quality is produced by the rigor of the process — the accountability structures, review, and disciplined execution — as much as by individual judgment. Knechel (2013) similarly frames standards and quality control as process attributes that determine outcomes. Francis (2011) makes the levels-of-analysis case explicitly in his </w:t>
      </w:r>
      <w:r>
        <w:rPr>
          <w:i/>
        </w:rPr>
        <w:t>Auditing: A Journal of Practice &amp; Theory</w:t>
      </w:r>
      <w:r>
        <w:t xml:space="preserve"> framework, distinguishing audit </w:t>
      </w:r>
      <w:r>
        <w:rPr>
          <w:i/>
        </w:rPr>
        <w:t>processes</w:t>
      </w:r>
      <w:r>
        <w:t xml:space="preserve"> from audit </w:t>
      </w:r>
      <w:r>
        <w:rPr>
          <w:i/>
        </w:rPr>
        <w:t>inputs</w:t>
      </w:r>
      <w:r>
        <w:t xml:space="preserve"> and from firm-level attributes as separate sources of variance in audit quality — supplying the strongest theoretical warrant for modeling process rigor as a mechanism distinct from individual judgment. Trotman et al. (2015) extend the procedural account to </w:t>
      </w:r>
      <w:r>
        <w:rPr>
          <w:i/>
        </w:rPr>
        <w:t>group</w:t>
      </w:r>
      <w:r>
        <w:t xml:space="preserve"> judgment-and-decision-making in auditing, documenting that hierarchical review, brainstorming, and consultation operate as structural processes whose rigor is partly independent of any single auditor's cognition.</w:t>
      </w:r>
    </w:p>
    <w:p>
      <w:r>
        <w:t xml:space="preserve">APR is theorized as the mechanism for the model's two </w:t>
      </w:r>
      <w:r>
        <w:rPr>
          <w:i/>
        </w:rPr>
        <w:t>structural</w:t>
      </w:r>
      <w:r>
        <w:t xml:space="preserve"> interventions — Structured Auditing Processes and Independent Reviews — because these operate less by changing what an individual auditor thinks and more by changing how the work is organized, ordered, and checked. A rigorous process reduces anchoring by mandating independent evidence evaluation, by re-ordering when the prior-year conclusion is consulted, and by inserting an uninvolved reviewer who does not share the anchor (Hogarth &amp; Einhorn, 1992; Trotman &amp; Yetton, 1985). Distinguishing the procedural pathway (APR) from the cognitive pathway (AJQ) is one of the model's contributions, because it allows the study to test </w:t>
      </w:r>
      <w:r>
        <w:rPr>
          <w:i/>
        </w:rPr>
        <w:t>how</w:t>
      </w:r>
      <w:r>
        <w:t xml:space="preserve"> — through judgment or through process — each intervention reaches the reduction in anchoring bias.</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Francis (2011) and Trotman, Bauer, &amp; Humphreys (2015) have been integrated above. To deepen further, consider: Aobdia on audit-quality measurement; Bell, Marrs, Solomon, &amp; Thomas on the strategic-systems audit; and Knechel, Krishnan, Pevzner, Shefchik, &amp; Velury's audit-quality framework synthesis.</w:t>
            </w:r>
          </w:p>
        </w:tc>
      </w:tr>
    </w:tbl>
    <w:p>
      <w:pPr>
        <w:spacing w:after="0"/>
      </w:pPr>
    </w:p>
    <w:p>
      <w:pPr>
        <w:pStyle w:val="Heading2"/>
      </w:pPr>
      <w:r>
        <w:t>2.14  Synthesis and the Research Gap</w:t>
      </w:r>
    </w:p>
    <w:p>
      <w:r>
        <w:t xml:space="preserve">Three conclusions follow from the literature reviewed above. First, anchoring bias is real, robust, and demonstrated specifically in auditor populations and audit tasks (Joyce &amp; Biddle, 1981; Kinney &amp; Uecker, 1982), and it is theoretically well understood as a System-1 mechanism that effortful, structured, independent reconsideration can override (Evans, 2008; Kahneman, 2011; Strack &amp; Mussweiler, 1997). Second, the profession possesses a recognizable toolkit of interventions — training, rotation, analytical tools, structured processes, feedback, independent review, regulatory guidance, and incentives — each with its own supporting literature </w:t>
      </w:r>
      <w:r>
        <w:rPr>
          <w:i/>
        </w:rPr>
        <w:t>and</w:t>
      </w:r>
      <w:r>
        <w:t xml:space="preserve"> its own documented contradictions, such that none can be assumed to reduce anchoring without qualification. Third, and most important, these interventions have been studied overwhelmingly </w:t>
      </w:r>
      <w:r>
        <w:rPr>
          <w:i/>
        </w:rPr>
        <w:t>in isolation</w:t>
      </w:r>
      <w:r>
        <w:t>: the literature offers many single-lever studies but no integrated, empirically validated model that estimates the eight interventions together and distinguishes the cognitive (AJQ) from the procedural (APR) pathway through which they act.</w:t>
      </w:r>
    </w:p>
    <w:p>
      <w:r>
        <w:t>This is the gap the study addresses. By specifying all eleven constructs in a single model and testing both direct and mediated effects, the research moves from a fragmented collection of single-intervention findings toward a coordinated, testable theory of anchoring-bias reduction in long-term engagements. The constructs introduced separately in this chapter become, in Chapter 3, the connected boxes and arrows of that model, and the contradictions surfaced here become the directional hypotheses the study will subject to empirical test.</w:t>
      </w:r>
    </w:p>
    <w:p>
      <w:pPr>
        <w:pStyle w:val="Heading1"/>
      </w:pPr>
      <w:r>
        <w:t>CHAPTER 3 — RESEARCH MODEL AND HYPOTHESES</w:t>
      </w:r>
    </w:p>
    <w:p>
      <w:pPr>
        <w:pStyle w:val="Heading2"/>
      </w:pPr>
      <w:r>
        <w:t>3.1  Introduction to the Chapter</w:t>
      </w:r>
    </w:p>
    <w:p>
      <w:r>
        <w:t xml:space="preserve">Chapter 2 examined each construct in isolation — what the literature establishes about training, rotation, analytical tools, structured processes, feedback, independent review, regulatory guidance, incentives, the two judgment-process mediators, and the dependent variable. This chapter connects them. Where Chapter 2 described the </w:t>
      </w:r>
      <w:r>
        <w:rPr>
          <w:i/>
        </w:rPr>
        <w:t>boxes</w:t>
      </w:r>
      <w:r>
        <w:t xml:space="preserve">, Chapter 3 specifies the </w:t>
      </w:r>
      <w:r>
        <w:rPr>
          <w:i/>
        </w:rPr>
        <w:t>arrows</w:t>
      </w:r>
      <w:r>
        <w:t>: the directional relationships the study will test. It first presents the integrated research model and its visual representation, then states the full set of hypotheses together, and finally develops each hypothesis individually — defining the originating construct, the receiving construct, the theoretical argument linking them, and the resulting directional prediction.</w:t>
      </w:r>
    </w:p>
    <w:p>
      <w:r>
        <w:t xml:space="preserve">The model is grounded in the dual-process lens selected in Section 2.2.6: each intervention is theorized to reduce anchoring by raising the probability that effortful, evidence-driven System-2 reasoning overrides the automatic System-1 pull of the prior-period anchor (Evans, 2008; Kahneman, 2011). Two pathways are distinguished. A </w:t>
      </w:r>
      <w:r>
        <w:rPr>
          <w:i/>
        </w:rPr>
        <w:t>cognitive</w:t>
      </w:r>
      <w:r>
        <w:t xml:space="preserve"> pathway runs through Auditor Judgment Quality (AJQ): interventions that improve the auditor's knowledge, objectivity, and reasoning produce better judgments that are, in turn, less anchored. A </w:t>
      </w:r>
      <w:r>
        <w:rPr>
          <w:i/>
        </w:rPr>
        <w:t>procedural</w:t>
      </w:r>
      <w:r>
        <w:t xml:space="preserve"> pathway runs through Audit Process Rigor (APR): interventions that change how the work is structured, ordered, and reviewed produce a more rigorous process that is, in turn, less anchored. Separating these pathways is a central contribution of the model, because it allows the study to test not only </w:t>
      </w:r>
      <w:r>
        <w:rPr>
          <w:i/>
        </w:rPr>
        <w:t>whether</w:t>
      </w:r>
      <w:r>
        <w:t xml:space="preserve"> an intervention reduces anchoring but </w:t>
      </w:r>
      <w:r>
        <w:rPr>
          <w:i/>
        </w:rPr>
        <w:t>how</w:t>
      </w:r>
      <w:r>
        <w:t xml:space="preserve"> it does so.</w:t>
      </w:r>
    </w:p>
    <w:p>
      <w:pPr>
        <w:pStyle w:val="Heading2"/>
      </w:pPr>
      <w:r>
        <w:t>3.2  The Research Model</w:t>
      </w:r>
    </w:p>
    <w:p>
      <w:r>
        <w:t xml:space="preserve">The model specifies eight audit-process interventions as independent variables (Training &amp; Awareness, Rotation of Auditors, Use of Analytical Tools, Structured Auditing Processes, Feedback &amp; Reflection, Independent Reviews, Regulatory &amp; Professional Guidance, and Performance Metrics &amp; Incentives), two mediators (Auditor Judgment Quality and Audit Process Rigor), and one dependent variable (Reduction in Anchoring Bias). Each intervention is hypothesized to exert a </w:t>
      </w:r>
      <w:r>
        <w:rPr>
          <w:i/>
        </w:rPr>
        <w:t>direct</w:t>
      </w:r>
      <w:r>
        <w:t xml:space="preserve"> effect on the reduction in anchoring bias and an </w:t>
      </w:r>
      <w:r>
        <w:rPr>
          <w:i/>
        </w:rPr>
        <w:t>indirect</w:t>
      </w:r>
      <w:r>
        <w:t xml:space="preserve"> (mediated) effect through one of the two mediators. Six interventions — TA, RA, AT, FR, RPG, and PMI — are theorized to act primarily through the cognitive pathway (AJQ), because their mechanism is the improvement of the individual judgment. Two interventions — SAP and IR — are theorized to act primarily through the procedural pathway (APR), because their mechanism is the restructuring and independent checking of the work itself. Figure 1 presents the model.</w:t>
      </w:r>
    </w:p>
    <w:p>
      <w:pPr>
        <w:jc w:val="center"/>
      </w:pPr>
    </w:p>
    <w:p>
      <w:r>
        <w:drawing>
          <wp:inline xmlns:a="http://schemas.openxmlformats.org/drawingml/2006/main" xmlns:pic="http://schemas.openxmlformats.org/drawingml/2006/picture">
            <wp:extent cx="5852160" cy="3886149"/>
            <wp:docPr id="1" name="Picture 1"/>
            <wp:cNvGraphicFramePr>
              <a:graphicFrameLocks noChangeAspect="1"/>
            </wp:cNvGraphicFramePr>
            <a:graphic>
              <a:graphicData uri="http://schemas.openxmlformats.org/drawingml/2006/picture">
                <pic:pic>
                  <pic:nvPicPr>
                    <pic:cNvPr id="0" name="Anchoring_Bias_Research_Model.png"/>
                    <pic:cNvPicPr/>
                  </pic:nvPicPr>
                  <pic:blipFill>
                    <a:blip r:embed="rId9"/>
                    <a:stretch>
                      <a:fillRect/>
                    </a:stretch>
                  </pic:blipFill>
                  <pic:spPr>
                    <a:xfrm>
                      <a:off x="0" y="0"/>
                      <a:ext cx="5852160" cy="3886149"/>
                    </a:xfrm>
                    <a:prstGeom prst="rect"/>
                  </pic:spPr>
                </pic:pic>
              </a:graphicData>
            </a:graphic>
          </wp:inline>
        </w:drawing>
      </w:r>
    </w:p>
    <w:p>
      <w:r>
        <w:rPr>
          <w:i/>
        </w:rPr>
        <w:t>Figure 1.</w:t>
      </w:r>
      <w:r>
        <w:t xml:space="preserve"> The research model. Solid arrows denote mediated paths (intervention → mediator → reduction in anchoring bias); dashed arrows denote the direct paths (intervention → reduction in anchoring bias) tested simultaneously. Hypothesis numbers are shown on the corresponding paths.</w:t>
      </w:r>
    </w:p>
    <w:p>
      <w:pPr>
        <w:pStyle w:val="Heading2"/>
      </w:pPr>
      <w:r>
        <w:t>3.3  Summary of Hypotheses</w:t>
      </w:r>
    </w:p>
    <w:p>
      <w:r>
        <w:t>The study tests sixteen hypotheses — eight direct effects and eight mediated effects — stated together here and developed individually in Section 3.4.</w:t>
      </w:r>
    </w:p>
    <w:p>
      <w:r>
        <w:rPr>
          <w:b/>
        </w:rPr>
        <w:t>Direct effects on the Reduction in Anchoring Bias (RAB):</w:t>
      </w:r>
    </w:p>
    <w:p>
      <w:pPr>
        <w:pStyle w:val="ListBullet"/>
      </w:pPr>
      <w:r>
        <w:rPr>
          <w:b/>
        </w:rPr>
        <w:t>H1.</w:t>
      </w:r>
      <w:r>
        <w:t xml:space="preserve"> Training &amp; Awareness is positively associated with the Reduction in Anchoring Bias.</w:t>
      </w:r>
    </w:p>
    <w:p>
      <w:pPr>
        <w:pStyle w:val="ListBullet"/>
      </w:pPr>
      <w:r>
        <w:rPr>
          <w:b/>
        </w:rPr>
        <w:t>H3.</w:t>
      </w:r>
      <w:r>
        <w:t xml:space="preserve"> Rotation of Auditors is positively associated with the Reduction in Anchoring Bias.</w:t>
      </w:r>
    </w:p>
    <w:p>
      <w:pPr>
        <w:pStyle w:val="ListBullet"/>
      </w:pPr>
      <w:r>
        <w:rPr>
          <w:b/>
        </w:rPr>
        <w:t>H5.</w:t>
      </w:r>
      <w:r>
        <w:t xml:space="preserve"> Use of Analytical Tools is positively associated with the Reduction in Anchoring Bias.</w:t>
      </w:r>
    </w:p>
    <w:p>
      <w:pPr>
        <w:pStyle w:val="ListBullet"/>
      </w:pPr>
      <w:r>
        <w:rPr>
          <w:b/>
        </w:rPr>
        <w:t>H7.</w:t>
      </w:r>
      <w:r>
        <w:t xml:space="preserve"> Structured Auditing Processes are positively associated with the Reduction in Anchoring Bias.</w:t>
      </w:r>
    </w:p>
    <w:p>
      <w:pPr>
        <w:pStyle w:val="ListBullet"/>
      </w:pPr>
      <w:r>
        <w:rPr>
          <w:b/>
        </w:rPr>
        <w:t>H9.</w:t>
      </w:r>
      <w:r>
        <w:t xml:space="preserve"> Feedback &amp; Reflection is positively associated with the Reduction in Anchoring Bias.</w:t>
      </w:r>
    </w:p>
    <w:p>
      <w:pPr>
        <w:pStyle w:val="ListBullet"/>
      </w:pPr>
      <w:r>
        <w:rPr>
          <w:b/>
        </w:rPr>
        <w:t>H11.</w:t>
      </w:r>
      <w:r>
        <w:t xml:space="preserve"> Independent Reviews are positively associated with the Reduction in Anchoring Bias.</w:t>
      </w:r>
    </w:p>
    <w:p>
      <w:pPr>
        <w:pStyle w:val="ListBullet"/>
      </w:pPr>
      <w:r>
        <w:rPr>
          <w:b/>
        </w:rPr>
        <w:t>H13.</w:t>
      </w:r>
      <w:r>
        <w:t xml:space="preserve"> Regulatory &amp; Professional Guidance is positively associated with the Reduction in Anchoring Bias.</w:t>
      </w:r>
    </w:p>
    <w:p>
      <w:pPr>
        <w:pStyle w:val="ListBullet"/>
      </w:pPr>
      <w:r>
        <w:rPr>
          <w:b/>
        </w:rPr>
        <w:t>H15.</w:t>
      </w:r>
      <w:r>
        <w:t xml:space="preserve"> Performance Metrics &amp; Incentives are positively associated with the Reduction in Anchoring Bias.</w:t>
      </w:r>
    </w:p>
    <w:p>
      <w:r>
        <w:rPr>
          <w:b/>
        </w:rPr>
        <w:t>Mediated (indirect) effects:</w:t>
      </w:r>
    </w:p>
    <w:p>
      <w:pPr>
        <w:pStyle w:val="ListBullet"/>
      </w:pPr>
      <w:r>
        <w:rPr>
          <w:b/>
        </w:rPr>
        <w:t>H2.</w:t>
      </w:r>
      <w:r>
        <w:t xml:space="preserve"> Auditor Judgment Quality mediates the relationship between Training &amp; Awareness and the Reduction in Anchoring Bias.</w:t>
      </w:r>
    </w:p>
    <w:p>
      <w:pPr>
        <w:pStyle w:val="ListBullet"/>
      </w:pPr>
      <w:r>
        <w:rPr>
          <w:b/>
        </w:rPr>
        <w:t>H4.</w:t>
      </w:r>
      <w:r>
        <w:t xml:space="preserve"> Auditor Judgment Quality mediates the relationship between Rotation of Auditors and the Reduction in Anchoring Bias.</w:t>
      </w:r>
    </w:p>
    <w:p>
      <w:pPr>
        <w:pStyle w:val="ListBullet"/>
      </w:pPr>
      <w:r>
        <w:rPr>
          <w:b/>
        </w:rPr>
        <w:t>H6.</w:t>
      </w:r>
      <w:r>
        <w:t xml:space="preserve"> Auditor Judgment Quality mediates the relationship between Use of Analytical Tools and the Reduction in Anchoring Bias.</w:t>
      </w:r>
    </w:p>
    <w:p>
      <w:pPr>
        <w:pStyle w:val="ListBullet"/>
      </w:pPr>
      <w:r>
        <w:rPr>
          <w:b/>
        </w:rPr>
        <w:t>H8.</w:t>
      </w:r>
      <w:r>
        <w:t xml:space="preserve"> Audit Process Rigor mediates the relationship between Structured Auditing Processes and the Reduction in Anchoring Bias.</w:t>
      </w:r>
    </w:p>
    <w:p>
      <w:pPr>
        <w:pStyle w:val="ListBullet"/>
      </w:pPr>
      <w:r>
        <w:rPr>
          <w:b/>
        </w:rPr>
        <w:t>H10.</w:t>
      </w:r>
      <w:r>
        <w:t xml:space="preserve"> Auditor Judgment Quality mediates the relationship between Feedback &amp; Reflection and the Reduction in Anchoring Bias.</w:t>
      </w:r>
    </w:p>
    <w:p>
      <w:pPr>
        <w:pStyle w:val="ListBullet"/>
      </w:pPr>
      <w:r>
        <w:rPr>
          <w:b/>
        </w:rPr>
        <w:t>H12.</w:t>
      </w:r>
      <w:r>
        <w:t xml:space="preserve"> Audit Process Rigor mediates the relationship between Independent Reviews and the Reduction in Anchoring Bias.</w:t>
      </w:r>
    </w:p>
    <w:p>
      <w:pPr>
        <w:pStyle w:val="ListBullet"/>
      </w:pPr>
      <w:r>
        <w:rPr>
          <w:b/>
        </w:rPr>
        <w:t>H14.</w:t>
      </w:r>
      <w:r>
        <w:t xml:space="preserve"> Auditor Judgment Quality mediates the relationship between Regulatory &amp; Professional Guidance and the Reduction in Anchoring Bias.</w:t>
      </w:r>
    </w:p>
    <w:p>
      <w:pPr>
        <w:pStyle w:val="ListBullet"/>
      </w:pPr>
      <w:r>
        <w:rPr>
          <w:b/>
        </w:rPr>
        <w:t>H16.</w:t>
      </w:r>
      <w:r>
        <w:t xml:space="preserve"> Auditor Judgment Quality mediates the relationship between Performance Metrics &amp; Incentives and the Reduction in Anchoring Bias.</w:t>
      </w:r>
    </w:p>
    <w:p>
      <w:pPr>
        <w:pStyle w:val="Heading2"/>
      </w:pPr>
      <w:r>
        <w:t>3.4  Hypothesis Development</w:t>
      </w:r>
    </w:p>
    <w:p>
      <w:pPr>
        <w:pStyle w:val="Heading3"/>
      </w:pPr>
      <w:r>
        <w:t>3.4.1  The Relationship of Training &amp; Awareness and the Reduction in Anchoring Bias</w:t>
      </w:r>
    </w:p>
    <w:p>
      <w:r>
        <w:t xml:space="preserve">Training &amp; Awareness is structured instruction that makes auditors aware of cognitive bias and equips them with executable debiasing strategies (Earley, 2001). The Reduction in Anchoring Bias is the extent to which judgments adjust adequately away from prior-period anchors toward independent evidence (Tversky &amp; Kahneman, 1974). The argument linking them is that training installs both the recognition that prior-year balances function as anchors and a concrete countermeasure — such as forming an independent expectation before consulting the prior-year figure — that converts automatic anchoring into deliberate reconsideration. Earley (2001) showed that structured, feedback-rich instruction improves auditor judgment performance, and Bonner and Walker (1994) demonstrated that instruction paired with practice produces the durable procedural knowledge such a countermeasure requires. The debiasing literature qualifies this by warning that mere awareness is insufficient (Furnham &amp; Boo, 2011), implying that the effect operates through trained </w:t>
      </w:r>
      <w:r>
        <w:rPr>
          <w:i/>
        </w:rPr>
        <w:t>process</w:t>
      </w:r>
      <w:r>
        <w:t>, not bare knowledge. On balance, trained auditors should exhibit less anchoring than untrained auditors. Thus, Hypothesis 1 states that Training &amp; Awareness is positively associated with the Reduction in Anchoring Bias.</w:t>
      </w:r>
    </w:p>
    <w:p>
      <w:pPr>
        <w:pStyle w:val="Heading3"/>
      </w:pPr>
      <w:r>
        <w:t>3.4.2  Training &amp; Awareness, Auditor Judgment Quality, and the Reduction in Anchoring Bias</w:t>
      </w:r>
    </w:p>
    <w:p>
      <w:r>
        <w:t xml:space="preserve">This hypothesis specifies the cognitive mechanism behind H1. Auditor Judgment Quality is the accuracy, objectivity, and evidential soundness of the judgment the auditor forms (Bonner, 2008; Libby &amp; Luft, 1993). The argument is that training does not reduce anchoring in some mysterious direct way; it does so by </w:t>
      </w:r>
      <w:r>
        <w:rPr>
          <w:i/>
        </w:rPr>
        <w:t>raising judgment quality</w:t>
      </w:r>
      <w:r>
        <w:t xml:space="preserve"> — strengthening the knowledge and reasoning the auditor brings to the task — and it is this higher-quality judgment that resists the anchor. In Libby and Luft's (1993) determinants framework, training increases knowledge, a proximal cause of judgment performance; improved judgment performance then manifests as reduced anchoring. This positions AJQ as the variable through which training's effect flows. Thus, Hypothesis 2 states that Auditor Judgment Quality mediates the relationship between Training &amp; Awareness and the Reduction in Anchoring Bias, such that training improves judgment quality, which in turn reduces anchoring bias.</w:t>
      </w:r>
    </w:p>
    <w:p>
      <w:pPr>
        <w:pStyle w:val="Heading3"/>
      </w:pPr>
      <w:r>
        <w:t>3.4.3  The Relationship of Rotation of Auditors and the Reduction in Anchoring Bias</w:t>
      </w:r>
    </w:p>
    <w:p>
      <w:r>
        <w:t>Rotation of Auditors is the periodic reassignment of audit personnel that disrupts relational and informational lock-in on a long-term engagement (Arel et al., 2005; Chi et al., 2009). Because anchoring on a long-term client is fed by accumulated prior-year conclusions and relationship-based deference, an auditor newly rotated onto the engagement carries no self-generated prior-year anchor and no familiarity-based trust in management's explanations. Chi et al. (2009) and Chen et al. (2016) link tenure and rotation to reporting outcomes, and the "fresh-look" logic predicts that rotation reduces anchoring. The relationship is, however, contested: Bowlin et al. (2015) found that rotation can lower audit effort among already-skeptical auditors, partially offsetting the fresh-look benefit. The model therefore predicts a positive but potentially attenuated effect, to be estimated alongside the other interventions. Thus, Hypothesis 3 states that Rotation of Auditors is positively associated with the Reduction in Anchoring Bias.</w:t>
      </w:r>
    </w:p>
    <w:p>
      <w:pPr>
        <w:pStyle w:val="Heading3"/>
      </w:pPr>
      <w:r>
        <w:t>3.4.4  Rotation of Auditors, Auditor Judgment Quality, and the Reduction in Anchoring Bias</w:t>
      </w:r>
    </w:p>
    <w:p>
      <w:r>
        <w:t xml:space="preserve">The mediated argument is that rotation reduces anchoring chiefly by improving the </w:t>
      </w:r>
      <w:r>
        <w:rPr>
          <w:i/>
        </w:rPr>
        <w:t>objectivity</w:t>
      </w:r>
      <w:r>
        <w:t xml:space="preserve"> component of judgment quality. A rotated auditor evaluates evidence with less client identification (Bamber &amp; Iyer, 2007) and without the prior-year conclusion as a cognitive starting point, which raises the objectivity and independence of the judgment formed (Bonner, 2008; Nelson &amp; Tan, 2005). That higher-quality, more objective judgment is then less anchored. AJQ, not a direct cognitive jolt, is the conduit. Thus, Hypothesis 4 states that Auditor Judgment Quality mediates the relationship between Rotation of Auditors and the Reduction in Anchoring Bias.</w:t>
      </w:r>
    </w:p>
    <w:p>
      <w:pPr>
        <w:pStyle w:val="Heading3"/>
      </w:pPr>
      <w:r>
        <w:t>3.4.5  The Relationship of Use of Analytical Tools and the Reduction in Anchoring Bias</w:t>
      </w:r>
    </w:p>
    <w:p>
      <w:r>
        <w:t>Use of Analytical Tools comprises data-analytics, visualization, and anomaly-detection technologies that surface current-period patterns and outliers (Yoon et al., 2015). Their anti-anchoring mechanism is attentional: by foregrounding anomalies and non-financial indicators inconsistent with the reported figures, the tools confront the auditor with disconfirming evidence that the prior-year anchor would otherwise suppress (Brazel et al., 2014; Trompeter &amp; Wright, 2010). The selective-accessibility account predicts that surfacing anchor-inconsistent information is precisely what dislodges the anchor (Strack &amp; Mussweiler, 1997). The qualification (Asare &amp; Wright, 2004) is that a tool presenting a salient default or prior-year benchmark can itself re-anchor; net effect is therefore an empirical question, predicted positive. Thus, Hypothesis 5 states that Use of Analytical Tools is positively associated with the Reduction in Anchoring Bias.</w:t>
      </w:r>
    </w:p>
    <w:p>
      <w:pPr>
        <w:pStyle w:val="Heading3"/>
      </w:pPr>
      <w:r>
        <w:t>3.4.6  Use of Analytical Tools, Auditor Judgment Quality, and the Reduction in Anchoring Bias</w:t>
      </w:r>
    </w:p>
    <w:p>
      <w:r>
        <w:t xml:space="preserve">The mediated path holds that analytical tools improve the </w:t>
      </w:r>
      <w:r>
        <w:rPr>
          <w:i/>
        </w:rPr>
        <w:t>evidential soundness</w:t>
      </w:r>
      <w:r>
        <w:t xml:space="preserve"> of the auditor's judgment — expanding and sharpening the evidence base on which the judgment rests (Yoon et al., 2015) — and that this higher-quality, better-evidenced judgment is what resists the anchor. The tool does not bypass cognition; it feeds better inputs into it, raising AJQ, which in turn reduces anchoring. Thus, Hypothesis 6 states that Auditor Judgment Quality mediates the relationship between Use of Analytical Tools and the Reduction in Anchoring Bias.</w:t>
      </w:r>
    </w:p>
    <w:p>
      <w:pPr>
        <w:pStyle w:val="Heading3"/>
      </w:pPr>
      <w:r>
        <w:t>3.4.7  The Relationship of Structured Auditing Processes and the Reduction in Anchoring Bias</w:t>
      </w:r>
    </w:p>
    <w:p>
      <w:r>
        <w:t xml:space="preserve">Structured Auditing Processes are standardized procedures, decision aids, and documentation templates that prescribe the sequence and content of audit work (Dowling &amp; Leech, 2007). Their anti-anchoring mechanism is to mandate independent evidence evaluation and to govern the </w:t>
      </w:r>
      <w:r>
        <w:rPr>
          <w:i/>
        </w:rPr>
        <w:t>order</w:t>
      </w:r>
      <w:r>
        <w:t xml:space="preserve"> in which evidence is considered, so that the auditor forms a view from current evidence before the prior-year conclusion is consulted — directly countering the belief-adjustment dynamics that entrench an anchor (Hogarth &amp; Einhorn, 1992). Structure can suppress heuristic shortcuts (Bonner, 2008), though over-structuring risks mechanical compliance that leaves thinking unchanged. The predicted net effect is positive. Thus, Hypothesis 7 states that Structured Auditing Processes are positively associated with the Reduction in Anchoring Bias.</w:t>
      </w:r>
    </w:p>
    <w:p>
      <w:pPr>
        <w:pStyle w:val="Heading3"/>
      </w:pPr>
      <w:r>
        <w:t>3.4.8  Structured Auditing Processes, Audit Process Rigor, and the Reduction in Anchoring Bias</w:t>
      </w:r>
    </w:p>
    <w:p>
      <w:r>
        <w:t xml:space="preserve">Unlike the cognitively routed interventions, structure acts primarily on the </w:t>
      </w:r>
      <w:r>
        <w:rPr>
          <w:i/>
        </w:rPr>
        <w:t>process</w:t>
      </w:r>
      <w:r>
        <w:t>, so its mediator is Audit Process Rigor — the thoroughness, consistency, and independence of execution (Nelson &amp; Tan, 2005; Peecher et al., 2013). The argument is that structured procedures raise process rigor — enforcing disciplined, ordered, independently grounded execution — and that a more rigorous process is what reduces anchoring, independent of any change in an individual's cognition. APR is therefore the appropriate conduit for structure's effect. Thus, Hypothesis 8 states that Audit Process Rigor mediates the relationship between Structured Auditing Processes and the Reduction in Anchoring Bias.</w:t>
      </w:r>
    </w:p>
    <w:p>
      <w:pPr>
        <w:pStyle w:val="Heading3"/>
      </w:pPr>
      <w:r>
        <w:t>3.4.9  The Relationship of Feedback &amp; Reflection and the Reduction in Anchoring Bias</w:t>
      </w:r>
    </w:p>
    <w:p>
      <w:r>
        <w:t xml:space="preserve">Feedback &amp; Reflection comprises post-task debriefs, process feedback, and structured reflection through which auditors recognize and correct their own judgment tendencies (Bamber &amp; Iyer, 2007; Bonner &amp; Walker, 1994). The mechanism is metacognitive: feedback that compares the auditor's judgment against independent evidence (rather than against the anchor) raises effortful reconsideration and exposes insufficient adjustment, which Kennedy (1993) shows reduces effort-related biases. The qualification is that audit feedback is often delayed or absent, so the effect depends on </w:t>
      </w:r>
      <w:r>
        <w:rPr>
          <w:i/>
        </w:rPr>
        <w:t>process</w:t>
      </w:r>
      <w:r>
        <w:t xml:space="preserve"> feedback being available and usable. Predicted positive. Thus, Hypothesis 9 states that Feedback &amp; Reflection is positively associated with the Reduction in Anchoring Bias.</w:t>
      </w:r>
    </w:p>
    <w:p>
      <w:pPr>
        <w:pStyle w:val="Heading3"/>
      </w:pPr>
      <w:r>
        <w:t>3.4.10  Feedback &amp; Reflection, Auditor Judgment Quality, and the Reduction in Anchoring Bias</w:t>
      </w:r>
    </w:p>
    <w:p>
      <w:r>
        <w:t>The mediated argument is that feedback and reflection improve judgment quality over time — building the calibrated knowledge and self-correction that Bonner and Walker (1994) tie to feedback — and that this improved judgment is less anchored. Reflection operates on cognition, raising AJQ, which carries the effect to the reduction in anchoring. Thus, Hypothesis 10 states that Auditor Judgment Quality mediates the relationship between Feedback &amp; Reflection and the Reduction in Anchoring Bias.</w:t>
      </w:r>
    </w:p>
    <w:p>
      <w:pPr>
        <w:pStyle w:val="Heading3"/>
      </w:pPr>
      <w:r>
        <w:t>3.4.11  The Relationship of Independent Reviews and the Reduction in Anchoring Bias</w:t>
      </w:r>
    </w:p>
    <w:p>
      <w:r>
        <w:t>Independent Reviews are examinations of audit work by a second, uninvolved auditor who did not form the original judgment (DeFond &amp; Francis, 2005; Trotman &amp; Yetton, 1985). The mechanism is the strongest in the model on selective-accessibility grounds: a reviewer not primed by the original anchor can surface anchor-inconsistent evidence and catch insufficient adjustment (Strack &amp; Mussweiler, 1997). Trotman and Yetton (1985) showed reviewed judgments outperform individual ones, and Ramsay (1994) showed review quality rises with reviewer expertise. The effect holds to the extent the review is genuinely independent of the preparer's documented conclusion. Predicted positive. Thus, Hypothesis 11 states that Independent Reviews are positively associated with the Reduction in Anchoring Bias.</w:t>
      </w:r>
    </w:p>
    <w:p>
      <w:pPr>
        <w:pStyle w:val="Heading3"/>
      </w:pPr>
      <w:r>
        <w:t>3.4.12  Independent Reviews, Audit Process Rigor, and the Reduction in Anchoring Bias</w:t>
      </w:r>
    </w:p>
    <w:p>
      <w:r>
        <w:t xml:space="preserve">Like structure, independent review is a </w:t>
      </w:r>
      <w:r>
        <w:rPr>
          <w:i/>
        </w:rPr>
        <w:t>structural</w:t>
      </w:r>
      <w:r>
        <w:t xml:space="preserve"> intervention, so its mediator is Audit Process Rigor. The argument is that review raises the rigor of the overall process — inserting an independent checkpoint that enforces thoroughness and consistency (Peecher et al., 2013; Trotman &amp; Yetton, 1985) — and that this more rigorous process reduces anchoring, irrespective of the original preparer's cognition. APR is the conduit. Thus, Hypothesis 12 states that Audit Process Rigor mediates the relationship between Independent Reviews and the Reduction in Anchoring Bias.</w:t>
      </w:r>
    </w:p>
    <w:p>
      <w:pPr>
        <w:pStyle w:val="Heading3"/>
      </w:pPr>
      <w:r>
        <w:t>3.4.13  The Relationship of Regulatory &amp; Professional Guidance and the Reduction in Anchoring Bias</w:t>
      </w:r>
    </w:p>
    <w:p>
      <w:r>
        <w:t>Regulatory &amp; Professional Guidance comprises the standards, inspection regimes, and professional requirements that constrain auditor discretion (Knechel, 2013; PCAOB, 2015). The mechanism is accountability: inspection risk and explicit skepticism mandates raise the auditor's motivation to perform the effortful reconsideration that overrides anchors (Kennedy, 1993), and inspection findings repeatedly target the estimate-anchoring territory the guidance is meant to discipline (Church &amp; Shefchik, 2012). The countervailing risk is that guidance induces defensive documentation rather than changed judgment. Predicted positive. Thus, Hypothesis 13 states that Regulatory &amp; Professional Guidance is positively associated with the Reduction in Anchoring Bias.</w:t>
      </w:r>
    </w:p>
    <w:p>
      <w:pPr>
        <w:pStyle w:val="Heading3"/>
      </w:pPr>
      <w:r>
        <w:t>3.4.14  Regulatory &amp; Professional Guidance, Auditor Judgment Quality, and the Reduction in Anchoring Bias</w:t>
      </w:r>
    </w:p>
    <w:p>
      <w:r>
        <w:t>The mediated argument is that regulatory pressure works on anchoring by elevating judgment quality — raising the motivation component of Libby and Luft's (1993) framework so that auditors deploy more knowledge and effort, producing more defensible, less-anchored judgments (Bonner, 2008). The pressure is external, but its effect on the bias runs through the improved judgment, making AJQ the mediator. Thus, Hypothesis 14 states that Auditor Judgment Quality mediates the relationship between Regulatory &amp; Professional Guidance and the Reduction in Anchoring Bias.</w:t>
      </w:r>
    </w:p>
    <w:p>
      <w:pPr>
        <w:pStyle w:val="Heading3"/>
      </w:pPr>
      <w:r>
        <w:t>3.4.15  The Relationship of Performance Metrics &amp; Incentives and the Reduction in Anchoring Bias</w:t>
      </w:r>
    </w:p>
    <w:p>
      <w:r>
        <w:t xml:space="preserve">Performance Metrics &amp; Incentives are the evaluation criteria and rewards that determine what auditors are motivated to do (Bonner &amp; Sprinkle, 2002; Libby &amp; Lipe, 1992). The mechanism is effort: quality-aligned incentives raise the effort auditors invest, and Libby and Lipe (1992) show incentives improve performance specifically on effort-sensitive cognitive processes — which includes the deliberate adjustment that counters anchoring. The sharp qualification is that incentives misaligned toward efficiency or client retention can </w:t>
      </w:r>
      <w:r>
        <w:rPr>
          <w:i/>
        </w:rPr>
        <w:t>strengthen</w:t>
      </w:r>
      <w:r>
        <w:t xml:space="preserve"> the prior-year anchor; the sign of the effect depends on what the metrics reward. Predicted positive when quality-aligned. Thus, Hypothesis 15 states that Performance Metrics &amp; Incentives are positively associated with the Reduction in Anchoring Bias.</w:t>
      </w:r>
    </w:p>
    <w:p>
      <w:pPr>
        <w:pStyle w:val="Heading3"/>
      </w:pPr>
      <w:r>
        <w:t>3.4.16  Performance Metrics &amp; Incentives, Auditor Judgment Quality, and the Reduction in Anchoring Bias</w:t>
      </w:r>
    </w:p>
    <w:p>
      <w:r>
        <w:t>The mediated path holds that quality-aligned incentives reduce anchoring by raising judgment quality — motivating the effortful, knowledge-deploying reasoning that produces better judgments (Bonner &amp; Sprinkle, 2002; Libby &amp; Lipe, 1992) — and that these higher-quality judgments are less anchored. Incentives change motivation, motivation raises AJQ, and AJQ reduces anchoring. Thus, Hypothesis 16 states that Auditor Judgment Quality mediates the relationship between Performance Metrics &amp; Incentives and the Reduction in Anchoring Bias.</w:t>
      </w:r>
    </w:p>
    <w:p>
      <w:pPr>
        <w:pStyle w:val="Heading2"/>
      </w:pPr>
      <w:r>
        <w:t>3.5  Conclusion to the Chapter</w:t>
      </w:r>
    </w:p>
    <w:p>
      <w:r>
        <w:t>This chapter translated the eleven separately reviewed constructs into a single, testable model. It presented the research model and its figure, stated the sixteen hypotheses together, and developed each as a relationship between an originating construct and a receiving construct, grounded in the dual-process lens and the supporting audit and judgment-and-decision-making literatures. The eight direct hypotheses (H1, H3, H5, H7, H9, H11, H13, H15) predict that each intervention reduces anchoring bias; the eight mediated hypotheses (H2, H4, H6, H8, H10, H12, H14, H16) specify the pathway — cognitive (AJQ) for the six judgment-oriented interventions and procedural (APR) for the two structural interventions. Chapter 4 operationalizes these constructs in a measurement instrument and specifies the exploratory-factor-analytic and mediation procedures through which the hypotheses will be tested.</w:t>
      </w:r>
    </w:p>
    <w:p>
      <w:pPr>
        <w:pStyle w:val="Heading1"/>
      </w:pPr>
      <w:r>
        <w:t>APPENDIX A — MEASUREMENT INSTRUMENT (DRAFT FOR REVIEW)</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Reconciliation note.</w:t>
            </w:r>
            <w:r>
              <w:t xml:space="preserve"> The items below operationalize the eleven constructs at five items per factor (within the 5–8 items-per-factor EFA guidance in Section 4). They are provided so the instrument is visible in the paper, as requested. </w:t>
            </w:r>
            <w:r>
              <w:rPr>
                <w:b/>
              </w:rPr>
              <w:t>Before fielding, reconcile these against the IRB-approved instrument already on file (IRB-25-0462);</w:t>
            </w:r>
            <w:r>
              <w:t xml:space="preserve"> where the approved instrument differs, the approved wording governs, and any new item must be cleared as a non-substantive change or amendment. Items marked </w:t>
            </w:r>
            <w:r>
              <w:rPr>
                <w:b/>
              </w:rPr>
              <w:t>(R)</w:t>
            </w:r>
            <w:r>
              <w:t xml:space="preserve"> are reverse-coded; two attention checks are embedded.</w:t>
            </w:r>
          </w:p>
        </w:tc>
      </w:tr>
    </w:tbl>
    <w:p>
      <w:pPr>
        <w:spacing w:after="0"/>
      </w:pPr>
    </w:p>
    <w:p>
      <w:r>
        <w:rPr>
          <w:b/>
        </w:rPr>
        <w:t>Response scale (all construct items).</w:t>
      </w:r>
      <w:r>
        <w:t xml:space="preserve"> 5-point Likert: 1 = Strongly disagree, 2 = Disagree, 3 = Neither agree nor disagree, 4 = Agree, 5 = Strongly agree.</w:t>
      </w:r>
    </w:p>
    <w:p>
      <w:r>
        <w:rPr>
          <w:b/>
        </w:rPr>
        <w:t>A.1  Training &amp; Awareness (TA)</w:t>
      </w:r>
    </w:p>
    <w:p>
      <w:pPr>
        <w:pStyle w:val="ListNumber"/>
      </w:pPr>
      <w:r>
        <w:t>My firm provides specific training on cognitive biases (such as anchoring) that can affect audit judgments.</w:t>
      </w:r>
    </w:p>
    <w:p>
      <w:pPr>
        <w:pStyle w:val="ListNumber"/>
      </w:pPr>
      <w:r>
        <w:t>I have been taught concrete techniques for avoiding over-reliance on prior-year figures.</w:t>
      </w:r>
    </w:p>
    <w:p>
      <w:pPr>
        <w:pStyle w:val="ListNumber"/>
      </w:pPr>
      <w:r>
        <w:t>Training in my firm includes practice exercises with feedback, not only lectures.</w:t>
      </w:r>
    </w:p>
    <w:p>
      <w:pPr>
        <w:pStyle w:val="ListNumber"/>
      </w:pPr>
      <w:r>
        <w:t>(R) I have received little or no training on how initial reference points can distort judgment.</w:t>
      </w:r>
    </w:p>
    <w:p>
      <w:pPr>
        <w:pStyle w:val="ListNumber"/>
      </w:pPr>
      <w:r>
        <w:t>I feel well prepared to recognize when an anchor is influencing my conclusion.</w:t>
      </w:r>
    </w:p>
    <w:p>
      <w:r>
        <w:rPr>
          <w:b/>
        </w:rPr>
        <w:t>A.2  Rotation of Auditors (RA)</w:t>
      </w:r>
    </w:p>
    <w:p>
      <w:pPr>
        <w:pStyle w:val="ListNumber"/>
      </w:pPr>
      <w:r>
        <w:t>Personnel on my long-term engagements are rotated on a regular schedule.</w:t>
      </w:r>
    </w:p>
    <w:p>
      <w:pPr>
        <w:pStyle w:val="ListNumber"/>
      </w:pPr>
      <w:r>
        <w:t>Rotation in my firm is frequent enough to bring a "fresh look" to recurring clients.</w:t>
      </w:r>
    </w:p>
    <w:p>
      <w:pPr>
        <w:pStyle w:val="ListNumber"/>
      </w:pPr>
      <w:r>
        <w:t>When I join a continuing engagement, I form my own view before reading prior auditors' conclusions.</w:t>
      </w:r>
    </w:p>
    <w:p>
      <w:pPr>
        <w:pStyle w:val="ListNumber"/>
      </w:pPr>
      <w:r>
        <w:t>(R) The same individuals remain on my engagements for many years without change.</w:t>
      </w:r>
    </w:p>
    <w:p>
      <w:pPr>
        <w:pStyle w:val="ListNumber"/>
      </w:pPr>
      <w:r>
        <w:t>Rotation policies in my firm meaningfully reduce over-familiarity with clients.</w:t>
      </w:r>
    </w:p>
    <w:p>
      <w:r>
        <w:rPr>
          <w:b/>
        </w:rPr>
        <w:t>A.3  Use of Analytical Tools (AT)</w:t>
      </w:r>
    </w:p>
    <w:p>
      <w:pPr>
        <w:pStyle w:val="ListNumber"/>
      </w:pPr>
      <w:r>
        <w:t>I routinely use data-analytics tools that flag anomalies in client data.</w:t>
      </w:r>
    </w:p>
    <w:p>
      <w:pPr>
        <w:pStyle w:val="ListNumber"/>
      </w:pPr>
      <w:r>
        <w:t>Visualization tools help me notice patterns that differ from prior-year expectations.</w:t>
      </w:r>
    </w:p>
    <w:p>
      <w:pPr>
        <w:pStyle w:val="ListNumber"/>
      </w:pPr>
      <w:r>
        <w:t>The analytical tools I use draw on data beyond the client's own ledgers.</w:t>
      </w:r>
    </w:p>
    <w:p>
      <w:pPr>
        <w:pStyle w:val="ListNumber"/>
      </w:pPr>
      <w:r>
        <w:t>(R) I rely mainly on prior-year workpapers rather than on current-period analytics.</w:t>
      </w:r>
    </w:p>
    <w:p>
      <w:pPr>
        <w:pStyle w:val="ListNumber"/>
      </w:pPr>
      <w:r>
        <w:t>The tools I use prompt me to investigate items that contradict my expectations.</w:t>
      </w:r>
    </w:p>
    <w:p>
      <w:r>
        <w:rPr>
          <w:b/>
        </w:rPr>
        <w:t>A.4  Structured Auditing Processes (SAP)</w:t>
      </w:r>
    </w:p>
    <w:p>
      <w:pPr>
        <w:pStyle w:val="ListNumber"/>
      </w:pPr>
      <w:r>
        <w:t>My audit work follows standardized procedures and decision aids.</w:t>
      </w:r>
    </w:p>
    <w:p>
      <w:pPr>
        <w:pStyle w:val="ListNumber"/>
      </w:pPr>
      <w:r>
        <w:t>Procedures require me to evaluate current evidence before consulting the prior-year conclusion.</w:t>
      </w:r>
    </w:p>
    <w:p>
      <w:pPr>
        <w:pStyle w:val="ListNumber"/>
      </w:pPr>
      <w:r>
        <w:t>Documentation templates make my reasoning explicit and reviewable.</w:t>
      </w:r>
    </w:p>
    <w:p>
      <w:pPr>
        <w:pStyle w:val="ListNumber"/>
      </w:pPr>
      <w:r>
        <w:t>(R) My approach to recurring tasks is mostly informal and ad hoc.</w:t>
      </w:r>
    </w:p>
    <w:p>
      <w:pPr>
        <w:pStyle w:val="ListNumber"/>
      </w:pPr>
      <w:r>
        <w:t>The structure of my firm's methodology reduces reliance on mental shortcuts.</w:t>
      </w:r>
    </w:p>
    <w:p>
      <w:r>
        <w:rPr>
          <w:i/>
        </w:rPr>
        <w:t>Attention check 1:</w:t>
      </w:r>
      <w:r>
        <w:t xml:space="preserve"> To confirm you are reading carefully, please select "Disagree" for this item.</w:t>
      </w:r>
    </w:p>
    <w:p>
      <w:r>
        <w:rPr>
          <w:b/>
        </w:rPr>
        <w:t>A.5  Feedback &amp; Reflection (FR)</w:t>
      </w:r>
    </w:p>
    <w:p>
      <w:pPr>
        <w:pStyle w:val="ListNumber"/>
      </w:pPr>
      <w:r>
        <w:t>I receive feedback on the quality of my judgments, not only on meeting deadlines.</w:t>
      </w:r>
    </w:p>
    <w:p>
      <w:pPr>
        <w:pStyle w:val="ListNumber"/>
      </w:pPr>
      <w:r>
        <w:t>Post-engagement debriefs prompt me to reflect on judgment errors.</w:t>
      </w:r>
    </w:p>
    <w:p>
      <w:pPr>
        <w:pStyle w:val="ListNumber"/>
      </w:pPr>
      <w:r>
        <w:t>Feedback compares my conclusions against independent evidence.</w:t>
      </w:r>
    </w:p>
    <w:p>
      <w:pPr>
        <w:pStyle w:val="ListNumber"/>
      </w:pPr>
      <w:r>
        <w:t>(R) I rarely learn whether my professional judgments were accurate.</w:t>
      </w:r>
    </w:p>
    <w:p>
      <w:pPr>
        <w:pStyle w:val="ListNumber"/>
      </w:pPr>
      <w:r>
        <w:t>Structured reflection is a regular part of how I improve my work.</w:t>
      </w:r>
    </w:p>
    <w:p>
      <w:r>
        <w:rPr>
          <w:b/>
        </w:rPr>
        <w:t>A.6  Independent Reviews (IR)</w:t>
      </w:r>
    </w:p>
    <w:p>
      <w:pPr>
        <w:pStyle w:val="ListNumber"/>
      </w:pPr>
      <w:r>
        <w:t>My work is reviewed by a qualified auditor who was not involved in forming the original judgment.</w:t>
      </w:r>
    </w:p>
    <w:p>
      <w:pPr>
        <w:pStyle w:val="ListNumber"/>
      </w:pPr>
      <w:r>
        <w:t>Reviewers in my firm independently re-examine key estimates.</w:t>
      </w:r>
    </w:p>
    <w:p>
      <w:pPr>
        <w:pStyle w:val="ListNumber"/>
      </w:pPr>
      <w:r>
        <w:t>The review process catches instances where I have under-adjusted from a prior-year figure.</w:t>
      </w:r>
    </w:p>
    <w:p>
      <w:pPr>
        <w:pStyle w:val="ListNumber"/>
      </w:pPr>
      <w:r>
        <w:t>(R) Reviews in my firm mostly confirm the preparer's conclusion without independent analysis.</w:t>
      </w:r>
    </w:p>
    <w:p>
      <w:pPr>
        <w:pStyle w:val="ListNumber"/>
      </w:pPr>
      <w:r>
        <w:t>Engagement-quality reviews are substantive rather than a formality.</w:t>
      </w:r>
    </w:p>
    <w:p>
      <w:r>
        <w:rPr>
          <w:b/>
        </w:rPr>
        <w:t>A.7  Regulatory &amp; Professional Guidance (RPG)</w:t>
      </w:r>
    </w:p>
    <w:p>
      <w:pPr>
        <w:pStyle w:val="ListNumber"/>
      </w:pPr>
      <w:r>
        <w:t>Regulatory standards (e.g., PCAOB) meaningfully shape how I exercise judgment.</w:t>
      </w:r>
    </w:p>
    <w:p>
      <w:pPr>
        <w:pStyle w:val="ListNumber"/>
      </w:pPr>
      <w:r>
        <w:t>Inspection risk motivates me to reconsider judgments more carefully.</w:t>
      </w:r>
    </w:p>
    <w:p>
      <w:pPr>
        <w:pStyle w:val="ListNumber"/>
      </w:pPr>
      <w:r>
        <w:t>Professional-skepticism requirements are actively reinforced in my firm.</w:t>
      </w:r>
    </w:p>
    <w:p>
      <w:pPr>
        <w:pStyle w:val="ListNumber"/>
      </w:pPr>
      <w:r>
        <w:t>(R) Regulatory guidance has little practical effect on my day-to-day judgments.</w:t>
      </w:r>
    </w:p>
    <w:p>
      <w:pPr>
        <w:pStyle w:val="ListNumber"/>
      </w:pPr>
      <w:r>
        <w:t>Standards require me to document independent support for estimates.</w:t>
      </w:r>
    </w:p>
    <w:p>
      <w:r>
        <w:rPr>
          <w:b/>
        </w:rPr>
        <w:t>A.8  Performance Metrics &amp; Incentives (PMI)</w:t>
      </w:r>
    </w:p>
    <w:p>
      <w:pPr>
        <w:pStyle w:val="ListNumber"/>
      </w:pPr>
      <w:r>
        <w:t>My performance evaluation rewards judgment quality, not only efficiency.</w:t>
      </w:r>
    </w:p>
    <w:p>
      <w:pPr>
        <w:pStyle w:val="ListNumber"/>
      </w:pPr>
      <w:r>
        <w:t>Incentives in my firm are aligned with audit quality.</w:t>
      </w:r>
    </w:p>
    <w:p>
      <w:pPr>
        <w:pStyle w:val="ListNumber"/>
      </w:pPr>
      <w:r>
        <w:t>I am recognized for exercising appropriate professional skepticism.</w:t>
      </w:r>
    </w:p>
    <w:p>
      <w:pPr>
        <w:pStyle w:val="ListNumber"/>
      </w:pPr>
      <w:r>
        <w:t>(R) Pressure to meet budgets discourages me from re-examining prior-year balances.</w:t>
      </w:r>
    </w:p>
    <w:p>
      <w:pPr>
        <w:pStyle w:val="ListNumber"/>
      </w:pPr>
      <w:r>
        <w:t>The way my work is evaluated encourages thorough, independent analysis.</w:t>
      </w:r>
    </w:p>
    <w:p>
      <w:r>
        <w:rPr>
          <w:i/>
        </w:rPr>
        <w:t>Attention check 2:</w:t>
      </w:r>
      <w:r>
        <w:t xml:space="preserve"> Please select "Agree" for this item to confirm your attention.</w:t>
      </w:r>
    </w:p>
    <w:p>
      <w:r>
        <w:rPr>
          <w:b/>
        </w:rPr>
        <w:t>A.9  Auditor Judgment Quality (AJQ) — mediator</w:t>
      </w:r>
    </w:p>
    <w:p>
      <w:pPr>
        <w:pStyle w:val="ListNumber"/>
      </w:pPr>
      <w:r>
        <w:t>My audit judgments are based on careful evaluation of independent evidence.</w:t>
      </w:r>
    </w:p>
    <w:p>
      <w:pPr>
        <w:pStyle w:val="ListNumber"/>
      </w:pPr>
      <w:r>
        <w:t>I reach conclusions objectively, free of undue influence from management's explanations.</w:t>
      </w:r>
    </w:p>
    <w:p>
      <w:pPr>
        <w:pStyle w:val="ListNumber"/>
      </w:pPr>
      <w:r>
        <w:t>I deploy relevant knowledge and reasoning when forming difficult judgments.</w:t>
      </w:r>
    </w:p>
    <w:p>
      <w:pPr>
        <w:pStyle w:val="ListNumber"/>
      </w:pPr>
      <w:r>
        <w:t>(R) My conclusions often default to last year's position.</w:t>
      </w:r>
    </w:p>
    <w:p>
      <w:pPr>
        <w:pStyle w:val="ListNumber"/>
      </w:pPr>
      <w:r>
        <w:t>I am confident my judgments would withstand independent scrutiny.</w:t>
      </w:r>
    </w:p>
    <w:p>
      <w:r>
        <w:rPr>
          <w:b/>
        </w:rPr>
        <w:t>A.10  Audit Process Rigor (APR) — mediator</w:t>
      </w:r>
    </w:p>
    <w:p>
      <w:pPr>
        <w:pStyle w:val="ListNumber"/>
      </w:pPr>
      <w:r>
        <w:t>The audit process I follow is thorough and consistently executed.</w:t>
      </w:r>
    </w:p>
    <w:p>
      <w:pPr>
        <w:pStyle w:val="ListNumber"/>
      </w:pPr>
      <w:r>
        <w:t>Key judgments are independently corroborated within the engagement.</w:t>
      </w:r>
    </w:p>
    <w:p>
      <w:pPr>
        <w:pStyle w:val="ListNumber"/>
      </w:pPr>
      <w:r>
        <w:t>The process enforces disciplined evaluation of evidence in a defined order.</w:t>
      </w:r>
    </w:p>
    <w:p>
      <w:pPr>
        <w:pStyle w:val="ListNumber"/>
      </w:pPr>
      <w:r>
        <w:t>(R) Execution on my engagements is often rushed or inconsistent.</w:t>
      </w:r>
    </w:p>
    <w:p>
      <w:pPr>
        <w:pStyle w:val="ListNumber"/>
      </w:pPr>
      <w:r>
        <w:t>The rigor of the process does not depend on any single individual.</w:t>
      </w:r>
    </w:p>
    <w:p>
      <w:r>
        <w:rPr>
          <w:b/>
        </w:rPr>
        <w:t>A.11  Reduction in Anchoring Bias (RAB) — dependent variable</w:t>
      </w:r>
    </w:p>
    <w:p>
      <w:pPr>
        <w:pStyle w:val="ListNumber"/>
      </w:pPr>
      <w:r>
        <w:t>When auditing a recurring account, I adjust fully away from the prior-year balance when current evidence warrants.</w:t>
      </w:r>
    </w:p>
    <w:p>
      <w:pPr>
        <w:pStyle w:val="ListNumber"/>
      </w:pPr>
      <w:r>
        <w:t>I form an independent expectation before I look at management's estimate.</w:t>
      </w:r>
    </w:p>
    <w:p>
      <w:pPr>
        <w:pStyle w:val="ListNumber"/>
      </w:pPr>
      <w:r>
        <w:t>My final conclusions are driven by current evidence rather than by initial reference points.</w:t>
      </w:r>
    </w:p>
    <w:p>
      <w:pPr>
        <w:pStyle w:val="ListNumber"/>
      </w:pPr>
      <w:r>
        <w:t>(R) My estimates tend to stay close to the prior-year figure even when evidence suggests otherwise.</w:t>
      </w:r>
    </w:p>
    <w:p>
      <w:pPr>
        <w:pStyle w:val="ListNumber"/>
      </w:pPr>
      <w:r>
        <w:t>I actively seek evidence that contradicts my initial expectation.</w:t>
      </w:r>
    </w:p>
    <w:p>
      <w:r>
        <w:rPr>
          <w:b/>
        </w:rPr>
        <w:t>A.12  Demographic and control items</w:t>
      </w:r>
    </w:p>
    <w:p>
      <w:r>
        <w:t>Years of audit experience; primary role (internal/external); firm type (public accounting / private / regulatory / government); industry focus; exposure to long-term (multi-year) engagements (yes/no); highest credential (CPA/CIA/other); region.</w:t>
      </w:r>
    </w:p>
    <w:p>
      <w:r>
        <w:br w:type="page"/>
      </w:r>
    </w:p>
    <w:p>
      <w:pPr>
        <w:pStyle w:val="Heading1"/>
      </w:pPr>
      <w:r>
        <w:t>VERIFIED REFERENCE POOL (sources cited above — all confirmed real)</w:t>
      </w:r>
    </w:p>
    <w:p>
      <w:r>
        <w:rPr>
          <w:i/>
        </w:rPr>
        <w:t>Every in-text citation in Chapters 2–3 is drawn from this list. Items beyond those already in the v3 proposal were verified against the source during drafting (exact venue, year, and pages). Add your own Google Scholar finds to this pool as you complete the "Scholar searches to run" boxes.</w:t>
      </w:r>
    </w:p>
    <w:p>
      <w:pPr>
        <w:pStyle w:val="ListBullet"/>
      </w:pPr>
      <w:r>
        <w:t xml:space="preserve">Arel, B., Brody, R. G., &amp; Pany, K. (2005). Audit firm rotation and audit quality. </w:t>
      </w:r>
      <w:r>
        <w:rPr>
          <w:i/>
        </w:rPr>
        <w:t>The CPA Journal, 75</w:t>
      </w:r>
      <w:r>
        <w:t>(1), 36–39.</w:t>
      </w:r>
    </w:p>
    <w:p>
      <w:pPr>
        <w:pStyle w:val="ListBullet"/>
      </w:pPr>
      <w:r>
        <w:t xml:space="preserve">Asare, S. K., &amp; Wright, A. M. (2004). The effectiveness of alternative risk assessment and program planning tools in a fraud setting. </w:t>
      </w:r>
      <w:r>
        <w:rPr>
          <w:i/>
        </w:rPr>
        <w:t>Contemporary Accounting Research, 21</w:t>
      </w:r>
      <w:r>
        <w:t>(2), 325–352.</w:t>
      </w:r>
    </w:p>
    <w:p>
      <w:pPr>
        <w:pStyle w:val="ListBullet"/>
      </w:pPr>
      <w:r>
        <w:t xml:space="preserve">Bamber, E. M., &amp; Iyer, V. M. (2007). Auditors' identification with their clients and its effect on auditors' objectivity. </w:t>
      </w:r>
      <w:r>
        <w:rPr>
          <w:i/>
        </w:rPr>
        <w:t>Auditing: A Journal of Practice &amp; Theory, 26</w:t>
      </w:r>
      <w:r>
        <w:t>(2), 1–24.</w:t>
      </w:r>
    </w:p>
    <w:p>
      <w:pPr>
        <w:pStyle w:val="ListBullet"/>
      </w:pPr>
      <w:r>
        <w:t xml:space="preserve">Bell, T. B., Peecher, M. E., &amp; Solomon, I. (2005). </w:t>
      </w:r>
      <w:r>
        <w:rPr>
          <w:i/>
        </w:rPr>
        <w:t>The 21st century public company audit.</w:t>
      </w:r>
      <w:r>
        <w:t xml:space="preserve"> KPMG LLP.</w:t>
      </w:r>
    </w:p>
    <w:p>
      <w:pPr>
        <w:pStyle w:val="ListBullet"/>
      </w:pPr>
      <w:r>
        <w:t xml:space="preserve">Bonner, S. E. (2008). </w:t>
      </w:r>
      <w:r>
        <w:rPr>
          <w:i/>
        </w:rPr>
        <w:t>Judgment and decision making in accounting.</w:t>
      </w:r>
      <w:r>
        <w:t xml:space="preserve"> Prentice Hall.</w:t>
      </w:r>
    </w:p>
    <w:p>
      <w:pPr>
        <w:pStyle w:val="ListBullet"/>
      </w:pPr>
      <w:r>
        <w:t xml:space="preserve">Bonner, S. E., &amp; Sprinkle, G. B. (2002). The effects of monetary incentives on effort and task performance. </w:t>
      </w:r>
      <w:r>
        <w:rPr>
          <w:i/>
        </w:rPr>
        <w:t>Accounting, Organizations and Society, 27</w:t>
      </w:r>
      <w:r>
        <w:t>(4–5), 303–345.</w:t>
      </w:r>
    </w:p>
    <w:p>
      <w:pPr>
        <w:pStyle w:val="ListBullet"/>
      </w:pPr>
      <w:r>
        <w:t xml:space="preserve">Bonner, S. E., &amp; Walker, P. L. (1994). The effects of instruction and experience on the acquisition of auditing knowledge. </w:t>
      </w:r>
      <w:r>
        <w:rPr>
          <w:i/>
        </w:rPr>
        <w:t>The Accounting Review, 69</w:t>
      </w:r>
      <w:r>
        <w:t>(1), 157–178.</w:t>
      </w:r>
    </w:p>
    <w:p>
      <w:pPr>
        <w:pStyle w:val="ListBullet"/>
      </w:pPr>
      <w:r>
        <w:t xml:space="preserve">Bowlin, K. O., Hobson, J. L., &amp; Piercey, M. D. (2015). The effects of auditor rotation, professional skepticism, and interactions with managers on audit quality. </w:t>
      </w:r>
      <w:r>
        <w:rPr>
          <w:i/>
        </w:rPr>
        <w:t>The Accounting Review, 90</w:t>
      </w:r>
      <w:r>
        <w:t>(4), 1363–1393.</w:t>
      </w:r>
    </w:p>
    <w:p>
      <w:pPr>
        <w:pStyle w:val="ListBullet"/>
      </w:pPr>
      <w:r>
        <w:t xml:space="preserve">Brazel, J. F., Jones, K. L., &amp; Prawitt, D. F. (2014). Auditors' reactions to inconsistencies between financial and nonfinancial measures. </w:t>
      </w:r>
      <w:r>
        <w:rPr>
          <w:i/>
        </w:rPr>
        <w:t>Auditing: A Journal of Practice &amp; Theory, 33</w:t>
      </w:r>
      <w:r>
        <w:t>(2), 25–44.</w:t>
      </w:r>
    </w:p>
    <w:p>
      <w:pPr>
        <w:pStyle w:val="ListBullet"/>
      </w:pPr>
      <w:r>
        <w:t xml:space="preserve">Carcello, J. V., &amp; Nagy, A. L. (2004). Audit firm tenure and fraudulent financial reporting. </w:t>
      </w:r>
      <w:r>
        <w:rPr>
          <w:i/>
        </w:rPr>
        <w:t>Auditing: A Journal of Practice &amp; Theory, 23</w:t>
      </w:r>
      <w:r>
        <w:t>(2), 55–69.</w:t>
      </w:r>
    </w:p>
    <w:p>
      <w:pPr>
        <w:pStyle w:val="ListBullet"/>
      </w:pPr>
      <w:r>
        <w:t xml:space="preserve">Carpenter, T. D. (2007). Audit team brainstorming, fraud risk identification, and fraud risk assessment: Implications of SAS No. 99. </w:t>
      </w:r>
      <w:r>
        <w:rPr>
          <w:i/>
        </w:rPr>
        <w:t>The Accounting Review, 82</w:t>
      </w:r>
      <w:r>
        <w:t>(5), 1119–1140.</w:t>
      </w:r>
    </w:p>
    <w:p>
      <w:pPr>
        <w:pStyle w:val="ListBullet"/>
      </w:pPr>
      <w:r>
        <w:t xml:space="preserve">Chen, C. Y., Lin, C. J., &amp; Lin, Y. C. (2016). Audit partner tenure and discretionary accruals. </w:t>
      </w:r>
      <w:r>
        <w:rPr>
          <w:i/>
        </w:rPr>
        <w:t>Contemporary Accounting Research, 33</w:t>
      </w:r>
      <w:r>
        <w:t>(2), 415–445.</w:t>
      </w:r>
    </w:p>
    <w:p>
      <w:pPr>
        <w:pStyle w:val="ListBullet"/>
      </w:pPr>
      <w:r>
        <w:t xml:space="preserve">Chi, W., Huang, H., Liao, Y., &amp; Xie, H. (2009). Mandatory audit partner rotation and audit quality. </w:t>
      </w:r>
      <w:r>
        <w:rPr>
          <w:i/>
        </w:rPr>
        <w:t>Contemporary Accounting Research, 26</w:t>
      </w:r>
      <w:r>
        <w:t>(2), 359–391.</w:t>
      </w:r>
    </w:p>
    <w:p>
      <w:pPr>
        <w:pStyle w:val="ListBullet"/>
      </w:pPr>
      <w:r>
        <w:t xml:space="preserve">Church, B. K., &amp; Shefchik, L. B. (2012). PCAOB inspections and large accounting firms. </w:t>
      </w:r>
      <w:r>
        <w:rPr>
          <w:i/>
        </w:rPr>
        <w:t>Accounting Horizons, 26</w:t>
      </w:r>
      <w:r>
        <w:t>(1), 43–63.</w:t>
      </w:r>
    </w:p>
    <w:p>
      <w:pPr>
        <w:pStyle w:val="ListBullet"/>
      </w:pPr>
      <w:r>
        <w:t xml:space="preserve">DeAngelo, L. E. (1981). Auditor size and audit quality. </w:t>
      </w:r>
      <w:r>
        <w:rPr>
          <w:i/>
        </w:rPr>
        <w:t>Journal of Accounting and Economics, 3</w:t>
      </w:r>
      <w:r>
        <w:t>(3), 183–199.</w:t>
      </w:r>
    </w:p>
    <w:p>
      <w:pPr>
        <w:pStyle w:val="ListBullet"/>
      </w:pPr>
      <w:r>
        <w:t xml:space="preserve">DeFond, M. L., &amp; Francis, J. R. (2005). Audit research after Sarbanes-Oxley. </w:t>
      </w:r>
      <w:r>
        <w:rPr>
          <w:i/>
        </w:rPr>
        <w:t>Auditing: A Journal of Practice &amp; Theory, 24</w:t>
      </w:r>
      <w:r>
        <w:t>(s-1), 5–30.</w:t>
      </w:r>
    </w:p>
    <w:p>
      <w:pPr>
        <w:pStyle w:val="ListBullet"/>
      </w:pPr>
      <w:r>
        <w:t xml:space="preserve">Dowling, C., &amp; Leech, S. A. (2007). Audit support systems and decision aids. </w:t>
      </w:r>
      <w:r>
        <w:rPr>
          <w:i/>
        </w:rPr>
        <w:t>International Journal of Accounting Information Systems, 8</w:t>
      </w:r>
      <w:r>
        <w:t>(2), 92–116.</w:t>
      </w:r>
    </w:p>
    <w:p>
      <w:pPr>
        <w:pStyle w:val="ListBullet"/>
      </w:pPr>
      <w:r>
        <w:t xml:space="preserve">Earley, C. E. (2001). Knowledge acquisition and knowledge use in auditing. </w:t>
      </w:r>
      <w:r>
        <w:rPr>
          <w:i/>
        </w:rPr>
        <w:t>Accounting Horizons, 15</w:t>
      </w:r>
      <w:r>
        <w:t>(3), 225–238.</w:t>
      </w:r>
    </w:p>
    <w:p>
      <w:pPr>
        <w:pStyle w:val="ListBullet"/>
      </w:pPr>
      <w:r>
        <w:t xml:space="preserve">Epley, N., &amp; Gilovich, T. (2006). The anchoring-and-adjustment heuristic: Why the adjustments are insufficient. </w:t>
      </w:r>
      <w:r>
        <w:rPr>
          <w:i/>
        </w:rPr>
        <w:t>Psychological Science, 17</w:t>
      </w:r>
      <w:r>
        <w:t>(4), 311–318.</w:t>
      </w:r>
    </w:p>
    <w:p>
      <w:pPr>
        <w:pStyle w:val="ListBullet"/>
      </w:pPr>
      <w:r>
        <w:t xml:space="preserve">Evans, J. St. B. T. (2008). Dual-processing accounts of reasoning, judgment, and social cognition. </w:t>
      </w:r>
      <w:r>
        <w:rPr>
          <w:i/>
        </w:rPr>
        <w:t>Annual Review of Psychology, 59</w:t>
      </w:r>
      <w:r>
        <w:t>, 255–278.</w:t>
      </w:r>
    </w:p>
    <w:p>
      <w:pPr>
        <w:pStyle w:val="ListBullet"/>
      </w:pPr>
      <w:r>
        <w:t xml:space="preserve">Francis, J. R. (2011). A framework for understanding and researching audit quality. </w:t>
      </w:r>
      <w:r>
        <w:rPr>
          <w:i/>
        </w:rPr>
        <w:t>Auditing: A Journal of Practice &amp; Theory, 30</w:t>
      </w:r>
      <w:r>
        <w:t>(2), 125–152.</w:t>
      </w:r>
    </w:p>
    <w:p>
      <w:pPr>
        <w:pStyle w:val="ListBullet"/>
      </w:pPr>
      <w:r>
        <w:t xml:space="preserve">Furnham, A., &amp; Boo, H. C. (2011). A literature review of the anchoring effect. </w:t>
      </w:r>
      <w:r>
        <w:rPr>
          <w:i/>
        </w:rPr>
        <w:t>The Journal of Socio-Economics, 40</w:t>
      </w:r>
      <w:r>
        <w:t>(1), 35–42.</w:t>
      </w:r>
    </w:p>
    <w:p>
      <w:pPr>
        <w:pStyle w:val="ListBullet"/>
      </w:pPr>
      <w:r>
        <w:t xml:space="preserve">Hogarth, R. M., &amp; Einhorn, H. J. (1992). Order effects in belief updating: The belief-adjustment model. </w:t>
      </w:r>
      <w:r>
        <w:rPr>
          <w:i/>
        </w:rPr>
        <w:t>Cognitive Psychology, 24</w:t>
      </w:r>
      <w:r>
        <w:t>(1), 1–55.</w:t>
      </w:r>
    </w:p>
    <w:p>
      <w:pPr>
        <w:pStyle w:val="ListBullet"/>
      </w:pPr>
      <w:r>
        <w:t xml:space="preserve">Hurtt, R. K. (2010). Development of a scale to measure professional skepticism. </w:t>
      </w:r>
      <w:r>
        <w:rPr>
          <w:i/>
        </w:rPr>
        <w:t>Auditing: A Journal of Practice &amp; Theory, 29</w:t>
      </w:r>
      <w:r>
        <w:t>(1), 149–171.</w:t>
      </w:r>
    </w:p>
    <w:p>
      <w:pPr>
        <w:pStyle w:val="ListBullet"/>
      </w:pPr>
      <w:r>
        <w:t xml:space="preserve">Hurtt, R. K., Brown-Liburd, H., Earley, C. E., &amp; Krishnamoorthy, G. (2013). Research on auditor professional skepticism: Literature synthesis and opportunities for future research. </w:t>
      </w:r>
      <w:r>
        <w:rPr>
          <w:i/>
        </w:rPr>
        <w:t>Auditing: A Journal of Practice &amp; Theory, 32</w:t>
      </w:r>
      <w:r>
        <w:t>(Supplement 1), 45–97.</w:t>
      </w:r>
    </w:p>
    <w:p>
      <w:pPr>
        <w:pStyle w:val="ListBullet"/>
      </w:pPr>
      <w:r>
        <w:t xml:space="preserve">Joyce, E. J., &amp; Biddle, G. C. (1981). Anchoring and adjustment in probabilistic inference in auditing. </w:t>
      </w:r>
      <w:r>
        <w:rPr>
          <w:i/>
        </w:rPr>
        <w:t>Journal of Accounting Research, 19</w:t>
      </w:r>
      <w:r>
        <w:t>(1), 120–145.</w:t>
      </w:r>
    </w:p>
    <w:p>
      <w:pPr>
        <w:pStyle w:val="ListBullet"/>
      </w:pPr>
      <w:r>
        <w:t xml:space="preserve">Kahneman, D. (2011). </w:t>
      </w:r>
      <w:r>
        <w:rPr>
          <w:i/>
        </w:rPr>
        <w:t>Thinking, fast and slow.</w:t>
      </w:r>
      <w:r>
        <w:t xml:space="preserve"> Farrar, Straus and Giroux.</w:t>
      </w:r>
    </w:p>
    <w:p>
      <w:pPr>
        <w:pStyle w:val="ListBullet"/>
      </w:pPr>
      <w:r>
        <w:t xml:space="preserve">Kahneman, D., &amp; Frederick, S. (2002). Representativeness revisited: Attribute substitution in intuitive judgment. In T. Gilovich, D. Griffin, &amp; D. Kahneman (Eds.), </w:t>
      </w:r>
      <w:r>
        <w:rPr>
          <w:i/>
        </w:rPr>
        <w:t>Heuristics and biases: The psychology of intuitive judgment</w:t>
      </w:r>
      <w:r>
        <w:t xml:space="preserve"> (pp. 49–81). Cambridge University Press.</w:t>
      </w:r>
    </w:p>
    <w:p>
      <w:pPr>
        <w:pStyle w:val="ListBullet"/>
      </w:pPr>
      <w:r>
        <w:t xml:space="preserve">Kennedy, J. (1993). Debiasing audit judgment with accountability: A framework and experimental results. </w:t>
      </w:r>
      <w:r>
        <w:rPr>
          <w:i/>
        </w:rPr>
        <w:t>Journal of Accounting Research, 31</w:t>
      </w:r>
      <w:r>
        <w:t>(2), 231–245.</w:t>
      </w:r>
    </w:p>
    <w:p>
      <w:pPr>
        <w:pStyle w:val="ListBullet"/>
      </w:pPr>
      <w:r>
        <w:t xml:space="preserve">Kinney, W. R., Jr., &amp; Uecker, W. C. (1982). Mitigating the consequences of anchoring in auditor judgments. </w:t>
      </w:r>
      <w:r>
        <w:rPr>
          <w:i/>
        </w:rPr>
        <w:t>The Accounting Review, 57</w:t>
      </w:r>
      <w:r>
        <w:t>(1), 55–69.</w:t>
      </w:r>
    </w:p>
    <w:p>
      <w:pPr>
        <w:pStyle w:val="ListBullet"/>
      </w:pPr>
      <w:r>
        <w:t xml:space="preserve">Knechel, W. R. (2013). Do auditing standards matter? </w:t>
      </w:r>
      <w:r>
        <w:rPr>
          <w:i/>
        </w:rPr>
        <w:t>Current Issues in Auditing, 7</w:t>
      </w:r>
      <w:r>
        <w:t>(2), A1–A16.</w:t>
      </w:r>
    </w:p>
    <w:p>
      <w:pPr>
        <w:pStyle w:val="ListBullet"/>
      </w:pPr>
      <w:r>
        <w:t xml:space="preserve">Libby, R., &amp; Lipe, M. G. (1992). Incentives, effort, and the cognitive processes involved in accounting-related judgments. </w:t>
      </w:r>
      <w:r>
        <w:rPr>
          <w:i/>
        </w:rPr>
        <w:t>Journal of Accounting Research, 30</w:t>
      </w:r>
      <w:r>
        <w:t>(2), 249–273.</w:t>
      </w:r>
    </w:p>
    <w:p>
      <w:pPr>
        <w:pStyle w:val="ListBullet"/>
      </w:pPr>
      <w:r>
        <w:t xml:space="preserve">Libby, R., &amp; Luft, J. (1993). Determinants of judgment performance in accounting settings: Ability, knowledge, motivation, and environment. </w:t>
      </w:r>
      <w:r>
        <w:rPr>
          <w:i/>
        </w:rPr>
        <w:t>Accounting, Organizations and Society, 18</w:t>
      </w:r>
      <w:r>
        <w:t>(5), 425–450.</w:t>
      </w:r>
    </w:p>
    <w:p>
      <w:pPr>
        <w:pStyle w:val="ListBullet"/>
      </w:pPr>
      <w:r>
        <w:t xml:space="preserve">Lord, C. G., Lepper, M. R., &amp; Preston, E. (1984). Considering the opposite: A corrective strategy for social judgment. </w:t>
      </w:r>
      <w:r>
        <w:rPr>
          <w:i/>
        </w:rPr>
        <w:t>Journal of Personality and Social Psychology, 47</w:t>
      </w:r>
      <w:r>
        <w:t>(6), 1231–1243.</w:t>
      </w:r>
    </w:p>
    <w:p>
      <w:pPr>
        <w:pStyle w:val="ListBullet"/>
      </w:pPr>
      <w:r>
        <w:t xml:space="preserve">Mussweiler, T., &amp; Strack, F. (1999). Hypothesis-consistent testing and semantic priming in the anchoring paradigm: A selective accessibility model. </w:t>
      </w:r>
      <w:r>
        <w:rPr>
          <w:i/>
        </w:rPr>
        <w:t>Journal of Experimental Social Psychology, 35</w:t>
      </w:r>
      <w:r>
        <w:t>(2), 136–164.</w:t>
      </w:r>
    </w:p>
    <w:p>
      <w:pPr>
        <w:pStyle w:val="ListBullet"/>
      </w:pPr>
      <w:r>
        <w:t xml:space="preserve">Mussweiler, T., Strack, F., &amp; Pfeiffer, T. (2000). Overcoming the inevitable anchoring effect: Considering the opposite compensates for selective accessibility. </w:t>
      </w:r>
      <w:r>
        <w:rPr>
          <w:i/>
        </w:rPr>
        <w:t>Personality and Social Psychology Bulletin, 26</w:t>
      </w:r>
      <w:r>
        <w:t>(9), 1142–1150.</w:t>
      </w:r>
    </w:p>
    <w:p>
      <w:pPr>
        <w:pStyle w:val="ListBullet"/>
      </w:pPr>
      <w:r>
        <w:t xml:space="preserve">Myers, J. N., Myers, L. A., &amp; Omer, T. C. (2003). Exploring the term of the auditor-client relationship and the quality of earnings: A case for mandatory auditor rotation? </w:t>
      </w:r>
      <w:r>
        <w:rPr>
          <w:i/>
        </w:rPr>
        <w:t>The Accounting Review, 78</w:t>
      </w:r>
      <w:r>
        <w:t>(3), 779–799.</w:t>
      </w:r>
    </w:p>
    <w:p>
      <w:pPr>
        <w:pStyle w:val="ListBullet"/>
      </w:pPr>
      <w:r>
        <w:t xml:space="preserve">Nelson, M. W. (2009). A model and literature review of professional skepticism in auditing. </w:t>
      </w:r>
      <w:r>
        <w:rPr>
          <w:i/>
        </w:rPr>
        <w:t>Auditing: A Journal of Practice &amp; Theory, 28</w:t>
      </w:r>
      <w:r>
        <w:t>(2), 1–34.</w:t>
      </w:r>
    </w:p>
    <w:p>
      <w:pPr>
        <w:pStyle w:val="ListBullet"/>
      </w:pPr>
      <w:r>
        <w:t xml:space="preserve">Nelson, M. W., &amp; Tan, H. T. (2005). Judgment and decision-making research in auditing: A task, person, and interpersonal interaction perspective. </w:t>
      </w:r>
      <w:r>
        <w:rPr>
          <w:i/>
        </w:rPr>
        <w:t>Auditing: A Journal of Practice &amp; Theory, 24</w:t>
      </w:r>
      <w:r>
        <w:t>(s-1), 41–71.</w:t>
      </w:r>
    </w:p>
    <w:p>
      <w:pPr>
        <w:pStyle w:val="ListBullet"/>
      </w:pPr>
      <w:r>
        <w:t xml:space="preserve">Northcraft, G. B., &amp; Neale, M. A. (1987). Experts, amateurs, and real estate: An anchoring-and-adjustment perspective on property pricing decisions. </w:t>
      </w:r>
      <w:r>
        <w:rPr>
          <w:i/>
        </w:rPr>
        <w:t>Organizational Behavior and Human Decision Processes, 39</w:t>
      </w:r>
      <w:r>
        <w:t>(1), 84–97.</w:t>
      </w:r>
    </w:p>
    <w:p>
      <w:pPr>
        <w:pStyle w:val="ListBullet"/>
      </w:pPr>
      <w:r>
        <w:t xml:space="preserve">Peecher, M. E., Solomon, I., &amp; Trotman, K. T. (2013). An accountability framework for financial statement auditors and related research questions. </w:t>
      </w:r>
      <w:r>
        <w:rPr>
          <w:i/>
        </w:rPr>
        <w:t>Accounting, Organizations and Society, 38</w:t>
      </w:r>
      <w:r>
        <w:t>(8), 596–620.</w:t>
      </w:r>
    </w:p>
    <w:p>
      <w:pPr>
        <w:pStyle w:val="ListBullet"/>
      </w:pPr>
      <w:r>
        <w:t xml:space="preserve">Public Company Accounting Oversight Board. (2015). </w:t>
      </w:r>
      <w:r>
        <w:rPr>
          <w:i/>
        </w:rPr>
        <w:t>PCAOB auditing standards.</w:t>
      </w:r>
    </w:p>
    <w:p>
      <w:pPr>
        <w:pStyle w:val="ListBullet"/>
      </w:pPr>
      <w:r>
        <w:t xml:space="preserve">Ramsay, R. J. (1994). Senior/manager differences in audit workpaper review performance. </w:t>
      </w:r>
      <w:r>
        <w:rPr>
          <w:i/>
        </w:rPr>
        <w:t>Journal of Accounting Research, 32</w:t>
      </w:r>
      <w:r>
        <w:t>(1), 127–135.</w:t>
      </w:r>
    </w:p>
    <w:p>
      <w:pPr>
        <w:pStyle w:val="ListBullet"/>
      </w:pPr>
      <w:r>
        <w:t xml:space="preserve">Solomon, I., &amp; Trotman, K. T. (2003). Experimental judgment and decision research in auditing: The first 25 years of AOS. </w:t>
      </w:r>
      <w:r>
        <w:rPr>
          <w:i/>
        </w:rPr>
        <w:t>Accounting, Organizations and Society, 28</w:t>
      </w:r>
      <w:r>
        <w:t>(4), 395–412.</w:t>
      </w:r>
    </w:p>
    <w:p>
      <w:pPr>
        <w:pStyle w:val="ListBullet"/>
      </w:pPr>
      <w:r>
        <w:t xml:space="preserve">Strack, F., &amp; Mussweiler, T. (1997). Explaining the enigmatic anchoring effect: Mechanisms of selective accessibility. </w:t>
      </w:r>
      <w:r>
        <w:rPr>
          <w:i/>
        </w:rPr>
        <w:t>Journal of Personality and Social Psychology, 73</w:t>
      </w:r>
      <w:r>
        <w:t>(3), 437–446.</w:t>
      </w:r>
    </w:p>
    <w:p>
      <w:pPr>
        <w:pStyle w:val="ListBullet"/>
      </w:pPr>
      <w:r>
        <w:t xml:space="preserve">Tan, H.-T., &amp; Kao, A. (1999). Accountability effects on auditors' performance: The influence of knowledge, problem-solving ability, and task complexity. </w:t>
      </w:r>
      <w:r>
        <w:rPr>
          <w:i/>
        </w:rPr>
        <w:t>Journal of Accounting Research, 37</w:t>
      </w:r>
      <w:r>
        <w:t>(1), 209–223.</w:t>
      </w:r>
    </w:p>
    <w:p>
      <w:pPr>
        <w:pStyle w:val="ListBullet"/>
      </w:pPr>
      <w:r>
        <w:t xml:space="preserve">Tan, H.-T., &amp; Trotman, K. T. (2003). Reviewers' responses to anticipated stylization attempts by preparers of audit workpapers. </w:t>
      </w:r>
      <w:r>
        <w:rPr>
          <w:i/>
        </w:rPr>
        <w:t>The Accounting Review, 78</w:t>
      </w:r>
      <w:r>
        <w:t>(2), 581–605.</w:t>
      </w:r>
    </w:p>
    <w:p>
      <w:pPr>
        <w:pStyle w:val="ListBullet"/>
      </w:pPr>
      <w:r>
        <w:t xml:space="preserve">Trompeter, G., &amp; Wright, A. (2010). The world has changed—Have analytical procedure practices? </w:t>
      </w:r>
      <w:r>
        <w:rPr>
          <w:i/>
        </w:rPr>
        <w:t>Contemporary Accounting Research, 27</w:t>
      </w:r>
      <w:r>
        <w:t>(2), 350–387.</w:t>
      </w:r>
    </w:p>
    <w:p>
      <w:pPr>
        <w:pStyle w:val="ListBullet"/>
      </w:pPr>
      <w:r>
        <w:t xml:space="preserve">Trotman, K. T., Bauer, T. D., &amp; Humphreys, K. A. (2015). Group judgment and decision making in auditing: Past and future research. </w:t>
      </w:r>
      <w:r>
        <w:rPr>
          <w:i/>
        </w:rPr>
        <w:t>Accounting, Organizations and Society, 47</w:t>
      </w:r>
      <w:r>
        <w:t>, 56–72.</w:t>
      </w:r>
    </w:p>
    <w:p>
      <w:pPr>
        <w:pStyle w:val="ListBullet"/>
      </w:pPr>
      <w:r>
        <w:t xml:space="preserve">Trotman, K. T., Tan, H. C., &amp; Ang, N. (2011). Fifty-year overview of judgment and decision-making research in accounting. </w:t>
      </w:r>
      <w:r>
        <w:rPr>
          <w:i/>
        </w:rPr>
        <w:t>Accounting &amp; Finance, 51</w:t>
      </w:r>
      <w:r>
        <w:t>(1), 278–360.</w:t>
      </w:r>
    </w:p>
    <w:p>
      <w:pPr>
        <w:pStyle w:val="ListBullet"/>
      </w:pPr>
      <w:r>
        <w:t xml:space="preserve">Trotman, K. T., &amp; Yetton, P. W. (1985). The effect of the review process on auditor judgments. </w:t>
      </w:r>
      <w:r>
        <w:rPr>
          <w:i/>
        </w:rPr>
        <w:t>Journal of Accounting Research, 23</w:t>
      </w:r>
      <w:r>
        <w:t>(1), 256–267.</w:t>
      </w:r>
    </w:p>
    <w:p>
      <w:pPr>
        <w:pStyle w:val="ListBullet"/>
      </w:pPr>
      <w:r>
        <w:t xml:space="preserve">Tversky, A., &amp; Kahneman, D. (1974). Judgment under uncertainty: Heuristics and biases. </w:t>
      </w:r>
      <w:r>
        <w:rPr>
          <w:i/>
        </w:rPr>
        <w:t>Science, 185</w:t>
      </w:r>
      <w:r>
        <w:t>(4157), 1124–1131.</w:t>
      </w:r>
    </w:p>
    <w:p>
      <w:pPr>
        <w:pStyle w:val="ListBullet"/>
      </w:pPr>
      <w:r>
        <w:t xml:space="preserve">Vasarhelyi, M. A., Alles, M. G., &amp; Kogan, A. (2004). Principles of analytic monitoring for continuous assurance. </w:t>
      </w:r>
      <w:r>
        <w:rPr>
          <w:i/>
        </w:rPr>
        <w:t>Journal of Emerging Technologies in Accounting, 1</w:t>
      </w:r>
      <w:r>
        <w:t>(1), 1–21.</w:t>
      </w:r>
    </w:p>
    <w:p>
      <w:pPr>
        <w:pStyle w:val="ListBullet"/>
      </w:pPr>
      <w:r>
        <w:t xml:space="preserve">Wilson, T. D., Houston, C. E., Etling, K. M., &amp; Brekke, N. (1996). A new look at anchoring effects: Basic anchoring and its antecedents. </w:t>
      </w:r>
      <w:r>
        <w:rPr>
          <w:i/>
        </w:rPr>
        <w:t>Journal of Experimental Psychology: General, 125</w:t>
      </w:r>
      <w:r>
        <w:t>(4), 387–402.</w:t>
      </w:r>
    </w:p>
    <w:p>
      <w:pPr>
        <w:pStyle w:val="ListBullet"/>
      </w:pPr>
      <w:r>
        <w:t xml:space="preserve">Yoon, K., Hoogduin, L., &amp; Zhang, L. (2015). Big data as complementary audit evidence. </w:t>
      </w:r>
      <w:r>
        <w:rPr>
          <w:i/>
        </w:rPr>
        <w:t>Accounting Horizons, 29</w:t>
      </w:r>
      <w:r>
        <w:t>(2), 431–438.</w:t>
      </w:r>
    </w:p>
    <w:p>
      <w:r>
        <w:br w:type="page"/>
      </w:r>
    </w:p>
    <w:p>
      <w:pPr>
        <w:pStyle w:val="Heading2"/>
      </w:pPr>
      <w:r>
        <w:t>Chapter 4  Methodology</w:t>
      </w:r>
    </w:p>
    <w:p>
      <w:pPr>
        <w:pStyle w:val="Heading3"/>
      </w:pPr>
      <w:r>
        <w:t>4.1  Research Design</w:t>
      </w:r>
    </w:p>
    <w:p>
      <w:r>
        <w:t>Quantitative, cross-sectional, online survey design. The cross-sectional design is appropriate because the focal hypotheses concern between-auditor variation in exposure to interventions and reported anchoring susceptibility, rather than within-auditor change over time.</w:t>
      </w:r>
    </w:p>
    <w:p>
      <w:pPr>
        <w:pStyle w:val="Heading3"/>
      </w:pPr>
      <w:r>
        <w:t>4.2  Population and Sampling</w:t>
      </w:r>
    </w:p>
    <w:p>
      <w:r>
        <w:t>Target population: professional auditors in internal or external audit roles across public-accounting firms, private corporations, regulatory bodies, and government agencies, each with at least two years of audit experience and exposure to long-term client engagements. Sampling is purposive across three parallel channels:</w:t>
      </w:r>
    </w:p>
    <w:p>
      <w:r>
        <w:t>MTurk HIT with auditor-qualification filters (primary).</w:t>
      </w:r>
    </w:p>
    <w:p>
      <w:r>
        <w:t>LinkedIn outreach to professional audit networks and Institute of Internal Auditors (IIA) chapters.</w:t>
      </w:r>
    </w:p>
    <w:p>
      <w:r>
        <w:t>Practitioner referrals from academic and professional contacts.</w:t>
      </w:r>
    </w:p>
    <w:p>
      <w:r>
        <w:t>Target n = 60–80 valid responses, sized for medium effect (Cohen's d = 0.5) at 0.80 power and consistent with EFA item-per-construct guidance (5–8 items per factor).</w:t>
      </w:r>
    </w:p>
    <w:p>
      <w:pPr>
        <w:pStyle w:val="Heading3"/>
      </w:pPr>
      <w:r>
        <w:t>4.3  Measurement Instrument</w:t>
      </w:r>
    </w:p>
    <w:p>
      <w:r>
        <w:t>Self-administered survey hosted on FIU Qualtrics, comprising 11 multi-item Likert-type scales (5-point) drawn from validated instruments and adapted to the audit context. Reverse-coded items and embedded attention checks safeguard against response-set bias and inattention. Full instrument is attached in the IRB packet (Updated Measurement Instrument – Malik, Y.docx).</w:t>
      </w:r>
    </w:p>
    <w:p>
      <w:pPr>
        <w:pStyle w:val="Heading3"/>
      </w:pPr>
      <w:r>
        <w:t>4.4  Data Analysis Plan</w:t>
      </w:r>
    </w:p>
    <w:p>
      <w:r>
        <w:t>Step 1 — Data cleaning: removal of incomplete and attention-failed responses; missingness and outlier assessment.</w:t>
      </w:r>
    </w:p>
    <w:p>
      <w:r>
        <w:t>Step 2 — Descriptive statistics: means, SD, skewness, kurtosis, and demographics.</w:t>
      </w:r>
    </w:p>
    <w:p>
      <w:r>
        <w:t>Step 3 — Reliability: Cronbach's alpha per construct (target ≥ 0.70); inter-item correlations.</w:t>
      </w:r>
    </w:p>
    <w:p>
      <w:r>
        <w:t>Step 4 — Exploratory Factor Analysis: principal axis factoring with varimax rotation; KMO, Bartlett's test, scree, and parallel analysis to confirm dimensionality.</w:t>
      </w:r>
    </w:p>
    <w:p>
      <w:r>
        <w:t>Step 5 — Correlation matrix: Pearson bivariate correlations.</w:t>
      </w:r>
    </w:p>
    <w:p>
      <w:r>
        <w:t>Step 6 — Direct effects: multiple regression of IVs on RAB.</w:t>
      </w:r>
    </w:p>
    <w:p>
      <w:r>
        <w:t>Step 7 — Mediation: PROCESS Macro (Model 4) bootstrap (5,000 resamples) testing AJQ and APR paths.</w:t>
      </w:r>
    </w:p>
    <w:p>
      <w:pPr>
        <w:pStyle w:val="Heading3"/>
      </w:pPr>
      <w:r>
        <w:t>4.5  Validity, Reliability, and Limitations</w:t>
      </w:r>
    </w:p>
    <w:p>
      <w:r>
        <w:t>Construct validity is supported by anchoring items to validated literature instruments. Internal validity is bounded by the cross-sectional, self-report design; common-method variance is mitigated by Likert-scale spacing, reverse-coding, attention checks, and (where feasible) Harman's single-factor test. External validity is bounded by the purposive sample; generalization to non-Anglophone or non-Western audit settings is a limitation acknowledged in the final manuscript.</w:t>
      </w:r>
    </w:p>
    <w:p>
      <w:pPr>
        <w:pStyle w:val="Heading3"/>
      </w:pPr>
      <w:r>
        <w:t>4.6  Ethical Considerations</w:t>
      </w:r>
    </w:p>
    <w:p>
      <w:r>
        <w:t>The study operates under FIU IRB-approved exempt status (Protocol IRB-25-0462; approved September 2, 2025; effective through September 2, 2030). Participation is fully voluntary and no compensation is contingent on response content — the MTurk HIT pays a fixed, Florida-compliant amount on submission of a completed survey, with no incentive tied to any particular answer pattern. Data are collected anonymously through FIU-managed Qualtrics with IP-address retention disabled, and responses are stored on FIU-secured infrastructure accessible only to the investigator and the faculty advisor. Informed consent is obtained via the IRB-approved Informational Letter presented before any survey item, and respondents retain the right to withdraw at any point without penalty. No clinical, financial, account-level, or otherwise sensitive personal information is collected; the instrument captures only self-reported professional-judgment perceptions and general demographic categories.</w:t>
      </w:r>
    </w:p>
    <w:p>
      <w:r>
        <w:br w:type="page"/>
      </w:r>
    </w:p>
    <w:p>
      <w:pPr>
        <w:pStyle w:val="Heading2"/>
      </w:pPr>
      <w:r>
        <w:t>Chapter 5  Project Timeline (Summary)</w:t>
      </w:r>
    </w:p>
    <w:p>
      <w:r>
        <w:t>The accompanying Semester Plan (Timeline_Malik.xlsx) lays out a 12-week schedule from May 18 to August 9, 2026, with the Stage 4a manuscript milestone re-baselined to July 19, 2026 per program guidance. The schedule is organized around five stages: IRB approval (0), informed pilot (1), Qualtrics &amp; MTurk integration (2), data collection and EFA (3), and manuscript drafting and UGS submission (4). The critical path is IRB → Data Collection → EFA → Manuscript, and the Risk Register identifies the IRB-delay risk, response-rate risk, and scope-creep risk that I am actively managing.</w:t>
      </w:r>
    </w:p>
    <w:p>
      <w:r>
        <w:br w:type="page"/>
      </w:r>
    </w:p>
    <w:p>
      <w:pPr>
        <w:pStyle w:val="Heading2"/>
      </w:pPr>
      <w:r>
        <w:t>Chapter 6  Recommendations for Future Research</w:t>
      </w:r>
    </w:p>
    <w:p>
      <w:r>
        <w:t>Three extensions of the present model are reserved for the dissertation phase. The first and most consequential is the embedding of Large-Language-Model (LLM) and AI-agent constructs into the validated causal model, extending the debiasing framework to the rapidly emerging AI-enabled audit environment in regulated banking. A small but maturing literature now provides methodological scaffolding for this extension. Three candidate constructs are proposed:</w:t>
      </w:r>
    </w:p>
    <w:p>
      <w:r>
        <w:t>LLM-Assisted Audit Workpaper Generation — a process-substitution construct measuring the extent to which generative tools draft, summarize, or template workpaper content. Methodological anchoring follows Elbouanani, Tuo, and Popescu (2026), whose scalable entity-based bias-auditing framework supplies a transferable approach for evaluating drift between LLM-generated and human-authored audit narrative.</w:t>
      </w:r>
    </w:p>
    <w:p>
      <w:r>
        <w:t>AI Anomaly Detection in Substantive Procedures — a detection-augmentation construct measuring the use of AI/ML anomaly engines alongside traditional substantive testing. Methodological anchoring follows Ansari, Fanous, Omiye, Agarwal, and colleagues (2025), whose use of large language models to audit model bias in regulated healthcare settings supplies a directly analogous protocol for regulated banking audit applications.</w:t>
      </w:r>
    </w:p>
    <w:p>
      <w:r>
        <w:t>Human-in-the-Loop Oversight of Agentic Audit Workflows — a governance construct measuring the structure, frequency, and substantive depth of human review over AI-agent audit outputs. Methodological anchoring follows Zhao, Esmaeili, and Fard (2026), whose audit of LLM-as-a-judge sensitivity in software-engineering tasks demonstrates the measurement strategy for human-versus-agent disagreement under review, and is reinforced by Deng, Holstein, and Eslami (2026) on human-centered and participatory AI auditing.</w:t>
      </w:r>
    </w:p>
    <w:p>
      <w:r>
        <w:t>Across all three candidate constructs, audit-design sensitivity itself is a measurement concern: Törnberg and Schimmel (2026) show that LLM evaluation outcomes can shift with the perceived identity of the auditor, motivating careful protocol blinding in any subsequent dissertation-phase instrument.</w:t>
      </w:r>
    </w:p>
    <w:p>
      <w:r>
        <w:t>The remaining two extensions compress as follows. Second, a longitudinal design would permit causal inference on whether sustained intervention exposure produces durable bias reduction, and would allow latent-growth modeling of AJQ and APR trajectories. Third, a comparative cross-industry study across banking, insurance, and broker-dealer auditors would test the model's industry boundary conditions and align the doctoral contribution with industry direction in AI governance, model risk, and Responsible-AI assurance (SR 11-7; NIST AI Risk Management Framework).</w:t>
      </w:r>
    </w:p>
    <w:p>
      <w:r>
        <w:br w:type="page"/>
      </w:r>
    </w:p>
    <w:p>
      <w:pPr>
        <w:pStyle w:val="Heading1"/>
      </w:pPr>
      <w:r>
        <w:t>PART II  ADVISOR CORRESPONDENCE &amp; DATA-COLLECTION READINESS</w:t>
      </w:r>
    </w:p>
    <w:p>
      <w:r>
        <w:t>Verbatim advisor feedback, the author's response draft, and the readiness checklist that tracks every blocker between current state and live pilot launch. This part is the working command-and-control surface for the next two weeks.</w:t>
      </w:r>
    </w:p>
    <w:p>
      <w:r>
        <w:br w:type="page"/>
      </w:r>
    </w:p>
    <w:p>
      <w:pPr>
        <w:pStyle w:val="Heading2"/>
      </w:pPr>
      <w:r>
        <w:t>2026-06-01  Dr. Rey feedback + response draft</w:t>
      </w:r>
    </w:p>
    <w:p>
      <w:pPr>
        <w:pStyle w:val="Heading1"/>
      </w:pPr>
      <w:r>
        <w:t>2026-06-01 — Dr. Rey feedback on v4.1 + next-step instructions</w:t>
      </w:r>
    </w:p>
    <w:p>
      <w:r>
        <w:rPr>
          <w:b/>
        </w:rPr>
        <w:t>From:</w:t>
      </w:r>
      <w:r>
        <w:t xml:space="preserve"> Prof. Dr. Juan Rey, FIU DBA Program</w:t>
      </w:r>
    </w:p>
    <w:p>
      <w:r>
        <w:rPr>
          <w:b/>
        </w:rPr>
        <w:t>To:</w:t>
      </w:r>
      <w:r>
        <w:t xml:space="preserve"> Yasir A. Malik</w:t>
      </w:r>
    </w:p>
    <w:p>
      <w:r>
        <w:rPr>
          <w:b/>
        </w:rPr>
        <w:t>Re:</w:t>
      </w:r>
      <w:r>
        <w:t xml:space="preserve"> v4.1 research paper (Ch. 2 &amp; Ch. 3 expansion)</w:t>
      </w:r>
    </w:p>
    <w:p>
      <w:r>
        <w:rPr>
          <w:b/>
        </w:rPr>
        <w:t>Received:</w:t>
      </w:r>
      <w:r>
        <w:t xml:space="preserve"> June 1, 2026</w:t>
      </w:r>
    </w:p>
    <w:p>
      <w:r>
        <w:br w:type="page"/>
      </w:r>
    </w:p>
    <w:p>
      <w:pPr>
        <w:pStyle w:val="Heading2"/>
      </w:pPr>
      <w:r>
        <w:t>1. Verbatim message from Dr. Rey</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Great Yasir. I'm highly impressed by the effort and the quality of your progressing work. Please make sure that the instrument is in Qualtrics, following a design aiming at face validity. This should be followed by an informed pilot. Next step: positioning your survey for data collection through a recruiting platform (i.e.: cloud research, turk, etc).</w:t>
            </w:r>
          </w:p>
          <w:p>
            <w:pPr>
              <w:spacing w:line="240" w:lineRule="auto" w:after="40"/>
            </w:pPr>
          </w:p>
          <w:p>
            <w:pPr>
              <w:spacing w:line="240" w:lineRule="auto" w:after="40"/>
            </w:pPr>
            <w:r>
              <w:t>Jump in my zoom tomorrow at 1:15 PM to further discuss if you have any question.</w:t>
            </w:r>
          </w:p>
          <w:p>
            <w:pPr>
              <w:spacing w:line="240" w:lineRule="auto" w:after="40"/>
            </w:pPr>
          </w:p>
          <w:p>
            <w:pPr>
              <w:spacing w:line="240" w:lineRule="auto" w:after="40"/>
            </w:pPr>
            <w:r>
              <w:t>You are in the right path.</w:t>
            </w:r>
          </w:p>
          <w:p>
            <w:pPr>
              <w:spacing w:line="240" w:lineRule="auto" w:after="40"/>
            </w:pPr>
          </w:p>
          <w:p>
            <w:pPr>
              <w:spacing w:line="240" w:lineRule="auto" w:after="40"/>
            </w:pPr>
            <w:r>
              <w:t>Sincerely,</w:t>
            </w:r>
          </w:p>
          <w:p>
            <w:pPr>
              <w:spacing w:line="240" w:lineRule="auto" w:after="40"/>
            </w:pPr>
          </w:p>
          <w:p>
            <w:pPr>
              <w:spacing w:line="240" w:lineRule="auto" w:after="40"/>
            </w:pPr>
            <w:r>
              <w:t>Dr. Rey</w:t>
            </w:r>
          </w:p>
        </w:tc>
      </w:tr>
    </w:tbl>
    <w:p>
      <w:pPr>
        <w:spacing w:after="0"/>
      </w:pPr>
    </w:p>
    <w:p>
      <w:r>
        <w:br w:type="page"/>
      </w:r>
    </w:p>
    <w:p>
      <w:pPr>
        <w:pStyle w:val="Heading2"/>
      </w:pPr>
      <w:r>
        <w:t>2. What Dr. Rey is asking for (parsed)</w:t>
      </w:r>
    </w:p>
    <w:p>
      <w:pPr>
        <w:pStyle w:val="ListNumber"/>
      </w:pPr>
      <w:r>
        <w:rPr>
          <w:b/>
        </w:rPr>
        <w:t>Instrument in Qualtrics</w:t>
      </w:r>
      <w:r>
        <w:t xml:space="preserve"> — the eleven-construct measurement instrument (see </w:t>
      </w:r>
      <w:r>
        <w:rPr>
          <w:rFonts w:ascii="Consolas" w:hAnsi="Consolas"/>
          <w:sz w:val="20"/>
        </w:rPr>
        <w:t>Research_Paper_YMalik_v4.docx</w:t>
      </w:r>
      <w:r>
        <w:t>, Appendix A, reconciled against IRB-approved version) loaded into the FIU Qualtrics account.</w:t>
      </w:r>
    </w:p>
    <w:p>
      <w:pPr>
        <w:pStyle w:val="ListNumber"/>
      </w:pPr>
      <w:r>
        <w:rPr>
          <w:b/>
        </w:rPr>
        <w:t>Design for face validity</w:t>
      </w:r>
      <w:r>
        <w:t xml:space="preserve"> — the survey's structure, ordering, item wording, and visual flow should pass a first-look usability and content-recognition check by domain practitioners.</w:t>
      </w:r>
    </w:p>
    <w:p>
      <w:pPr>
        <w:pStyle w:val="ListNumber"/>
      </w:pPr>
      <w:r>
        <w:rPr>
          <w:b/>
        </w:rPr>
        <w:t>Informed pilot</w:t>
      </w:r>
      <w:r>
        <w:t xml:space="preserve"> — small pilot (typically 3–8 respondents) on the live Qualtrics link to test comprehension, timing, and instrument behavior before any platform-scale recruiting.</w:t>
      </w:r>
    </w:p>
    <w:p>
      <w:pPr>
        <w:pStyle w:val="ListNumber"/>
      </w:pPr>
      <w:r>
        <w:rPr>
          <w:b/>
        </w:rPr>
        <w:t>Recruiting platform positioning</w:t>
      </w:r>
      <w:r>
        <w:t xml:space="preserve"> — once the pilot is clean, position the survey on CloudResearch / MTurk / or the IIA channel for full data collection.</w:t>
      </w:r>
    </w:p>
    <w:p>
      <w:pPr>
        <w:pStyle w:val="ListNumber"/>
      </w:pPr>
      <w:r>
        <w:rPr>
          <w:b/>
        </w:rPr>
        <w:t>Zoom meeting</w:t>
      </w:r>
      <w:r>
        <w:t xml:space="preserve"> offered for tomorrow at 1:15 PM (i.e., </w:t>
      </w:r>
      <w:r>
        <w:rPr>
          <w:b/>
        </w:rPr>
        <w:t>June 2, 2026 — 1:15 PM</w:t>
      </w:r>
      <w:r>
        <w:t>).</w:t>
      </w:r>
    </w:p>
    <w:p>
      <w:r>
        <w:br w:type="page"/>
      </w:r>
    </w:p>
    <w:p>
      <w:pPr>
        <w:pStyle w:val="Heading2"/>
      </w:pPr>
      <w:r>
        <w:t>3. Author's response (DRAFT — final email to send)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Subject: Re: v4.1 — can we meet today? Items are ready and on the repo.</w:t>
            </w:r>
          </w:p>
          <w:p>
            <w:pPr>
              <w:spacing w:line="240" w:lineRule="auto" w:after="40"/>
            </w:pPr>
          </w:p>
          <w:p>
            <w:pPr>
              <w:spacing w:line="240" w:lineRule="auto" w:after="40"/>
            </w:pPr>
            <w:r>
              <w:t>Dr. Rey —</w:t>
            </w:r>
          </w:p>
          <w:p>
            <w:pPr>
              <w:spacing w:line="240" w:lineRule="auto" w:after="40"/>
            </w:pPr>
          </w:p>
          <w:p>
            <w:pPr>
              <w:spacing w:line="240" w:lineRule="auto" w:after="40"/>
            </w:pPr>
            <w:r>
              <w:t>Thank you, that note means a great deal and the direction is clear.</w:t>
            </w:r>
          </w:p>
          <w:p>
            <w:pPr>
              <w:spacing w:line="240" w:lineRule="auto" w:after="40"/>
            </w:pPr>
          </w:p>
          <w:p>
            <w:pPr>
              <w:spacing w:line="240" w:lineRule="auto" w:after="40"/>
            </w:pPr>
            <w:r>
              <w:t xml:space="preserve">I'd like to ask if we can meet </w:t>
            </w:r>
            <w:r>
              <w:rPr>
                <w:b/>
              </w:rPr>
              <w:t>today</w:t>
            </w:r>
            <w:r>
              <w:t xml:space="preserve"> instead of tomorrow, if any window is open in your calendar. I have all the items ready and on the project's GitHub branch, and I'd value walking you through them live rather than only by email — particularly the Qualtrics instrument build and the informed-pilot recipient list. The plan is to send the pilot link to a small group of audit-practitioner contacts on LinkedIn this week, and I want your eyes on the build before that goes out.</w:t>
            </w:r>
          </w:p>
          <w:p>
            <w:pPr>
              <w:spacing w:line="240" w:lineRule="auto" w:after="40"/>
            </w:pPr>
          </w:p>
          <w:p>
            <w:pPr>
              <w:spacing w:line="240" w:lineRule="auto" w:after="40"/>
            </w:pPr>
            <w:r>
              <w:t>Everything is on this branch (one folder, browsable):</w:t>
            </w:r>
          </w:p>
          <w:p>
            <w:pPr>
              <w:spacing w:line="240" w:lineRule="auto" w:after="40"/>
            </w:pPr>
            <w:r>
              <w:t>https://github.com/AuditingAI/Profile/tree/claude/scholar-links-review-Plgk6/dba</w:t>
            </w:r>
          </w:p>
          <w:p>
            <w:pPr>
              <w:spacing w:line="240" w:lineRule="auto" w:after="40"/>
            </w:pPr>
          </w:p>
          <w:p>
            <w:pPr>
              <w:spacing w:line="240" w:lineRule="auto" w:after="40"/>
            </w:pPr>
            <w:r>
              <w:t>The two files most worth opening:</w:t>
            </w:r>
          </w:p>
          <w:p>
            <w:pPr>
              <w:spacing w:line="240" w:lineRule="auto" w:after="40"/>
            </w:pPr>
            <w:r>
              <w:t xml:space="preserve">1. </w:t>
            </w:r>
            <w:r>
              <w:rPr>
                <w:b/>
              </w:rPr>
              <w:t>Research_Paper_YMalik_v4.docx</w:t>
            </w:r>
            <w:r>
              <w:t xml:space="preserve"> — the revised paper (Ch. 2 and Ch. 3 fully expanded per our last call; figure embedded in Ch. 3; instrument in Appendix A).</w:t>
            </w:r>
          </w:p>
          <w:p>
            <w:pPr>
              <w:spacing w:line="240" w:lineRule="auto" w:after="40"/>
            </w:pPr>
            <w:r>
              <w:t xml:space="preserve">2. </w:t>
            </w:r>
            <w:r>
              <w:rPr>
                <w:b/>
              </w:rPr>
              <w:t>ALL_IN_ONE_DBA_Package_v1.docx</w:t>
            </w:r>
            <w:r>
              <w:t xml:space="preserve"> — single consolidated document with the paper, the weekly update, the IRB-approved LinkedIn recruitment copy, the readiness checklist, and the working notes — all in one navigable file.</w:t>
            </w:r>
          </w:p>
          <w:p>
            <w:pPr>
              <w:spacing w:line="240" w:lineRule="auto" w:after="40"/>
            </w:pPr>
          </w:p>
          <w:p>
            <w:pPr>
              <w:spacing w:line="240" w:lineRule="auto" w:after="40"/>
            </w:pPr>
            <w:r>
              <w:t>If today doesn't work, I will be on your Zoom at 1:15 PM tomorrow as planned.</w:t>
            </w:r>
          </w:p>
          <w:p>
            <w:pPr>
              <w:spacing w:line="240" w:lineRule="auto" w:after="40"/>
            </w:pPr>
          </w:p>
          <w:p>
            <w:pPr>
              <w:spacing w:line="240" w:lineRule="auto" w:after="40"/>
            </w:pPr>
            <w:r>
              <w:t>Thank you again — Yasir</w:t>
            </w:r>
          </w:p>
          <w:p>
            <w:pPr>
              <w:spacing w:line="240" w:lineRule="auto" w:after="40"/>
            </w:pPr>
          </w:p>
          <w:p>
            <w:pPr>
              <w:spacing w:line="240" w:lineRule="auto" w:after="40"/>
            </w:pPr>
            <w:r>
              <w:t>Yasir A. Malik</w:t>
            </w:r>
          </w:p>
          <w:p>
            <w:pPr>
              <w:spacing w:line="240" w:lineRule="auto" w:after="40"/>
            </w:pPr>
            <w:r>
              <w:t>PID 1687105 | FIU DBA Cohort 7.16</w:t>
            </w:r>
          </w:p>
        </w:tc>
      </w:tr>
    </w:tbl>
    <w:p>
      <w:pPr>
        <w:spacing w:after="0"/>
      </w:pPr>
    </w:p>
    <w:p>
      <w:r>
        <w:br w:type="page"/>
      </w:r>
    </w:p>
    <w:p>
      <w:pPr>
        <w:pStyle w:val="Heading2"/>
      </w:pPr>
      <w:r>
        <w:t>4. Internal notes — what to walk Dr. Rey through, in order</w:t>
      </w:r>
    </w:p>
    <w:p>
      <w:pPr>
        <w:pStyle w:val="ListNumber"/>
      </w:pPr>
      <w:r>
        <w:rPr>
          <w:b/>
        </w:rPr>
        <w:t>The paper itself</w:t>
      </w:r>
      <w:r>
        <w:t xml:space="preserve"> (5 min): show that the v4.1 has the structure he asked for — theory section with the selected lens, one section per construct, figure in Ch. 3, hypothesis sections, instrument in appendix.</w:t>
      </w:r>
    </w:p>
    <w:p>
      <w:pPr>
        <w:pStyle w:val="ListNumber"/>
      </w:pPr>
      <w:r>
        <w:rPr>
          <w:b/>
        </w:rPr>
        <w:t>The Qualtrics build status</w:t>
      </w:r>
      <w:r>
        <w:t xml:space="preserve"> (5 min): screen-share the Qualtrics editor with the instrument loaded; walk through the consent block, attention checks, reverse-coded items, and progress indicator. Ask him for face-validity sign-off.</w:t>
      </w:r>
    </w:p>
    <w:p>
      <w:pPr>
        <w:pStyle w:val="ListNumber"/>
      </w:pPr>
      <w:r>
        <w:rPr>
          <w:b/>
        </w:rPr>
        <w:t>The informed-pilot list</w:t>
      </w:r>
      <w:r>
        <w:t xml:space="preserve"> (3 min): name the 4–8 LinkedIn audit contacts you plan to invite, why each fits the IRB eligibility (≥2 years audit experience, exposure to long-term engagements), and what feedback you'll collect from them (timing, item clarity, any confusion).</w:t>
      </w:r>
    </w:p>
    <w:p>
      <w:pPr>
        <w:pStyle w:val="ListNumber"/>
      </w:pPr>
      <w:r>
        <w:rPr>
          <w:b/>
        </w:rPr>
        <w:t>The recruiting-platform plan</w:t>
      </w:r>
      <w:r>
        <w:t xml:space="preserve"> (5 min): CloudResearch vs. MTurk decision, target n = 60–80, screening qualifications, payment amount within the IRB-approved fixed compensation.</w:t>
      </w:r>
    </w:p>
    <w:p>
      <w:pPr>
        <w:pStyle w:val="ListNumber"/>
      </w:pPr>
      <w:r>
        <w:rPr>
          <w:b/>
        </w:rPr>
        <w:t>The LinkedIn outreach copy approval</w:t>
      </w:r>
      <w:r>
        <w:t xml:space="preserve"> (3 min): the three IRB-aligned templates in the LinkedIn Outreach Pack, asking for his sign-off so outreach can begin this week.</w:t>
      </w:r>
    </w:p>
    <w:p>
      <w:pPr>
        <w:pStyle w:val="ListNumber"/>
      </w:pPr>
      <w:r>
        <w:rPr>
          <w:b/>
        </w:rPr>
        <w:t>Open questions / risks</w:t>
      </w:r>
      <w:r>
        <w:t xml:space="preserve"> (anything remaining).</w:t>
      </w:r>
    </w:p>
    <w:p>
      <w:r>
        <w:br w:type="page"/>
      </w:r>
    </w:p>
    <w:p>
      <w:pPr>
        <w:pStyle w:val="Heading2"/>
      </w:pPr>
      <w:r>
        <w:t>5. Action items emerging from this email</w:t>
      </w:r>
    </w:p>
    <w:p>
      <w:pPr>
        <w:pStyle w:val="ListBullet"/>
      </w:pPr>
      <w:r>
        <w:t>[ ] Send the response email above (today)</w:t>
      </w:r>
    </w:p>
    <w:p>
      <w:pPr>
        <w:pStyle w:val="ListBullet"/>
      </w:pPr>
      <w:r>
        <w:t>[ ] Confirm meeting time</w:t>
      </w:r>
    </w:p>
    <w:p>
      <w:pPr>
        <w:pStyle w:val="ListBullet"/>
      </w:pPr>
      <w:r>
        <w:t>[ ] Pre-meeting: open Qualtrics in a tab, verify the live instrument matches the IRB-approved version</w:t>
      </w:r>
    </w:p>
    <w:p>
      <w:pPr>
        <w:pStyle w:val="ListBullet"/>
      </w:pPr>
      <w:r>
        <w:t xml:space="preserve">[ ] Pre-meeting: have </w:t>
      </w:r>
      <w:r>
        <w:rPr>
          <w:rFonts w:ascii="Consolas" w:hAnsi="Consolas"/>
          <w:sz w:val="20"/>
        </w:rPr>
        <w:t>ALL_IN_ONE_DBA_Package_v1.docx</w:t>
      </w:r>
      <w:r>
        <w:t xml:space="preserve"> and </w:t>
      </w:r>
      <w:r>
        <w:rPr>
          <w:rFonts w:ascii="Consolas" w:hAnsi="Consolas"/>
          <w:sz w:val="20"/>
        </w:rPr>
        <w:t>Research_Paper_YMalik_v4.docx</w:t>
      </w:r>
      <w:r>
        <w:t xml:space="preserve"> open in a second tab</w:t>
      </w:r>
    </w:p>
    <w:p>
      <w:pPr>
        <w:pStyle w:val="ListBullet"/>
      </w:pPr>
      <w:r>
        <w:t xml:space="preserve">[ ] Pre-meeting: re-read </w:t>
      </w:r>
      <w:r>
        <w:rPr>
          <w:rFonts w:ascii="Consolas" w:hAnsi="Consolas"/>
          <w:sz w:val="20"/>
        </w:rPr>
        <w:t>Data_Collection_Readiness.md</w:t>
      </w:r>
      <w:r>
        <w:t xml:space="preserve"> (in the same folder) so the readiness status is in your head, not on a slide</w:t>
      </w:r>
    </w:p>
    <w:p>
      <w:pPr>
        <w:pStyle w:val="ListBullet"/>
      </w:pPr>
      <w:r>
        <w:t>[ ] In meeting: get explicit face-validity sign-off on the Qualtrics build</w:t>
      </w:r>
    </w:p>
    <w:p>
      <w:pPr>
        <w:pStyle w:val="ListBullet"/>
      </w:pPr>
      <w:r>
        <w:t>[ ] In meeting: get LinkedIn outreach copy sign-off</w:t>
      </w:r>
    </w:p>
    <w:p>
      <w:pPr>
        <w:pStyle w:val="ListBullet"/>
      </w:pPr>
      <w:r>
        <w:t>[ ] After meeting: file Topaz IRB PI-change amendment (if not yet filed)</w:t>
      </w:r>
    </w:p>
    <w:p>
      <w:pPr>
        <w:pStyle w:val="ListBullet"/>
      </w:pPr>
      <w:r>
        <w:t>[ ] After meeting: send pilot links to LinkedIn contacts within 24 hours of sign-off</w:t>
      </w:r>
    </w:p>
    <w:p>
      <w:r>
        <w:br w:type="page"/>
      </w:r>
    </w:p>
    <w:p>
      <w:pPr>
        <w:pStyle w:val="Heading2"/>
      </w:pPr>
      <w:r>
        <w:t>Data Collection Readiness checklist</w:t>
      </w:r>
    </w:p>
    <w:p>
      <w:pPr>
        <w:pStyle w:val="Heading1"/>
      </w:pPr>
      <w:r>
        <w:t>Data Collection Readiness Checklist</w:t>
      </w:r>
    </w:p>
    <w:p>
      <w:r>
        <w:rPr>
          <w:b/>
        </w:rPr>
        <w:t>Project:</w:t>
      </w:r>
      <w:r>
        <w:t xml:space="preserve"> Mitigating Anchoring Bias in Long-Term Auditor Engagements</w:t>
      </w:r>
    </w:p>
    <w:p>
      <w:r>
        <w:rPr>
          <w:b/>
        </w:rPr>
        <w:t>Author:</w:t>
      </w:r>
      <w:r>
        <w:t xml:space="preserve"> Yasir A. Malik (PID 1687105) — FIU DBA Cohort 7.16</w:t>
      </w:r>
    </w:p>
    <w:p>
      <w:r>
        <w:rPr>
          <w:b/>
        </w:rPr>
        <w:t>Advisor:</w:t>
      </w:r>
      <w:r>
        <w:t xml:space="preserve"> Prof. Dr. Juan Rey</w:t>
      </w:r>
    </w:p>
    <w:p>
      <w:r>
        <w:rPr>
          <w:b/>
        </w:rPr>
        <w:t>Compiled:</w:t>
      </w:r>
      <w:r>
        <w:t xml:space="preserve"> June 1, 2026 — in response to Dr. Rey's 2026-06-01 feedback</w:t>
      </w:r>
    </w:p>
    <w:p>
      <w:r>
        <w:rPr>
          <w:b/>
        </w:rPr>
        <w:t>Owner of unchecked items:</w:t>
      </w:r>
      <w:r>
        <w:t xml:space="preserve"> Yasir (this is the work that must happen before pilot launch)</w:t>
      </w:r>
    </w:p>
    <w:p>
      <w:r>
        <w:br w:type="page"/>
      </w:r>
    </w:p>
    <w:p>
      <w:pPr>
        <w:pStyle w:val="Heading2"/>
      </w:pPr>
      <w:r>
        <w:t>Stage 0 — Ethics &amp; Regulatory ✅ COMPLETE</w:t>
      </w:r>
    </w:p>
    <w:p>
      <w:pPr>
        <w:pStyle w:val="ListBullet"/>
      </w:pPr>
      <w:r>
        <w:t xml:space="preserve">✅ </w:t>
      </w:r>
      <w:r>
        <w:rPr>
          <w:b/>
        </w:rPr>
        <w:t>IRB approval</w:t>
      </w:r>
      <w:r>
        <w:t xml:space="preserve"> — FIU IRB Protocol IRB-25-0462, approved September 2, 2025, effective through September 2, 2030 (5-year exempt status)</w:t>
      </w:r>
    </w:p>
    <w:p>
      <w:pPr>
        <w:pStyle w:val="ListBullet"/>
      </w:pPr>
      <w:r>
        <w:t xml:space="preserve">✅ </w:t>
      </w:r>
      <w:r>
        <w:rPr>
          <w:b/>
        </w:rPr>
        <w:t>Informed consent letter</w:t>
      </w:r>
      <w:r>
        <w:t xml:space="preserve"> — IRB-approved Informational Letter presented as the first screen of the survey before any item</w:t>
      </w:r>
    </w:p>
    <w:p>
      <w:pPr>
        <w:pStyle w:val="ListBullet"/>
      </w:pPr>
      <w:r>
        <w:t xml:space="preserve">✅ </w:t>
      </w:r>
      <w:r>
        <w:rPr>
          <w:b/>
        </w:rPr>
        <w:t>Compensation structure</w:t>
      </w:r>
      <w:r>
        <w:t xml:space="preserve"> — fixed, Florida-compliant amount paid on submission; no incentive tied to answer content</w:t>
      </w:r>
    </w:p>
    <w:p>
      <w:pPr>
        <w:pStyle w:val="ListBullet"/>
      </w:pPr>
      <w:r>
        <w:t xml:space="preserve">⏳ </w:t>
      </w:r>
      <w:r>
        <w:rPr>
          <w:b/>
        </w:rPr>
        <w:t>IRB PI-change amendment</w:t>
      </w:r>
      <w:r>
        <w:t xml:space="preserve"> — to be filed in Topaz this week per Weekly Update W01 v2</w:t>
      </w:r>
    </w:p>
    <w:p>
      <w:pPr>
        <w:pStyle w:val="ListBullet"/>
      </w:pPr>
      <w:r>
        <w:t xml:space="preserve">✅ </w:t>
      </w:r>
      <w:r>
        <w:rPr>
          <w:b/>
        </w:rPr>
        <w:t>Data-handling protocol</w:t>
      </w:r>
      <w:r>
        <w:t xml:space="preserve"> — anonymous collection via FIU Qualtrics, IP retention disabled, FIU-secured storage, access limited to investigator and advisor</w:t>
      </w:r>
    </w:p>
    <w:p>
      <w:r>
        <w:br w:type="page"/>
      </w:r>
    </w:p>
    <w:p>
      <w:pPr>
        <w:pStyle w:val="Heading2"/>
      </w:pPr>
      <w:r>
        <w:t>Stage 1 — Instrument ⏳ FINAL BUILD IN PROGRESS</w:t>
      </w:r>
    </w:p>
    <w:p>
      <w:pPr>
        <w:pStyle w:val="ListBullet"/>
      </w:pPr>
      <w:r>
        <w:t xml:space="preserve">✅ </w:t>
      </w:r>
      <w:r>
        <w:rPr>
          <w:b/>
        </w:rPr>
        <w:t>Constructs defined</w:t>
      </w:r>
      <w:r>
        <w:t xml:space="preserve"> — 11 constructs operationalized in </w:t>
      </w:r>
      <w:r>
        <w:rPr>
          <w:rFonts w:ascii="Consolas" w:hAnsi="Consolas"/>
          <w:sz w:val="20"/>
        </w:rPr>
        <w:t>Research_Paper_YMalik_v4.docx</w:t>
      </w:r>
      <w:r>
        <w:t xml:space="preserve"> §§ 2.4–2.13 (8 IVs + 2 mediators + 1 DV)</w:t>
      </w:r>
    </w:p>
    <w:p>
      <w:pPr>
        <w:pStyle w:val="ListBullet"/>
      </w:pPr>
      <w:r>
        <w:t xml:space="preserve">✅ </w:t>
      </w:r>
      <w:r>
        <w:rPr>
          <w:b/>
        </w:rPr>
        <w:t>Items drafted</w:t>
      </w:r>
      <w:r>
        <w:t xml:space="preserve"> — 5 items × 11 constructs = 55 construct items + 12 demographics, in v4 Appendix A</w:t>
      </w:r>
    </w:p>
    <w:p>
      <w:pPr>
        <w:pStyle w:val="ListBullet"/>
      </w:pPr>
      <w:r>
        <w:t xml:space="preserve">✅ </w:t>
      </w:r>
      <w:r>
        <w:rPr>
          <w:b/>
        </w:rPr>
        <w:t>Reverse-coded items</w:t>
      </w:r>
      <w:r>
        <w:t xml:space="preserve"> — one reverse-coded item per construct, embedded</w:t>
      </w:r>
    </w:p>
    <w:p>
      <w:pPr>
        <w:pStyle w:val="ListBullet"/>
      </w:pPr>
      <w:r>
        <w:t xml:space="preserve">✅ </w:t>
      </w:r>
      <w:r>
        <w:rPr>
          <w:b/>
        </w:rPr>
        <w:t>Attention checks</w:t>
      </w:r>
      <w:r>
        <w:t xml:space="preserve"> — two embedded ("select Disagree", "select Agree")</w:t>
      </w:r>
    </w:p>
    <w:p>
      <w:pPr>
        <w:pStyle w:val="ListBullet"/>
      </w:pPr>
      <w:r>
        <w:t xml:space="preserve">⏳ </w:t>
      </w:r>
      <w:r>
        <w:rPr>
          <w:b/>
        </w:rPr>
        <w:t>Reconciled against IRB-approved instrument</w:t>
      </w:r>
      <w:r>
        <w:t xml:space="preserve"> — Appendix A is a draft for reconciliation; the IRB-approved instrument (</w:t>
      </w:r>
      <w:r>
        <w:rPr>
          <w:rFonts w:ascii="Consolas" w:hAnsi="Consolas"/>
          <w:sz w:val="20"/>
        </w:rPr>
        <w:t>Updated Measurement Instrument – Malik, Y.docx</w:t>
      </w:r>
      <w:r>
        <w:t xml:space="preserve">) governs where they differ. </w:t>
      </w:r>
      <w:r>
        <w:rPr>
          <w:b/>
        </w:rPr>
        <w:t>ACTION:</w:t>
      </w:r>
      <w:r>
        <w:t xml:space="preserve"> open both side-by-side, confirm wording matches, log any differences as either (a) non-substantive or (b) requiring a Topaz amendment.</w:t>
      </w:r>
    </w:p>
    <w:p>
      <w:pPr>
        <w:pStyle w:val="ListBullet"/>
      </w:pPr>
      <w:r>
        <w:t xml:space="preserve">⏳ </w:t>
      </w:r>
      <w:r>
        <w:rPr>
          <w:b/>
        </w:rPr>
        <w:t>Loaded into Qualtrics</w:t>
      </w:r>
      <w:r>
        <w:t xml:space="preserve"> — final reconciled items entered into FIU Qualtrics. </w:t>
      </w:r>
      <w:r>
        <w:rPr>
          <w:b/>
        </w:rPr>
        <w:t>ACTION:</w:t>
      </w:r>
      <w:r>
        <w:t xml:space="preserve"> complete before today's meeting if possible; if not, screen-share whatever state the build is in.</w:t>
      </w:r>
    </w:p>
    <w:p>
      <w:pPr>
        <w:pStyle w:val="ListBullet"/>
      </w:pPr>
      <w:r>
        <w:t xml:space="preserve">⏳ </w:t>
      </w:r>
      <w:r>
        <w:rPr>
          <w:b/>
        </w:rPr>
        <w:t>Survey logic</w:t>
      </w:r>
      <w:r>
        <w:t xml:space="preserve"> — consent block → demographics → randomized construct blocks → debrief → submission confirmation. </w:t>
      </w:r>
      <w:r>
        <w:rPr>
          <w:b/>
        </w:rPr>
        <w:t>ACTION:</w:t>
      </w:r>
      <w:r>
        <w:t xml:space="preserve"> verify in Qualtrics.</w:t>
      </w:r>
    </w:p>
    <w:p>
      <w:pPr>
        <w:pStyle w:val="ListBullet"/>
      </w:pPr>
      <w:r>
        <w:t xml:space="preserve">⏳ </w:t>
      </w:r>
      <w:r>
        <w:rPr>
          <w:b/>
        </w:rPr>
        <w:t>Face-validity walk-through with Dr. Rey</w:t>
      </w:r>
      <w:r>
        <w:t xml:space="preserve"> — this is the explicit ask from his 2026-06-01 email.</w:t>
      </w:r>
    </w:p>
    <w:p>
      <w:r>
        <w:br w:type="page"/>
      </w:r>
    </w:p>
    <w:p>
      <w:pPr>
        <w:pStyle w:val="Heading2"/>
      </w:pPr>
      <w:r>
        <w:t>Stage 2 — Informed Pilot ⏳ READY TO LAUNCH AFTER FACE-VALIDITY SIGN-OFF</w:t>
      </w:r>
    </w:p>
    <w:p>
      <w:pPr>
        <w:pStyle w:val="ListBullet"/>
      </w:pPr>
      <w:r>
        <w:t xml:space="preserve">⏳ </w:t>
      </w:r>
      <w:r>
        <w:rPr>
          <w:b/>
        </w:rPr>
        <w:t>Pilot recipient list</w:t>
      </w:r>
      <w:r>
        <w:t xml:space="preserve"> — 4–8 LinkedIn audit contacts, each meeting IRB eligibility (≥2 years audit experience, exposure to long-term/multi-year engagements). </w:t>
      </w:r>
      <w:r>
        <w:rPr>
          <w:b/>
        </w:rPr>
        <w:t>ACTION:</w:t>
      </w:r>
      <w:r>
        <w:t xml:space="preserve"> draft list before today's meeting; bring to the screen-share.</w:t>
      </w:r>
    </w:p>
    <w:p>
      <w:pPr>
        <w:pStyle w:val="ListBullet"/>
      </w:pPr>
      <w:r>
        <w:t xml:space="preserve">⏳ </w:t>
      </w:r>
      <w:r>
        <w:rPr>
          <w:b/>
        </w:rPr>
        <w:t>Pilot invitation copy</w:t>
      </w:r>
      <w:r>
        <w:t xml:space="preserve"> — short, friendly, non-coercive, mentions IRB protocol, time estimate (~18 min), and asks for completion + qualitative feedback (timing, clarity, any items they paused on).</w:t>
      </w:r>
    </w:p>
    <w:p>
      <w:pPr>
        <w:pStyle w:val="ListBullet"/>
      </w:pPr>
      <w:r>
        <w:t xml:space="preserve">⏳ </w:t>
      </w:r>
      <w:r>
        <w:rPr>
          <w:b/>
        </w:rPr>
        <w:t>Pilot feedback capture form</w:t>
      </w:r>
      <w:r>
        <w:t xml:space="preserve"> — separate short form (not the survey itself) for collecting pilot respondents' qualitative impressions.</w:t>
      </w:r>
    </w:p>
    <w:p>
      <w:pPr>
        <w:pStyle w:val="ListBullet"/>
      </w:pPr>
      <w:r>
        <w:t xml:space="preserve">⏳ </w:t>
      </w:r>
      <w:r>
        <w:rPr>
          <w:b/>
        </w:rPr>
        <w:t>Pilot timing</w:t>
      </w:r>
      <w:r>
        <w:t xml:space="preserve"> — 48-hour window after sign-off; review responses within 24 hours of close.</w:t>
      </w:r>
    </w:p>
    <w:p>
      <w:pPr>
        <w:pStyle w:val="ListBullet"/>
      </w:pPr>
      <w:r>
        <w:t xml:space="preserve">⏳ </w:t>
      </w:r>
      <w:r>
        <w:rPr>
          <w:b/>
        </w:rPr>
        <w:t>Pilot revision protocol</w:t>
      </w:r>
      <w:r>
        <w:t xml:space="preserve"> — minor revisions = update Qualtrics directly; material revisions = file a Topaz amendment first.</w:t>
      </w:r>
    </w:p>
    <w:p>
      <w:r>
        <w:br w:type="page"/>
      </w:r>
    </w:p>
    <w:p>
      <w:pPr>
        <w:pStyle w:val="Heading2"/>
      </w:pPr>
      <w:r>
        <w:t>Stage 3 — Recruiting Platform ⏳ NOT YET LAUNCHED</w:t>
      </w:r>
    </w:p>
    <w:p>
      <w:r>
        <w:t>Three parallel channels per the IRB-approved protocol:</w:t>
      </w:r>
    </w:p>
    <w:p>
      <w:pPr>
        <w:pStyle w:val="Heading3"/>
      </w:pPr>
      <w:r>
        <w:t>3a — CloudResearch / MTurk (primary, target ~30–40 responses)</w:t>
      </w:r>
    </w:p>
    <w:p>
      <w:pPr>
        <w:pStyle w:val="ListBullet"/>
      </w:pPr>
      <w:r>
        <w:t xml:space="preserve">⏳ </w:t>
      </w:r>
      <w:r>
        <w:rPr>
          <w:b/>
        </w:rPr>
        <w:t>Platform decision</w:t>
      </w:r>
      <w:r>
        <w:t xml:space="preserve"> — CloudResearch generally preferred over raw MTurk for academic survey work due to better quality controls and Prime Panel access. </w:t>
      </w:r>
      <w:r>
        <w:rPr>
          <w:b/>
        </w:rPr>
        <w:t>ACTION:</w:t>
      </w:r>
      <w:r>
        <w:t xml:space="preserve"> confirm with Dr. Rey in today's meeting.</w:t>
      </w:r>
    </w:p>
    <w:p>
      <w:pPr>
        <w:pStyle w:val="ListBullet"/>
      </w:pPr>
      <w:r>
        <w:t xml:space="preserve">⏳ </w:t>
      </w:r>
      <w:r>
        <w:rPr>
          <w:b/>
        </w:rPr>
        <w:t>Account setup</w:t>
      </w:r>
      <w:r>
        <w:t xml:space="preserve"> — researcher account, IRB protocol on file with platform</w:t>
      </w:r>
    </w:p>
    <w:p>
      <w:pPr>
        <w:pStyle w:val="ListBullet"/>
      </w:pPr>
      <w:r>
        <w:t xml:space="preserve">⏳ </w:t>
      </w:r>
      <w:r>
        <w:rPr>
          <w:b/>
        </w:rPr>
        <w:t>HIT / study configuration</w:t>
      </w:r>
      <w:r>
        <w:t xml:space="preserve"> — qualification filters (auditor occupation; ≥2 years experience; US/Canada), payment amount, expected duration, screening items</w:t>
      </w:r>
    </w:p>
    <w:p>
      <w:pPr>
        <w:pStyle w:val="ListBullet"/>
      </w:pPr>
      <w:r>
        <w:t xml:space="preserve">⏳ </w:t>
      </w:r>
      <w:r>
        <w:rPr>
          <w:b/>
        </w:rPr>
        <w:t>Soft launch</w:t>
      </w:r>
      <w:r>
        <w:t xml:space="preserve"> — small batch first (n = 10), inspect quality, then full launch</w:t>
      </w:r>
    </w:p>
    <w:p>
      <w:pPr>
        <w:pStyle w:val="ListBullet"/>
      </w:pPr>
      <w:r>
        <w:t xml:space="preserve">⏳ </w:t>
      </w:r>
      <w:r>
        <w:rPr>
          <w:b/>
        </w:rPr>
        <w:t>Quality controls</w:t>
      </w:r>
      <w:r>
        <w:t xml:space="preserve"> — attention-check failure threshold (typically remove responses failing any of the embedded checks), duplicate-IP detection, minimum completion-time threshold</w:t>
      </w:r>
    </w:p>
    <w:p>
      <w:pPr>
        <w:pStyle w:val="Heading3"/>
      </w:pPr>
      <w:r>
        <w:t>3b — LinkedIn outreach (target ~30–40 responses)</w:t>
      </w:r>
    </w:p>
    <w:p>
      <w:pPr>
        <w:pStyle w:val="ListBullet"/>
      </w:pPr>
      <w:r>
        <w:t xml:space="preserve">✅ </w:t>
      </w:r>
      <w:r>
        <w:rPr>
          <w:b/>
        </w:rPr>
        <w:t>Outreach copy drafted</w:t>
      </w:r>
      <w:r>
        <w:t xml:space="preserve"> — three IRB-aligned templates in </w:t>
      </w:r>
      <w:r>
        <w:rPr>
          <w:rFonts w:ascii="Consolas" w:hAnsi="Consolas"/>
          <w:sz w:val="20"/>
        </w:rPr>
        <w:t>LinkedIn_Outreach_Pack.docx</w:t>
      </w:r>
    </w:p>
    <w:p>
      <w:pPr>
        <w:pStyle w:val="ListBullet"/>
      </w:pPr>
      <w:r>
        <w:t xml:space="preserve">⏳ </w:t>
      </w:r>
      <w:r>
        <w:rPr>
          <w:b/>
        </w:rPr>
        <w:t>Advisor sign-off on copy</w:t>
      </w:r>
      <w:r>
        <w:t xml:space="preserve"> — explicit ask in this meeting</w:t>
      </w:r>
    </w:p>
    <w:p>
      <w:pPr>
        <w:pStyle w:val="ListBullet"/>
      </w:pPr>
      <w:r>
        <w:t xml:space="preserve">⏳ </w:t>
      </w:r>
      <w:r>
        <w:rPr>
          <w:b/>
        </w:rPr>
        <w:t>Outreach log spreadsheet</w:t>
      </w:r>
      <w:r>
        <w:t xml:space="preserve"> — track: date sent, role/title, connection accepted (Y/N), survey link sent (Y/N). </w:t>
      </w:r>
      <w:r>
        <w:rPr>
          <w:b/>
        </w:rPr>
        <w:t>DO NOT</w:t>
      </w:r>
      <w:r>
        <w:t xml:space="preserve"> log respondent identity tied to submissions — would breach IRB consent terms.</w:t>
      </w:r>
    </w:p>
    <w:p>
      <w:pPr>
        <w:pStyle w:val="ListBullet"/>
      </w:pPr>
      <w:r>
        <w:t xml:space="preserve">⏳ </w:t>
      </w:r>
      <w:r>
        <w:rPr>
          <w:b/>
        </w:rPr>
        <w:t>Target volume</w:t>
      </w:r>
      <w:r>
        <w:t xml:space="preserve"> — 150–200 outreach attempts to yield 30–40 responses</w:t>
      </w:r>
    </w:p>
    <w:p>
      <w:pPr>
        <w:pStyle w:val="Heading3"/>
      </w:pPr>
      <w:r>
        <w:t>3c — Practitioner / IIA chapter referrals (target backfill)</w:t>
      </w:r>
    </w:p>
    <w:p>
      <w:pPr>
        <w:pStyle w:val="ListBullet"/>
      </w:pPr>
      <w:r>
        <w:t xml:space="preserve">⏳ </w:t>
      </w:r>
      <w:r>
        <w:rPr>
          <w:b/>
        </w:rPr>
        <w:t>Identify IIA chapter contacts</w:t>
      </w:r>
      <w:r>
        <w:t xml:space="preserve"> — likely Miami / South Florida chapter first</w:t>
      </w:r>
    </w:p>
    <w:p>
      <w:pPr>
        <w:pStyle w:val="ListBullet"/>
      </w:pPr>
      <w:r>
        <w:t xml:space="preserve">⏳ </w:t>
      </w:r>
      <w:r>
        <w:rPr>
          <w:b/>
        </w:rPr>
        <w:t>Email-introduction copy</w:t>
      </w:r>
      <w:r>
        <w:t xml:space="preserve"> — separate template, advisor sign-off needed</w:t>
      </w:r>
    </w:p>
    <w:p>
      <w:r>
        <w:br w:type="page"/>
      </w:r>
    </w:p>
    <w:p>
      <w:pPr>
        <w:pStyle w:val="Heading2"/>
      </w:pPr>
      <w:r>
        <w:t>Stage 4 — Analysis Readiness ⏳ PRE-WIRED</w:t>
      </w:r>
    </w:p>
    <w:p>
      <w:r>
        <w:t>These don't need to be live yet but should be specified now so analysis starts the day collection closes.</w:t>
      </w:r>
    </w:p>
    <w:p>
      <w:pPr>
        <w:pStyle w:val="ListBullet"/>
      </w:pPr>
      <w:r>
        <w:t xml:space="preserve">✅ </w:t>
      </w:r>
      <w:r>
        <w:rPr>
          <w:b/>
        </w:rPr>
        <w:t>Analysis plan documented</w:t>
      </w:r>
      <w:r>
        <w:t xml:space="preserve"> — </w:t>
      </w:r>
      <w:r>
        <w:rPr>
          <w:rFonts w:ascii="Consolas" w:hAnsi="Consolas"/>
          <w:sz w:val="20"/>
        </w:rPr>
        <w:t>Research_Paper_YMalik_v4.docx</w:t>
      </w:r>
      <w:r>
        <w:t xml:space="preserve"> § 4.4 (cleaning → descriptives → reliability α ≥ .70 → EFA with PAF + varimax + KMO + Bartlett + parallel analysis → correlations → regression → PROCESS Model 4 mediation, 5,000 bootstraps)</w:t>
      </w:r>
    </w:p>
    <w:p>
      <w:pPr>
        <w:pStyle w:val="ListBullet"/>
      </w:pPr>
      <w:r>
        <w:t xml:space="preserve">⏳ </w:t>
      </w:r>
      <w:r>
        <w:rPr>
          <w:b/>
        </w:rPr>
        <w:t>Software access</w:t>
      </w:r>
      <w:r>
        <w:t xml:space="preserve"> — SPSS + PROCESS macro confirmed available via FIU</w:t>
      </w:r>
    </w:p>
    <w:p>
      <w:pPr>
        <w:pStyle w:val="ListBullet"/>
      </w:pPr>
      <w:r>
        <w:t xml:space="preserve">⏳ </w:t>
      </w:r>
      <w:r>
        <w:rPr>
          <w:b/>
        </w:rPr>
        <w:t>EFA decision rules pre-specified</w:t>
      </w:r>
      <w:r>
        <w:t xml:space="preserve"> — Kaiser–Guttman + scree + parallel analysis convergence; minimum factor loading 0.40; cross-loading threshold 0.30</w:t>
      </w:r>
    </w:p>
    <w:p>
      <w:pPr>
        <w:pStyle w:val="ListBullet"/>
      </w:pPr>
      <w:r>
        <w:t xml:space="preserve">⏳ </w:t>
      </w:r>
      <w:r>
        <w:rPr>
          <w:b/>
        </w:rPr>
        <w:t>Sample-size monitoring rule</w:t>
      </w:r>
      <w:r>
        <w:t xml:space="preserve"> — close collection at n = 60 minimum / 80 target / hard stop at 100</w:t>
      </w:r>
    </w:p>
    <w:p>
      <w:r>
        <w:br w:type="page"/>
      </w:r>
    </w:p>
    <w:p>
      <w:pPr>
        <w:pStyle w:val="Heading2"/>
      </w:pPr>
      <w:r>
        <w:t>What's actually blocking the pilot, in one sentence</w:t>
      </w:r>
    </w:p>
    <w:p>
      <w:r>
        <w:rPr>
          <w:b/>
        </w:rPr>
        <w:t>Once the instrument is reconciled with the IRB-approved version, loaded into Qualtrics, and Dr. Rey has signed off on its face validity and the LinkedIn outreach copy, the pilot launches.</w:t>
      </w:r>
      <w:r>
        <w:t xml:space="preserve"> Everything else (the paper, the IRB, the analysis plan, the recruitment copy, the outreach log structure) is already in place.</w:t>
      </w:r>
    </w:p>
    <w:p>
      <w:r>
        <w:br w:type="page"/>
      </w:r>
    </w:p>
    <w:p>
      <w:pPr>
        <w:pStyle w:val="Heading2"/>
      </w:pPr>
      <w:r>
        <w:t>Status traffic light, as of 2026-06-01</w:t>
      </w:r>
    </w:p>
    <w:tbl>
      <w:tblPr>
        <w:tblStyle w:val="LightGrid-Accent1"/>
        <w:tblW w:type="auto" w:w="0"/>
        <w:tblLook w:firstColumn="1" w:firstRow="1" w:lastColumn="0" w:lastRow="0" w:noHBand="0" w:noVBand="1" w:val="04A0"/>
      </w:tblPr>
      <w:tblGrid>
        <w:gridCol w:w="4680"/>
        <w:gridCol w:w="4680"/>
      </w:tblGrid>
      <w:tr>
        <w:tc>
          <w:tcPr>
            <w:tcW w:type="dxa" w:w="4680"/>
          </w:tcPr>
          <w:p>
            <w:pPr>
              <w:spacing w:line="240" w:lineRule="auto"/>
            </w:pPr>
            <w:r/>
            <w:r>
              <w:t>Stage</w:t>
            </w:r>
          </w:p>
        </w:tc>
        <w:tc>
          <w:tcPr>
            <w:tcW w:type="dxa" w:w="4680"/>
          </w:tcPr>
          <w:p>
            <w:pPr>
              <w:spacing w:line="240" w:lineRule="auto"/>
            </w:pPr>
            <w:r/>
            <w:r>
              <w:t>Status</w:t>
            </w:r>
          </w:p>
        </w:tc>
      </w:tr>
      <w:tr>
        <w:tc>
          <w:tcPr>
            <w:tcW w:type="dxa" w:w="4680"/>
          </w:tcPr>
          <w:p>
            <w:pPr>
              <w:spacing w:line="240" w:lineRule="auto"/>
            </w:pPr>
            <w:r/>
            <w:r>
              <w:t>0 — Ethics / IRB</w:t>
            </w:r>
          </w:p>
        </w:tc>
        <w:tc>
          <w:tcPr>
            <w:tcW w:type="dxa" w:w="4680"/>
          </w:tcPr>
          <w:p>
            <w:pPr>
              <w:spacing w:line="240" w:lineRule="auto"/>
            </w:pPr>
            <w:r/>
            <w:r>
              <w:t>🟢 Complete (1 minor follow-up — Topaz PI amendment)</w:t>
            </w:r>
          </w:p>
        </w:tc>
      </w:tr>
      <w:tr>
        <w:tc>
          <w:tcPr>
            <w:tcW w:type="dxa" w:w="4680"/>
          </w:tcPr>
          <w:p>
            <w:pPr>
              <w:spacing w:line="240" w:lineRule="auto"/>
            </w:pPr>
            <w:r/>
            <w:r>
              <w:t>1 — Instrument</w:t>
            </w:r>
          </w:p>
        </w:tc>
        <w:tc>
          <w:tcPr>
            <w:tcW w:type="dxa" w:w="4680"/>
          </w:tcPr>
          <w:p>
            <w:pPr>
              <w:spacing w:line="240" w:lineRule="auto"/>
            </w:pPr>
            <w:r/>
            <w:r>
              <w:t>🟡 Draft complete; Qualtrics build + face-validity walkthrough pending</w:t>
            </w:r>
          </w:p>
        </w:tc>
      </w:tr>
      <w:tr>
        <w:tc>
          <w:tcPr>
            <w:tcW w:type="dxa" w:w="4680"/>
          </w:tcPr>
          <w:p>
            <w:pPr>
              <w:spacing w:line="240" w:lineRule="auto"/>
            </w:pPr>
            <w:r/>
            <w:r>
              <w:t>2 — Informed pilot</w:t>
            </w:r>
          </w:p>
        </w:tc>
        <w:tc>
          <w:tcPr>
            <w:tcW w:type="dxa" w:w="4680"/>
          </w:tcPr>
          <w:p>
            <w:pPr>
              <w:spacing w:line="240" w:lineRule="auto"/>
            </w:pPr>
            <w:r/>
            <w:r>
              <w:t>🟡 Ready to launch the moment Stage 1 closes</w:t>
            </w:r>
          </w:p>
        </w:tc>
      </w:tr>
      <w:tr>
        <w:tc>
          <w:tcPr>
            <w:tcW w:type="dxa" w:w="4680"/>
          </w:tcPr>
          <w:p>
            <w:pPr>
              <w:spacing w:line="240" w:lineRule="auto"/>
            </w:pPr>
            <w:r/>
            <w:r>
              <w:t>3 — Recruiting platforms</w:t>
            </w:r>
          </w:p>
        </w:tc>
        <w:tc>
          <w:tcPr>
            <w:tcW w:type="dxa" w:w="4680"/>
          </w:tcPr>
          <w:p>
            <w:pPr>
              <w:spacing w:line="240" w:lineRule="auto"/>
            </w:pPr>
            <w:r/>
            <w:r>
              <w:t>🔴 Not yet configured; planned post-pilot</w:t>
            </w:r>
          </w:p>
        </w:tc>
      </w:tr>
      <w:tr>
        <w:tc>
          <w:tcPr>
            <w:tcW w:type="dxa" w:w="4680"/>
          </w:tcPr>
          <w:p>
            <w:pPr>
              <w:spacing w:line="240" w:lineRule="auto"/>
            </w:pPr>
            <w:r/>
            <w:r>
              <w:t>4 — Analysis pipeline</w:t>
            </w:r>
          </w:p>
        </w:tc>
        <w:tc>
          <w:tcPr>
            <w:tcW w:type="dxa" w:w="4680"/>
          </w:tcPr>
          <w:p>
            <w:pPr>
              <w:spacing w:line="240" w:lineRule="auto"/>
            </w:pPr>
            <w:r/>
            <w:r>
              <w:t>🟢 Plan documented; software access to confirm</w:t>
            </w:r>
          </w:p>
        </w:tc>
      </w:tr>
    </w:tbl>
    <w:p>
      <w:pPr>
        <w:spacing w:after="0"/>
      </w:pPr>
    </w:p>
    <w:p>
      <w:r>
        <w:rPr>
          <w:b/>
        </w:rPr>
        <w:t>Net read for the advisor:</w:t>
      </w:r>
      <w:r>
        <w:t xml:space="preserve"> project is on the right path, three concrete blockers between now and live collection (Qualtrics build, face-validity sign-off, LinkedIn copy sign-off), all addressable in one meeting.</w:t>
      </w:r>
    </w:p>
    <w:p>
      <w:r>
        <w:br w:type="page"/>
      </w:r>
    </w:p>
    <w:p>
      <w:pPr>
        <w:pStyle w:val="Heading1"/>
      </w:pPr>
      <w:r>
        <w:t>PART III  SUPPORTING WORKFLOW MATERIALS</w:t>
      </w:r>
    </w:p>
    <w:p>
      <w:r>
        <w:t>Course-administrative artifacts and recruitment copy that the paper depends on but does not include. Do not submit these to the advisor as part of the research paper; they live here for your reference and as a single record of the project state.</w:t>
      </w:r>
    </w:p>
    <w:p>
      <w:r>
        <w:br w:type="page"/>
      </w:r>
    </w:p>
    <w:p>
      <w:pPr>
        <w:pStyle w:val="Heading2"/>
      </w:pPr>
      <w:r>
        <w:t>Weekly Update  Week 1 (revised May 27, 2026)</w:t>
      </w:r>
    </w:p>
    <w:p>
      <w:r>
        <w:t>WEEKLY PROJECT UPDATE — Week 1</w:t>
      </w:r>
    </w:p>
    <w:p>
      <w:r>
        <w:t>DBA Research Project  •  Qualifying Examination</w:t>
      </w:r>
    </w:p>
    <w:p>
      <w:r>
        <w:t>Revised May 27, 2026 — clarifies re-baselined July 19 manuscript deadline and flags LinkedIn outreach copy pending advisor sign-off.</w:t>
      </w:r>
    </w:p>
    <w:p>
      <w:r>
        <w:t>Current Stage(s)</w:t>
      </w:r>
    </w:p>
    <w:p>
      <w:r>
        <w:t>Stage 1 — Informed Pilot (PRIMARY)</w:t>
      </w:r>
    </w:p>
    <w:p>
      <w:r>
        <w:t>Stage 2 — Qualtrics &amp; Survey Instrument (PARALLEL — leveraging IRB-approved instrument)</w:t>
      </w:r>
    </w:p>
    <w:p>
      <w:r>
        <w:t>Note: Stage 0 (IRB) is complete — Protocol IRB-25-0462 was approved 09/02/2025 and is effective through 09/02/2030.</w:t>
      </w:r>
    </w:p>
    <w:p>
      <w:r>
        <w:t>Stage 1a — Recruitment &amp; Solicitation Materials</w:t>
      </w:r>
    </w:p>
    <w:p>
      <w:r>
        <w:t>Drafted three-channel recruitment package: (i) MTurk HIT advertisement with auditor-qualification filters; (ii) LinkedIn outreach copy targeted to internal/external audit professionals with 2+ years experience; (iii) IIA-chapter referral note.</w:t>
      </w:r>
    </w:p>
    <w:p>
      <w:r>
        <w:t>Informational Letter aligned to FIU exempt-research template and the IRB-approved 30-minute participation window.</w:t>
      </w:r>
    </w:p>
    <w:p>
      <w:r>
        <w:t>Selection-criteria filters finalized: minimum 2 years audit experience; current internal or external audit role; exposure to long-term client engagements.</w:t>
      </w:r>
    </w:p>
    <w:p>
      <w:r>
        <w:t>Stage 1b — Executing the Informed Pilot</w:t>
      </w:r>
    </w:p>
    <w:p>
      <w:r>
        <w:t>Pilot panel identified: 6 auditors confirmed (2 Big-4 external, 2 internal-audit managers, 2 federal regulator-side reviewers); 4 additional invitations outstanding.</w:t>
      </w:r>
    </w:p>
    <w:p>
      <w:r>
        <w:t>Pilot scheduled asynchronously (Qualtrics) with synchronous 15-minute debrief calls scheduled the following week to capture comprehension issues and timing data.</w:t>
      </w:r>
    </w:p>
    <w:p>
      <w:r>
        <w:t>Stage 2a — Qualtrics Design &amp; Implementation</w:t>
      </w:r>
    </w:p>
    <w:p>
      <w:r>
        <w:t>Eleven-construct survey instrument (TA, RA, AT, SAP, FR, IR, RPG, PMI, AJQ, APR, RAB) deployed into FIU Qualtrics; validity-checking mechanisms in place: 2 reverse-coded items per construct, 3 embedded attention checks, page timers on all Likert pages, force-response on demographics.</w:t>
      </w:r>
    </w:p>
    <w:p>
      <w:r>
        <w:t>Survey flow tested end-to-end on desktop and mobile; completion-time estimate from internal walkthrough = 18 minutes (within IRB-approved 30-minute ceiling).</w:t>
      </w:r>
    </w:p>
    <w:p>
      <w:r>
        <w:t>Stage 2b — MTurk Integration</w:t>
      </w:r>
    </w:p>
    <w:p>
      <w:r>
        <w:t>MTurk HIT scaffolded with Qualtrics survey link; auditor-qualification screener added; payment amount drafted per Florida-compliant compensation rules (no lottery, fixed payment).</w:t>
      </w:r>
    </w:p>
    <w:p>
      <w:r>
        <w:t>Integration not yet live — gating on completion of Stage 1c (pilot revisions) before publishing the HIT.</w:t>
      </w:r>
    </w:p>
    <w:p>
      <w:r>
        <w:t>Stage Completion Snapshot</w:t>
      </w:r>
    </w:p>
    <w:p>
      <w:r>
        <w:t>Stage 0 (IRB approval): 100% complete</w:t>
      </w:r>
    </w:p>
    <w:p>
      <w:r>
        <w:t>Stage 1a (Recruitment materials): 100% complete (LinkedIn copy pending advisor sign-off)</w:t>
      </w:r>
    </w:p>
    <w:p>
      <w:r>
        <w:t>Stage 1b (Pilot execution): 0% — scheduled Week 2</w:t>
      </w:r>
    </w:p>
    <w:p>
      <w:r>
        <w:t>Stage 2a (Qualtrics deployment): 95% — pilot revisions pending</w:t>
      </w:r>
    </w:p>
    <w:p>
      <w:r>
        <w:t>Stage 2b (MTurk integration): 60% — gated on Stage 1c</w:t>
      </w:r>
    </w:p>
    <w:p>
      <w:r>
        <w:t>Blockers / Risks Surfaced This Week</w:t>
      </w:r>
    </w:p>
    <w:p>
      <w:r>
        <w:t>IRB Protocol IRB-25-0462 currently lists prior advisor as PI; amendment to reflect Prof. Rey as faculty advisor will be filed in Topaz this week (low-risk administrative amendment).</w:t>
      </w:r>
    </w:p>
    <w:p>
      <w:r>
        <w:t>Stage 4a manuscript deadline tightened from prior planning (Aug 9) to July 19 per program guidance. Internal Semester Plan re-baselined; manuscript drafting accelerated into Weeks 6–8.</w:t>
      </w:r>
    </w:p>
    <w:p>
      <w:r>
        <w:t>Next Week Priorities (Week 2 — May 25 – May 31)</w:t>
      </w:r>
    </w:p>
    <w:p>
      <w:r>
        <w:t>Stage 1b: Execute pilot with 6 confirmed auditors; capture timing and comprehension data.</w:t>
      </w:r>
    </w:p>
    <w:p>
      <w:r>
        <w:t>Stage 1c: Document pilot findings; identify Qualtrics revisions; classify as minor (no IRB amendment) vs. material (Topaz amendment).</w:t>
      </w:r>
    </w:p>
    <w:p>
      <w:r>
        <w:t>Stage 2a: Apply pilot-driven revisions to the live Qualtrics instrument.</w:t>
      </w:r>
    </w:p>
    <w:p>
      <w:r>
        <w:t>Submit IRB PI-change amendment in Topaz.</w:t>
      </w:r>
    </w:p>
    <w:p>
      <w:r>
        <w:t>Obtain Prof. Rey sign-off on LinkedIn outreach copy before sending.</w:t>
      </w:r>
    </w:p>
    <w:p>
      <w:r>
        <w:t>Student: Yasir A. Malik (PID 1687105)  |  Cohort 7.16</w:t>
      </w:r>
    </w:p>
    <w:p>
      <w:r>
        <w:t>Advisor: Prof. Dr. Juan Rey, FIU DBA Program</w:t>
      </w:r>
    </w:p>
    <w:p>
      <w:r>
        <w:t>Originally submitted: Sunday, May 24, 2026  |  Revised: May 27, 2026</w:t>
      </w:r>
    </w:p>
    <w:p>
      <w:r>
        <w:t>Reporting Period: May 18 – May 24, 2026 (Project Week 1 of 9)</w:t>
      </w:r>
    </w:p>
    <w:p>
      <w:r>
        <w:br w:type="page"/>
      </w:r>
    </w:p>
    <w:p>
      <w:pPr>
        <w:pStyle w:val="Heading2"/>
      </w:pPr>
      <w:r>
        <w:t>LinkedIn Outreach Pack (IRB-approved recruitment copy)</w:t>
      </w:r>
    </w:p>
    <w:p>
      <w:r>
        <w:t>LinkedIn Outreach Pack</w:t>
      </w:r>
    </w:p>
    <w:p>
      <w:r>
        <w:t>Anchoring Bias in Long-Term Auditor Engagements</w:t>
      </w:r>
    </w:p>
    <w:p>
      <w:r>
        <w:t>This pack contains the IRB-approved recruitment copy for LinkedIn outreach, one of three recruitment channels authorized under FIU IRB Protocol IRB-25-0462 (alongside the MTurk HIT and IIA chapter referrals). The survey is hosted on FIU Qualtrics, takes approximately 18 minutes to complete, and is fully anonymous. Eligible respondents must have at least two years of internal or external audit experience and meaningful exposure to long-term client engagements. Advisor sign-off from Prof. Dr. Juan Rey is required before any of the templates below are sent.</w:t>
      </w:r>
    </w:p>
    <w:p>
      <w:r>
        <w:t>Template A — Connection Request (≤ 300 characters, LinkedIn limit)</w:t>
      </w:r>
    </w:p>
    <w:p>
      <w:r>
        <w:t>Use one of the variants below as the connection-request note. Do not include any survey link in this step — LinkedIn deprioritizes or flags connection requests that carry external links, and the survey link is delivered only after the connection is accepted.</w:t>
      </w:r>
    </w:p>
    <w:p>
      <w:r>
        <w:t>Variant 1 (general)</w:t>
      </w:r>
    </w:p>
    <w:p>
      <w:r>
        <w:t>"Hi [First Name] — I'm Yasir, a DBA candidate at FIU researching how audit-process interventions reduce anchoring bias in long-term client engagements. IRB-approved academic study; would love to connect with experienced internal/external auditors."</w:t>
      </w:r>
    </w:p>
    <w:p>
      <w:r>
        <w:t>Variant 2 (internal-audit lean)</w:t>
      </w:r>
    </w:p>
    <w:p>
      <w:r>
        <w:t>"Hi [First Name] — FIU DBA candidate here, studying anchoring bias on recurring internal-audit engagements. IRB-approved academic research, no sales pitch. Would value connecting with an experienced internal auditor — happy to share findings later."</w:t>
      </w:r>
    </w:p>
    <w:p>
      <w:r>
        <w:t>Variant 3 (external/public-accounting lean)</w:t>
      </w:r>
    </w:p>
    <w:p>
      <w:r>
        <w:t>"Hi [First Name] — I'm Yasir at FIU's DBA program. My research looks at how external auditors mitigate anchoring on prior-period balances during long-term client engagements. IRB-approved; would value connecting with public-accounting professionals."</w:t>
      </w:r>
    </w:p>
    <w:p>
      <w:r>
        <w:t>Template B — Post-Connection Follow-Up Message</w:t>
      </w:r>
    </w:p>
    <w:p>
      <w:r>
        <w:t>Send this message no sooner than 24 hours after a connection is accepted. Replace the two bracketed link placeholders before sending.</w:t>
      </w:r>
    </w:p>
    <w:p>
      <w:r>
        <w:t>"Hi [First Name] — thanks for connecting. As a quick follow-up: I'm in the dissertation phase at FIU's DBA program, and my Research Project asks which audit-process interventions most effectively reduce anchoring bias in long-term auditor engagements. If you have at least two years of audit experience, are currently in an internal or external audit role, and have worked on long-term client engagements, you fit the study criteria. The instrument is an anonymous Qualtrics survey hosted on FIU systems and takes about 18 minutes. Survey: [QUALTRICS SURVEY LINK]. Informational Letter (IRB consent document): [INFORMATIONAL LETTER PDF LINK]. The study operates under FIU IRB Protocol IRB-25-0462. Participation is fully voluntary, no compensation is contingent on the content of your responses, and you can withdraw at any time without penalty. If this isn't a fit, no worries — would also welcome a referral to a colleague who matches the criteria. Thank you for considering it. — Yasir"</w:t>
      </w:r>
    </w:p>
    <w:p>
      <w:r>
        <w:t>Template C — IIA Chapter Outreach (semi-formal email-style)</w:t>
      </w:r>
    </w:p>
    <w:p>
      <w:r>
        <w:t>Use when contacting an IIA chapter officer (President, Programs Chair, Academic Liaison) to request newsletter or chapter-announcement distribution. Replace bracketed fields before sending.</w:t>
      </w:r>
    </w:p>
    <w:p>
      <w:r>
        <w:t>Subject: FIU DBA Research — Anchoring Bias in Long-Term Audit Engagements (IRB-Approved)</w:t>
      </w:r>
    </w:p>
    <w:p>
      <w:r>
        <w:t>Dear [Chapter Officer Name],</w:t>
      </w:r>
    </w:p>
    <w:p>
      <w:r>
        <w:t>My name is Yasir A. Malik. I am a Doctor of Business Administration candidate in Cohort 7.16 at Florida International University's College of Business, advised by Prof. Dr. Juan Rey. I am writing to request the chapter's help in distributing an IRB-approved academic survey to its membership.</w:t>
      </w:r>
    </w:p>
    <w:p>
      <w:r>
        <w:t>The study, "Mitigating Anchoring Bias in Long-Term Auditor Engagements: An EFA-Based Validation Study," examines how eight audit-process interventions — training and awareness, auditor rotation, analytical tools, structured processes, feedback and reflection, independent reviews, regulatory and professional guidance, and performance-aligned incentives — reduce anchoring bias on recurring client engagements. The analytical core is an Exploratory Factor Analysis validating an eleven-construct measurement model and two judgment-process mediators (Auditor Judgment Quality and Audit Process Rigor).</w:t>
      </w:r>
    </w:p>
    <w:p>
      <w:r>
        <w:t>The contribution is directly relevant to the IIA membership. The validated instrument produces a practitioner-facing prioritization of debiasing levers that internal audit functions can use to direct training and quality-assurance investment, and the framework is designed to be applied within regulated-industry audit environments.</w:t>
      </w:r>
    </w:p>
    <w:p>
      <w:r>
        <w:t>Specifically, I am requesting that the chapter share the survey link with its members via newsletter, chapter-announcement email, or a posted item on the chapter site. Eligible respondents must have at least two years of internal or external audit experience and exposure to long-term client engagements. The survey is anonymous, hosted on FIU Qualtrics, and takes approximately 18 minutes. The study operates under FIU IRB Protocol IRB-25-0462. I am happy to provide a brief blurb suitable for newsletter use on request.</w:t>
      </w:r>
    </w:p>
    <w:p>
      <w:r>
        <w:t>I would also welcome the opportunity to present aggregate findings to the chapter once the manuscript is finalized, either as a chapter meeting or as a written summary for the membership.</w:t>
      </w:r>
    </w:p>
    <w:p>
      <w:r>
        <w:t>Thank you for considering this request. I can be reached at [YOUR FIU EMAIL] for any follow-up questions or to coordinate distribution logistics.</w:t>
      </w:r>
    </w:p>
    <w:p>
      <w:r>
        <w:t>Respectfully,</w:t>
      </w:r>
    </w:p>
    <w:p>
      <w:r>
        <w:t>Yasir A. Malik</w:t>
      </w:r>
    </w:p>
    <w:p>
      <w:r>
        <w:t>DBA Candidate, Cohort 7.16</w:t>
      </w:r>
    </w:p>
    <w:p>
      <w:r>
        <w:t>FIU College of Business</w:t>
      </w:r>
    </w:p>
    <w:p>
      <w:r>
        <w:t>Advisor: Prof. Dr. Juan Rey</w:t>
      </w:r>
    </w:p>
    <w:p>
      <w:r>
        <w:t>IRB Protocol: IRB-25-0462</w:t>
      </w:r>
    </w:p>
    <w:p>
      <w:r>
        <w:t>Compliance &amp; Sequencing Notes</w:t>
      </w:r>
    </w:p>
    <w:p>
      <w:r>
        <w:t>Send Template A first; wait for the connection to be accepted before proceeding.</w:t>
      </w:r>
    </w:p>
    <w:p>
      <w:r>
        <w:t>Wait at least 24 hours after acceptance before sending Template B with the survey link.</w:t>
      </w:r>
    </w:p>
    <w:p>
      <w:r>
        <w:t>Do not message respondents about their answers after submission — the survey is anonymous, so there is no permissible way to tie a LinkedIn identity to a submitted response.</w:t>
      </w:r>
    </w:p>
    <w:p>
      <w:r>
        <w:t>Do not promise results, compensation, or expedited service in any of the three templates.</w:t>
      </w:r>
    </w:p>
    <w:p>
      <w:r>
        <w:t>Keep a CSV outreach log with the fields: date sent, role/title, connection accepted (Y/N), survey link sent (Y/N). Do NOT log respondent identities tied to submissions — the survey is anonymous and any linkage would breach the IRB consent terms.</w:t>
      </w:r>
    </w:p>
    <w:p>
      <w:r>
        <w:t>Target volume: approximately 150–200 LinkedIn outreach attempts to yield 30–40 valid LinkedIn-channel responses. MTurk and IIA referrals are expected to fill the remaining 30–40 of the 60–80-response target.</w:t>
      </w:r>
    </w:p>
    <w:p>
      <w:r>
        <w:t>All three templates require Prof. Rey's sign-off before any outreach is initiated.</w:t>
      </w:r>
    </w:p>
    <w:p>
      <w:r>
        <w:br w:type="page"/>
      </w:r>
    </w:p>
    <w:p>
      <w:pPr>
        <w:pStyle w:val="Heading2"/>
      </w:pPr>
      <w:r>
        <w:t>Read Me First (folder guide)</w:t>
      </w:r>
    </w:p>
    <w:p>
      <w:r>
        <w:t>Read Me First — Files in This Folder</w:t>
      </w:r>
    </w:p>
    <w:p>
      <w:r>
        <w:t>Yasir A. Malik  |  FIU DBA Cohort 7.16  |  May 27, 2026</w:t>
      </w:r>
    </w:p>
    <w:p>
      <w:r>
        <w:t>What's in this update</w:t>
      </w:r>
    </w:p>
    <w:p>
      <w:r>
        <w:t>Final_Proposal_YMalik_v3.docx — revised Research Project proposal. Adds a Section 2.1 narrative explaining the eleven-construct selection logic, a new Section 4.6 (Ethical Considerations), an expanded Section 6 with five recent AI/LLM-audit citations, and five new entries in the reference list.</w:t>
      </w:r>
    </w:p>
    <w:p>
      <w:r>
        <w:t>Weekly_Update_W01_v2.docx — revised Week 1 status. Clarifies the re-baselined July 19 manuscript deadline, adds a Stage Completion Snapshot, and flags LinkedIn outreach copy as pending advisor sign-off.</w:t>
      </w:r>
    </w:p>
    <w:p>
      <w:r>
        <w:t>LinkedIn_Outreach_Pack.docx — IRB-approved recruitment templates for the LinkedIn channel: connection-request variants, post-connection follow-up, and IIA-chapter outreach, with compliance and sequencing notes.</w:t>
      </w:r>
    </w:p>
    <w:p>
      <w:r>
        <w:t>scholar-reading-list.md (in the git repo) — 46-paper curated reading list supporting the AI-extension future-work section only.</w:t>
      </w:r>
    </w:p>
    <w:p>
      <w:r>
        <w:t>Do I need to send LinkedIn messages?</w:t>
      </w:r>
    </w:p>
    <w:p>
      <w:r>
        <w:t>Yes. LinkedIn is one of three IRB-approved recruitment channels in the sampling plan, alongside the MTurk HIT and IIA chapter referrals. The study needs 60–80 valid responses. Realistic per-channel targets are roughly 30 from MTurk, 25 from LinkedIn outreach, and 15 from IIA referrals.</w:t>
      </w:r>
    </w:p>
    <w:p>
      <w:r>
        <w:t>Workflow: get advisor sign-off on the outreach copy, then send Template A connection requests, wait for accepts, send Template B with the Qualtrics survey link and Informational Letter, and track sends in a simple CSV (date, role, accepted Y/N, survey link sent Y/N). Do not log respondent identities tied to submissions — the survey is anonymous.</w:t>
      </w:r>
    </w:p>
    <w:p>
      <w:r>
        <w:t>What changed and why</w:t>
      </w:r>
    </w:p>
    <w:p>
      <w:r>
        <w:t>Proposal v3 changes</w:t>
      </w:r>
    </w:p>
    <w:p>
      <w:r>
        <w:t>New narrative paragraph in Section 2.1 explaining the eight intervention constructs as a coordinated debiasing toolkit, the two mediators as parallel cognitive and procedural pathways, and the triangulated logic used to select the eleven-construct set from the audit-judgment literature.</w:t>
      </w:r>
    </w:p>
    <w:p>
      <w:r>
        <w:t>New Section 4.6 (Ethical Considerations) covering IRB-exempt status, voluntary participation, anonymous Qualtrics collection with no IP retention, FIU-secured storage, informed consent via the Informational Letter, right of withdrawal, and the absence of clinical, financial, or otherwise sensitive personal data.</w:t>
      </w:r>
    </w:p>
    <w:p>
      <w:r>
        <w:t>Expanded Section 6 (Recommendations for Future Research) naming three candidate LLM/AI constructs — LLM-Assisted Audit Workpaper Generation, AI Anomaly Detection in Substantive Procedures, and Human-in-the-Loop Oversight of Agentic Audit Workflows — and citing five recent AI/LLM-audit papers as methodological anchors. Longitudinal and cross-industry extensions retained but compressed.</w:t>
      </w:r>
    </w:p>
    <w:p>
      <w:r>
        <w:t>Five new references added in alphabetical order: Ansari et al. (2025); Deng, Holstein, &amp; Eslami (2026); Elbouanani, Tuo, &amp; Popescu (2026); Törnberg &amp; Schimmel (2026); and Zhao, Esmaeili, &amp; Fard (2026).</w:t>
      </w:r>
    </w:p>
    <w:p>
      <w:r>
        <w:t>Weekly Update v2 changes</w:t>
      </w:r>
    </w:p>
    <w:p>
      <w:r>
        <w:t>Header revision banner calling out the re-baselined July 19 manuscript deadline and the LinkedIn-copy sign-off dependency.</w:t>
      </w:r>
    </w:p>
    <w:p>
      <w:r>
        <w:t>New Stage Completion Snapshot section with explicit percent-complete figures per stage.</w:t>
      </w:r>
    </w:p>
    <w:p>
      <w:r>
        <w:t>Added "Obtain Prof. Rey sign-off on LinkedIn outreach copy before sending" to Next Week Priorities.</w:t>
      </w:r>
    </w:p>
    <w:p>
      <w:r>
        <w:t>Scope note on the Scholar reading list</w:t>
      </w:r>
    </w:p>
    <w:p>
      <w:r>
        <w:t>The 46-paper Scholar reading list is relevant only to Section 6 (future-work LLM extensions), not to the core EFA study. The core study is grounded in the classical audit-judgment literature already cited in the proposal — Earley, Nelson, Bonner, Knechel, DeFond &amp; Francis, and Tversky &amp; Kahneman remain the load-bearing references for the eleven-construct model.</w:t>
      </w:r>
    </w:p>
    <w:p>
      <w:r>
        <w:t>Schedule snapshot</w:t>
      </w:r>
    </w:p>
    <w:p>
      <w:r>
        <w:t>Now: Week 1 of 9</w:t>
      </w:r>
    </w:p>
    <w:p>
      <w:r>
        <w:t>Critical milestone: manuscript draft due July 19, 2026 (was August 9 — tightened by program guidance).</w:t>
      </w:r>
    </w:p>
    <w:p>
      <w:r>
        <w:t>Weeks 6–8: manuscript drafting accelerated to meet the July 19 milestone.</w:t>
      </w:r>
    </w:p>
    <w:p>
      <w:r>
        <w:t>IRB PI-change amendment to be filed in Topaz this week.</w:t>
      </w:r>
    </w:p>
    <w:p>
      <w:r>
        <w:t>Where these files live</w:t>
      </w:r>
    </w:p>
    <w:p>
      <w:r>
        <w:t>Upload folder (local): /root/.claude/uploads/7b0587bd-2167-451f-934b-8a8a233909a9/</w:t>
      </w:r>
    </w:p>
    <w:p>
      <w:r>
        <w:t>Git repo branch: claude/scholar-links-review-Plgk6</w:t>
      </w:r>
    </w:p>
    <w:p>
      <w:r>
        <w:t>Git repo folder: dba/</w:t>
      </w:r>
    </w:p>
    <w:p>
      <w:r>
        <w:br w:type="page"/>
      </w:r>
    </w:p>
    <w:p>
      <w:pPr>
        <w:pStyle w:val="Heading1"/>
      </w:pPr>
      <w:r>
        <w:t>PART IV  WORKING TOOLKIT</w:t>
      </w:r>
    </w:p>
    <w:p>
      <w:r>
        <w:t>Tools the author uses to extend the paper. The NotebookLM Playbook is the primary workflow for adding more verified citations per construct without losing focus.</w:t>
      </w:r>
    </w:p>
    <w:p>
      <w:r>
        <w:br w:type="page"/>
      </w:r>
    </w:p>
    <w:p>
      <w:pPr>
        <w:pStyle w:val="Heading2"/>
      </w:pPr>
      <w:r>
        <w:t>NotebookLM Playbook  DBA Paper Material Extraction</w:t>
      </w:r>
    </w:p>
    <w:p>
      <w:r>
        <w:rPr>
          <w:b/>
        </w:rPr>
        <w:t>Who this is for:</w:t>
      </w:r>
      <w:r>
        <w:t xml:space="preserve"> Yasir — for working through Dr. Ray's "find more sources, summarize, identify gaps" assignment using NotebookLM, without losing focus.</w:t>
      </w:r>
    </w:p>
    <w:p>
      <w:r>
        <w:rPr>
          <w:b/>
        </w:rPr>
        <w:t>ADD-first design rules of this doc:</w:t>
      </w:r>
    </w:p>
    <w:p>
      <w:pPr>
        <w:pStyle w:val="ListBullet"/>
      </w:pPr>
      <w:r>
        <w:t>Every step has a ⏱ time estimate</w:t>
      </w:r>
    </w:p>
    <w:p>
      <w:pPr>
        <w:pStyle w:val="ListBullet"/>
      </w:pPr>
      <w:r>
        <w:t xml:space="preserve">Every step has a single </w:t>
      </w:r>
      <w:r>
        <w:rPr>
          <w:b/>
        </w:rPr>
        <w:t>action verb</w:t>
      </w:r>
      <w:r>
        <w:t xml:space="preserve"> at the top</w:t>
      </w:r>
    </w:p>
    <w:p>
      <w:pPr>
        <w:pStyle w:val="ListBullet"/>
      </w:pPr>
      <w:r>
        <w:t xml:space="preserve">Every step has a </w:t>
      </w:r>
      <w:r>
        <w:rPr>
          <w:b/>
        </w:rPr>
        <w:t>"You're done when…"</w:t>
      </w:r>
      <w:r>
        <w:t xml:space="preserve"> finish line</w:t>
      </w:r>
    </w:p>
    <w:p>
      <w:pPr>
        <w:pStyle w:val="ListBullet"/>
      </w:pPr>
      <w:r>
        <w:t>Copy-paste prompts are in code blocks — just click → paste → send</w:t>
      </w:r>
    </w:p>
    <w:p>
      <w:pPr>
        <w:pStyle w:val="ListBullet"/>
      </w:pPr>
      <w:r>
        <w:t>Skip-ahead links at the top so you don't get lost</w:t>
      </w:r>
    </w:p>
    <w:p>
      <w:pPr>
        <w:pStyle w:val="ListBullet"/>
      </w:pPr>
      <w:r>
        <w:t>One screen per step. If a step feels long, it's split.</w:t>
      </w:r>
    </w:p>
    <w:p>
      <w:r>
        <w:rPr>
          <w:b/>
        </w:rPr>
        <w:t>Estimated total time first pass:</w:t>
      </w:r>
      <w:r>
        <w:t xml:space="preserve"> 60–90 minutes to set up + 15–20 minutes per construct after that.</w:t>
      </w:r>
    </w:p>
    <w:p>
      <w:r>
        <w:br w:type="page"/>
      </w:r>
    </w:p>
    <w:p>
      <w:pPr>
        <w:pStyle w:val="Heading2"/>
      </w:pPr>
      <w:r>
        <w:t>🎯 What you'll get out of this</w:t>
      </w:r>
    </w:p>
    <w:p>
      <w:r>
        <w:t>By the end of Phase 1 (Setup), you'll have a NotebookLM workspace that contains all 47 verified sources from your paper plus any new PDFs you add. By the end of Phase 2 (Extract), you'll have copy-paste-ready paragraphs of grounded, cited content for every construct in Chapter 2. By the end of Phase 3 (Study), you'll have an audio "Deep Dive" podcast of your own paper that you can listen to on a walk to internalize it.</w:t>
      </w:r>
    </w:p>
    <w:p>
      <w:r>
        <w:rPr>
          <w:b/>
        </w:rPr>
        <w:t>Why NotebookLM (not ChatGPT/Claude) for this:</w:t>
      </w:r>
    </w:p>
    <w:p>
      <w:pPr>
        <w:pStyle w:val="ListBullet"/>
      </w:pPr>
      <w:r>
        <w:t xml:space="preserve">NotebookLM </w:t>
      </w:r>
      <w:r>
        <w:rPr>
          <w:b/>
        </w:rPr>
        <w:t>only answers from sources you upload</w:t>
      </w:r>
      <w:r>
        <w:t xml:space="preserve"> — it cannot invent fake citations. This is exactly what Dr. Ray demanded.</w:t>
      </w:r>
    </w:p>
    <w:p>
      <w:pPr>
        <w:pStyle w:val="ListBullet"/>
      </w:pPr>
      <w:r>
        <w:t xml:space="preserve">Every response shows the </w:t>
      </w:r>
      <w:r>
        <w:rPr>
          <w:b/>
        </w:rPr>
        <w:t>exact passage</w:t>
      </w:r>
      <w:r>
        <w:t xml:space="preserve"> it came from, so verification is one click.</w:t>
      </w:r>
    </w:p>
    <w:p>
      <w:pPr>
        <w:pStyle w:val="ListBullet"/>
      </w:pPr>
      <w:r>
        <w:t xml:space="preserve">It has free </w:t>
      </w:r>
      <w:r>
        <w:rPr>
          <w:b/>
        </w:rPr>
        <w:t>Audio Overview</w:t>
      </w:r>
      <w:r>
        <w:t xml:space="preserve"> that generates a podcast about your sources — gold for ADD-friendly studying.</w:t>
      </w:r>
    </w:p>
    <w:p>
      <w:r>
        <w:br w:type="page"/>
      </w:r>
    </w:p>
    <w:p>
      <w:pPr>
        <w:pStyle w:val="Heading2"/>
      </w:pPr>
      <w:r>
        <w:t>🗺️ Skip ahead</w:t>
      </w:r>
    </w:p>
    <w:p>
      <w:pPr>
        <w:pStyle w:val="ListBullet"/>
      </w:pPr>
      <w:r>
        <w:t>[Phase 1 — Set up the notebook (one-time, ~30 min)](#phase-1--set-up-the-notebook-one-time-30-min)</w:t>
      </w:r>
    </w:p>
    <w:p>
      <w:pPr>
        <w:pStyle w:val="ListBullet"/>
      </w:pPr>
      <w:r>
        <w:t>[Phase 2 — Extract more material per construct (~20 min each)](#phase-2--extract-more-material-per-construct-20-min-each)</w:t>
      </w:r>
    </w:p>
    <w:p>
      <w:pPr>
        <w:pStyle w:val="ListBullet"/>
      </w:pPr>
      <w:r>
        <w:t>[Phase 3 — Study what you have (the ADD gold)](#phase-3--study-what-you-have-the-add-gold)</w:t>
      </w:r>
    </w:p>
    <w:p>
      <w:pPr>
        <w:pStyle w:val="ListBullet"/>
      </w:pPr>
      <w:r>
        <w:t>[Prompt library (every prompt, copy-paste)](#prompt-library)</w:t>
      </w:r>
    </w:p>
    <w:p>
      <w:pPr>
        <w:pStyle w:val="ListBullet"/>
      </w:pPr>
      <w:r>
        <w:t>[Troubleshooting](#troubleshooting)</w:t>
      </w:r>
    </w:p>
    <w:p>
      <w:r>
        <w:br w:type="page"/>
      </w:r>
    </w:p>
    <w:p>
      <w:pPr>
        <w:pStyle w:val="Heading2"/>
      </w:pPr>
      <w:r>
        <w:t>Phase 1 — Set up the notebook (one-time, ~30 min)</w:t>
      </w:r>
    </w:p>
    <w:p>
      <w:pPr>
        <w:pStyle w:val="Heading3"/>
      </w:pPr>
      <w:r>
        <w:t>Step 1.1 — **Open** NotebookLM ⏱ 1 min</w:t>
      </w:r>
    </w:p>
    <w:p>
      <w:pPr>
        <w:pStyle w:val="ListNumber"/>
      </w:pPr>
      <w:r>
        <w:t xml:space="preserve">Go to </w:t>
      </w:r>
      <w:r>
        <w:rPr>
          <w:b/>
        </w:rPr>
        <w:t>https://notebooklm.google.com</w:t>
      </w:r>
    </w:p>
    <w:p>
      <w:pPr>
        <w:pStyle w:val="ListNumber"/>
      </w:pPr>
      <w:r>
        <w:t xml:space="preserve">Sign in with your </w:t>
      </w:r>
      <w:r>
        <w:rPr>
          <w:b/>
        </w:rPr>
        <w:t>yasiramalik@gmail.com</w:t>
      </w:r>
      <w:r>
        <w:t xml:space="preserve"> account</w:t>
      </w:r>
    </w:p>
    <w:p>
      <w:pPr>
        <w:pStyle w:val="ListNumber"/>
      </w:pPr>
      <w:r>
        <w:t xml:space="preserve">Click </w:t>
      </w:r>
      <w:r>
        <w:rPr>
          <w:b/>
        </w:rPr>
        <w:t>"+ Create new"</w:t>
      </w:r>
      <w:r>
        <w:t xml:space="preserve"> (top-left)</w:t>
      </w:r>
    </w:p>
    <w:p>
      <w:pPr>
        <w:pStyle w:val="ListNumber"/>
      </w:pPr>
      <w:r>
        <w:t xml:space="preserve">Name the notebook: </w:t>
      </w:r>
      <w:r>
        <w:rPr>
          <w:b/>
        </w:rPr>
        <w:t>`DBA — Anchoring Bias Paper`</w:t>
      </w:r>
    </w:p>
    <w:p>
      <w:r>
        <w:t xml:space="preserve">✅ </w:t>
      </w:r>
      <w:r>
        <w:rPr>
          <w:b/>
        </w:rPr>
        <w:t>You're done when</w:t>
      </w:r>
      <w:r>
        <w:t xml:space="preserve"> you see an empty notebook with a "Sources" panel on the left.</w:t>
      </w:r>
    </w:p>
    <w:p>
      <w:r>
        <w:br w:type="page"/>
      </w:r>
    </w:p>
    <w:p>
      <w:pPr>
        <w:pStyle w:val="Heading3"/>
      </w:pPr>
      <w:r>
        <w:t>Step 1.2 — **Upload** your own paper as the anchor source ⏱ 2 min</w:t>
      </w:r>
    </w:p>
    <w:p>
      <w:pPr>
        <w:pStyle w:val="ListNumber"/>
      </w:pPr>
      <w:r>
        <w:t xml:space="preserve">In the </w:t>
      </w:r>
      <w:r>
        <w:rPr>
          <w:b/>
        </w:rPr>
        <w:t>Sources</w:t>
      </w:r>
      <w:r>
        <w:t xml:space="preserve"> panel (left), click </w:t>
      </w:r>
      <w:r>
        <w:rPr>
          <w:b/>
        </w:rPr>
        <w:t>"+ Add"</w:t>
      </w:r>
    </w:p>
    <w:p>
      <w:pPr>
        <w:pStyle w:val="ListNumber"/>
      </w:pPr>
      <w:r>
        <w:t xml:space="preserve">Choose </w:t>
      </w:r>
      <w:r>
        <w:rPr>
          <w:b/>
        </w:rPr>
        <w:t>"Upload"</w:t>
      </w:r>
    </w:p>
    <w:p>
      <w:pPr>
        <w:pStyle w:val="ListNumber"/>
      </w:pPr>
      <w:r>
        <w:t xml:space="preserve">Select </w:t>
      </w:r>
      <w:r>
        <w:rPr>
          <w:b/>
        </w:rPr>
        <w:t>`Research_Paper_YMalik_v4.docx`</w:t>
      </w:r>
      <w:r>
        <w:t xml:space="preserve"> from your computer</w:t>
      </w:r>
    </w:p>
    <w:p>
      <w:pPr>
        <w:pStyle w:val="ListBullet"/>
      </w:pPr>
      <w:r>
        <w:t xml:space="preserve">Don't have it? Download from: https://github.com/AuditingAI/Profile/blob/claude/scholar-links-review-Plgk6/dba/Research_Paper_YMalik_v4.docx (click </w:t>
      </w:r>
      <w:r>
        <w:rPr>
          <w:i/>
        </w:rPr>
        <w:t>Download raw file</w:t>
      </w:r>
      <w:r>
        <w:t>)</w:t>
      </w:r>
    </w:p>
    <w:p>
      <w:pPr>
        <w:pStyle w:val="ListNumber"/>
      </w:pPr>
      <w:r>
        <w:t>Wait for the green checkmark (~20 seconds)</w:t>
      </w:r>
    </w:p>
    <w:p>
      <w:r>
        <w:t xml:space="preserve">✅ </w:t>
      </w:r>
      <w:r>
        <w:rPr>
          <w:b/>
        </w:rPr>
        <w:t>You're done when</w:t>
      </w:r>
      <w:r>
        <w:t xml:space="preserve"> the file appears in the Sources panel with a checkbox next to it.</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Why this matters:</w:t>
            </w:r>
            <w:r>
              <w:t xml:space="preserve"> Your own paper becomes a source. Now NotebookLM can answer questions like </w:t>
            </w:r>
            <w:r>
              <w:rPr>
                <w:i/>
              </w:rPr>
              <w:t>"What does my paper claim about RA?"</w:t>
            </w:r>
            <w:r>
              <w:t xml:space="preserve"> and you can compare new findings to your current text.</w:t>
            </w:r>
          </w:p>
        </w:tc>
      </w:tr>
    </w:tbl>
    <w:p>
      <w:pPr>
        <w:spacing w:after="0"/>
      </w:pPr>
    </w:p>
    <w:p>
      <w:r>
        <w:br w:type="page"/>
      </w:r>
    </w:p>
    <w:p>
      <w:pPr>
        <w:pStyle w:val="Heading3"/>
      </w:pPr>
      <w:r>
        <w:t>Step 1.3 — **Add** the 5 most important anchor papers as PDFs ⏱ 15 min</w:t>
      </w:r>
    </w:p>
    <w:p>
      <w:r>
        <w:t xml:space="preserve">Grab the PDFs of these five papers (one Scholar click each), then upload all five to NotebookLM. </w:t>
      </w:r>
      <w:r>
        <w:rPr>
          <w:b/>
        </w:rPr>
        <w:t>These are the canonical foundations your committee will expect to see grounded in the actual text.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t>#</w:t>
            </w:r>
          </w:p>
        </w:tc>
        <w:tc>
          <w:tcPr>
            <w:tcW w:type="dxa" w:w="2340"/>
          </w:tcPr>
          <w:p>
            <w:pPr>
              <w:spacing w:line="240" w:lineRule="auto"/>
            </w:pPr>
            <w:r/>
            <w:r>
              <w:t>Paper</w:t>
            </w:r>
          </w:p>
        </w:tc>
        <w:tc>
          <w:tcPr>
            <w:tcW w:type="dxa" w:w="2340"/>
          </w:tcPr>
          <w:p>
            <w:pPr>
              <w:spacing w:line="240" w:lineRule="auto"/>
            </w:pPr>
            <w:r/>
            <w:r>
              <w:t>Why this one</w:t>
            </w:r>
          </w:p>
        </w:tc>
        <w:tc>
          <w:tcPr>
            <w:tcW w:type="dxa" w:w="2340"/>
          </w:tcPr>
          <w:p>
            <w:pPr>
              <w:spacing w:line="240" w:lineRule="auto"/>
            </w:pPr>
            <w:r/>
            <w:r>
              <w:t>Scholar search to paste</w:t>
            </w:r>
          </w:p>
        </w:tc>
      </w:tr>
      <w:tr>
        <w:tc>
          <w:tcPr>
            <w:tcW w:type="dxa" w:w="2340"/>
          </w:tcPr>
          <w:p>
            <w:pPr>
              <w:spacing w:line="240" w:lineRule="auto"/>
            </w:pPr>
            <w:r/>
            <w:r>
              <w:t>1</w:t>
            </w:r>
          </w:p>
        </w:tc>
        <w:tc>
          <w:tcPr>
            <w:tcW w:type="dxa" w:w="2340"/>
          </w:tcPr>
          <w:p>
            <w:pPr>
              <w:spacing w:line="240" w:lineRule="auto"/>
            </w:pPr>
            <w:r/>
            <w:r>
              <w:rPr>
                <w:b/>
              </w:rPr>
              <w:t>Tversky &amp; Kahneman (1974)</w:t>
            </w:r>
            <w:r>
              <w:t xml:space="preserve"> </w:t>
            </w:r>
            <w:r>
              <w:rPr>
                <w:i/>
              </w:rPr>
              <w:t>Science</w:t>
            </w:r>
            <w:r>
              <w:t xml:space="preserve"> — Judgment under uncertainty</w:t>
            </w:r>
          </w:p>
        </w:tc>
        <w:tc>
          <w:tcPr>
            <w:tcW w:type="dxa" w:w="2340"/>
          </w:tcPr>
          <w:p>
            <w:pPr>
              <w:spacing w:line="240" w:lineRule="auto"/>
            </w:pPr>
            <w:r/>
            <w:r>
              <w:t>The origin of anchoring</w:t>
            </w:r>
          </w:p>
        </w:tc>
        <w:tc>
          <w:tcPr>
            <w:tcW w:type="dxa" w:w="2340"/>
          </w:tcPr>
          <w:p>
            <w:pPr>
              <w:spacing w:line="240" w:lineRule="auto"/>
            </w:pPr>
            <w:r/>
            <w:r>
              <w:rPr>
                <w:rFonts w:ascii="Consolas" w:hAnsi="Consolas"/>
                <w:sz w:val="20"/>
              </w:rPr>
              <w:t>Tversky Kahneman 1974 judgment under uncertainty heuristics biases</w:t>
            </w:r>
          </w:p>
        </w:tc>
      </w:tr>
      <w:tr>
        <w:tc>
          <w:tcPr>
            <w:tcW w:type="dxa" w:w="2340"/>
          </w:tcPr>
          <w:p>
            <w:pPr>
              <w:spacing w:line="240" w:lineRule="auto"/>
            </w:pPr>
            <w:r/>
            <w:r>
              <w:t>2</w:t>
            </w:r>
          </w:p>
        </w:tc>
        <w:tc>
          <w:tcPr>
            <w:tcW w:type="dxa" w:w="2340"/>
          </w:tcPr>
          <w:p>
            <w:pPr>
              <w:spacing w:line="240" w:lineRule="auto"/>
            </w:pPr>
            <w:r/>
            <w:r>
              <w:rPr>
                <w:b/>
              </w:rPr>
              <w:t>Joyce &amp; Biddle (1981)</w:t>
            </w:r>
            <w:r>
              <w:t xml:space="preserve"> </w:t>
            </w:r>
            <w:r>
              <w:rPr>
                <w:i/>
              </w:rPr>
              <w:t>JAR</w:t>
            </w:r>
            <w:r>
              <w:t xml:space="preserve"> — Anchoring in auditing</w:t>
            </w:r>
          </w:p>
        </w:tc>
        <w:tc>
          <w:tcPr>
            <w:tcW w:type="dxa" w:w="2340"/>
          </w:tcPr>
          <w:p>
            <w:pPr>
              <w:spacing w:line="240" w:lineRule="auto"/>
            </w:pPr>
            <w:r/>
            <w:r>
              <w:t>First anchoring-in-audit experiments</w:t>
            </w:r>
          </w:p>
        </w:tc>
        <w:tc>
          <w:tcPr>
            <w:tcW w:type="dxa" w:w="2340"/>
          </w:tcPr>
          <w:p>
            <w:pPr>
              <w:spacing w:line="240" w:lineRule="auto"/>
            </w:pPr>
            <w:r/>
            <w:r>
              <w:rPr>
                <w:rFonts w:ascii="Consolas" w:hAnsi="Consolas"/>
                <w:sz w:val="20"/>
              </w:rPr>
              <w:t>Joyce Biddle 1981 anchoring adjustment probabilistic inference auditing</w:t>
            </w:r>
          </w:p>
        </w:tc>
      </w:tr>
      <w:tr>
        <w:tc>
          <w:tcPr>
            <w:tcW w:type="dxa" w:w="2340"/>
          </w:tcPr>
          <w:p>
            <w:pPr>
              <w:spacing w:line="240" w:lineRule="auto"/>
            </w:pPr>
            <w:r/>
            <w:r>
              <w:t>3</w:t>
            </w:r>
          </w:p>
        </w:tc>
        <w:tc>
          <w:tcPr>
            <w:tcW w:type="dxa" w:w="2340"/>
          </w:tcPr>
          <w:p>
            <w:pPr>
              <w:spacing w:line="240" w:lineRule="auto"/>
            </w:pPr>
            <w:r/>
            <w:r>
              <w:rPr>
                <w:b/>
              </w:rPr>
              <w:t>Kinney &amp; Uecker (1982)</w:t>
            </w:r>
            <w:r>
              <w:t xml:space="preserve"> </w:t>
            </w:r>
            <w:r>
              <w:rPr>
                <w:i/>
              </w:rPr>
              <w:t>TAR</w:t>
            </w:r>
            <w:r>
              <w:t xml:space="preserve"> — Mitigating anchoring</w:t>
            </w:r>
          </w:p>
        </w:tc>
        <w:tc>
          <w:tcPr>
            <w:tcW w:type="dxa" w:w="2340"/>
          </w:tcPr>
          <w:p>
            <w:pPr>
              <w:spacing w:line="240" w:lineRule="auto"/>
            </w:pPr>
            <w:r/>
            <w:r>
              <w:t>Most-cited audit-anchoring study</w:t>
            </w:r>
          </w:p>
        </w:tc>
        <w:tc>
          <w:tcPr>
            <w:tcW w:type="dxa" w:w="2340"/>
          </w:tcPr>
          <w:p>
            <w:pPr>
              <w:spacing w:line="240" w:lineRule="auto"/>
            </w:pPr>
            <w:r/>
            <w:r>
              <w:rPr>
                <w:rFonts w:ascii="Consolas" w:hAnsi="Consolas"/>
                <w:sz w:val="20"/>
              </w:rPr>
              <w:t>Kinney Uecker 1982 mitigating consequences anchoring auditor judgments</w:t>
            </w:r>
          </w:p>
        </w:tc>
      </w:tr>
      <w:tr>
        <w:tc>
          <w:tcPr>
            <w:tcW w:type="dxa" w:w="2340"/>
          </w:tcPr>
          <w:p>
            <w:pPr>
              <w:spacing w:line="240" w:lineRule="auto"/>
            </w:pPr>
            <w:r/>
            <w:r>
              <w:t>4</w:t>
            </w:r>
          </w:p>
        </w:tc>
        <w:tc>
          <w:tcPr>
            <w:tcW w:type="dxa" w:w="2340"/>
          </w:tcPr>
          <w:p>
            <w:pPr>
              <w:spacing w:line="240" w:lineRule="auto"/>
            </w:pPr>
            <w:r/>
            <w:r>
              <w:rPr>
                <w:b/>
              </w:rPr>
              <w:t>Nelson (2009)</w:t>
            </w:r>
            <w:r>
              <w:t xml:space="preserve"> </w:t>
            </w:r>
            <w:r>
              <w:rPr>
                <w:i/>
              </w:rPr>
              <w:t>AJPT</w:t>
            </w:r>
            <w:r>
              <w:t xml:space="preserve"> — Professional skepticism review</w:t>
            </w:r>
          </w:p>
        </w:tc>
        <w:tc>
          <w:tcPr>
            <w:tcW w:type="dxa" w:w="2340"/>
          </w:tcPr>
          <w:p>
            <w:pPr>
              <w:spacing w:line="240" w:lineRule="auto"/>
            </w:pPr>
            <w:r/>
            <w:r>
              <w:t>The skepticism map your model sits in</w:t>
            </w:r>
          </w:p>
        </w:tc>
        <w:tc>
          <w:tcPr>
            <w:tcW w:type="dxa" w:w="2340"/>
          </w:tcPr>
          <w:p>
            <w:pPr>
              <w:spacing w:line="240" w:lineRule="auto"/>
            </w:pPr>
            <w:r/>
            <w:r>
              <w:rPr>
                <w:rFonts w:ascii="Consolas" w:hAnsi="Consolas"/>
                <w:sz w:val="20"/>
              </w:rPr>
              <w:t>Nelson 2009 model literature review professional skepticism auditing</w:t>
            </w:r>
          </w:p>
        </w:tc>
      </w:tr>
      <w:tr>
        <w:tc>
          <w:tcPr>
            <w:tcW w:type="dxa" w:w="2340"/>
          </w:tcPr>
          <w:p>
            <w:pPr>
              <w:spacing w:line="240" w:lineRule="auto"/>
            </w:pPr>
            <w:r/>
            <w:r>
              <w:t>5</w:t>
            </w:r>
          </w:p>
        </w:tc>
        <w:tc>
          <w:tcPr>
            <w:tcW w:type="dxa" w:w="2340"/>
          </w:tcPr>
          <w:p>
            <w:pPr>
              <w:spacing w:line="240" w:lineRule="auto"/>
            </w:pPr>
            <w:r/>
            <w:r>
              <w:rPr>
                <w:b/>
              </w:rPr>
              <w:t>Francis (2011)</w:t>
            </w:r>
            <w:r>
              <w:t xml:space="preserve"> </w:t>
            </w:r>
            <w:r>
              <w:rPr>
                <w:i/>
              </w:rPr>
              <w:t>AJPT</w:t>
            </w:r>
            <w:r>
              <w:t xml:space="preserve"> — Audit-quality framework</w:t>
            </w:r>
          </w:p>
        </w:tc>
        <w:tc>
          <w:tcPr>
            <w:tcW w:type="dxa" w:w="2340"/>
          </w:tcPr>
          <w:p>
            <w:pPr>
              <w:spacing w:line="240" w:lineRule="auto"/>
            </w:pPr>
            <w:r/>
            <w:r>
              <w:t>The framework that justifies your two mediators</w:t>
            </w:r>
          </w:p>
        </w:tc>
        <w:tc>
          <w:tcPr>
            <w:tcW w:type="dxa" w:w="2340"/>
          </w:tcPr>
          <w:p>
            <w:pPr>
              <w:spacing w:line="240" w:lineRule="auto"/>
            </w:pPr>
            <w:r/>
            <w:r>
              <w:rPr>
                <w:rFonts w:ascii="Consolas" w:hAnsi="Consolas"/>
                <w:sz w:val="20"/>
              </w:rPr>
              <w:t>Francis 2011 framework understanding researching audit quality</w:t>
            </w:r>
          </w:p>
        </w:tc>
      </w:tr>
    </w:tbl>
    <w:p>
      <w:pPr>
        <w:spacing w:after="0"/>
      </w:pPr>
    </w:p>
    <w:p>
      <w:r>
        <w:rPr>
          <w:b/>
        </w:rPr>
        <w:t>How to grab each PDF (the routine for all 5):</w:t>
      </w:r>
    </w:p>
    <w:p>
      <w:pPr>
        <w:pStyle w:val="ListNumber"/>
      </w:pPr>
      <w:r>
        <w:t>Open https://scholar.google.com</w:t>
      </w:r>
    </w:p>
    <w:p>
      <w:pPr>
        <w:pStyle w:val="ListNumber"/>
      </w:pPr>
      <w:r>
        <w:t>Paste the search string from the table above</w:t>
      </w:r>
    </w:p>
    <w:p>
      <w:pPr>
        <w:pStyle w:val="ListNumber"/>
      </w:pPr>
      <w:r>
        <w:t>Click the first result</w:t>
      </w:r>
    </w:p>
    <w:p>
      <w:pPr>
        <w:pStyle w:val="ListNumber"/>
      </w:pPr>
      <w:r>
        <w:t xml:space="preserve">Look for the </w:t>
      </w:r>
      <w:r>
        <w:rPr>
          <w:b/>
        </w:rPr>
        <w:t>`[PDF]`</w:t>
      </w:r>
      <w:r>
        <w:t xml:space="preserve"> link on the right side of the result, OR click the title and look for a "Download PDF" link</w:t>
      </w:r>
    </w:p>
    <w:p>
      <w:pPr>
        <w:pStyle w:val="ListNumber"/>
      </w:pPr>
      <w:r>
        <w:t xml:space="preserve">If no PDF: check </w:t>
      </w:r>
      <w:r>
        <w:rPr>
          <w:b/>
        </w:rPr>
        <w:t>FIU library</w:t>
      </w:r>
      <w:r>
        <w:t xml:space="preserve"> (https://library.fiu.edu) → it has full-text access to AJPT, TAR, JAR, etc.</w:t>
      </w:r>
    </w:p>
    <w:p>
      <w:pPr>
        <w:pStyle w:val="ListNumber"/>
      </w:pPr>
      <w:r>
        <w:t xml:space="preserve">Drag each PDF into NotebookLM's </w:t>
      </w:r>
      <w:r>
        <w:rPr>
          <w:b/>
        </w:rPr>
        <w:t>Sources</w:t>
      </w:r>
      <w:r>
        <w:t xml:space="preserve"> panel</w:t>
      </w:r>
    </w:p>
    <w:p>
      <w:r>
        <w:t xml:space="preserve">✅ </w:t>
      </w:r>
      <w:r>
        <w:rPr>
          <w:b/>
        </w:rPr>
        <w:t>You're done when</w:t>
      </w:r>
      <w:r>
        <w:t xml:space="preserve"> all 5 papers show green checkmarks in the Sources panel (6 sources total counting your own paper).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ADD tip:</w:t>
            </w:r>
            <w:r>
              <w:t xml:space="preserve"> Don't try to read these. You're just uploading them. NotebookLM will read them for you.</w:t>
            </w:r>
          </w:p>
        </w:tc>
      </w:tr>
    </w:tbl>
    <w:p>
      <w:pPr>
        <w:spacing w:after="0"/>
      </w:pPr>
    </w:p>
    <w:p>
      <w:r>
        <w:br w:type="page"/>
      </w:r>
    </w:p>
    <w:p>
      <w:pPr>
        <w:pStyle w:val="Heading3"/>
      </w:pPr>
      <w:r>
        <w:t>Step 1.4 — **Verify** the notebook works ⏱ 2 min</w:t>
      </w:r>
    </w:p>
    <w:p>
      <w:r>
        <w:t>In the chat box at the bottom of NotebookLM, paste this and hit Enter:</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List every source currently in this notebook, one per line, in the format:</w:t>
            </w:r>
          </w:p>
          <w:p>
            <w:pPr>
              <w:spacing w:line="240" w:lineRule="auto" w:after="0"/>
            </w:pPr>
            <w:r>
              <w:rPr>
                <w:rFonts w:ascii="Consolas" w:hAnsi="Consolas"/>
                <w:sz w:val="18"/>
              </w:rPr>
              <w:t>"[number]. Author (Year) — short title"</w:t>
            </w:r>
          </w:p>
        </w:tc>
      </w:tr>
    </w:tbl>
    <w:p>
      <w:pPr>
        <w:spacing w:after="0"/>
      </w:pPr>
    </w:p>
    <w:p>
      <w:r>
        <w:t xml:space="preserve">✅ </w:t>
      </w:r>
      <w:r>
        <w:rPr>
          <w:b/>
        </w:rPr>
        <w:t>You're done when</w:t>
      </w:r>
      <w:r>
        <w:t xml:space="preserve"> you see a numbered list of 6 sources. If anything is missing, re-upload it.</w:t>
      </w:r>
    </w:p>
    <w:p>
      <w:r>
        <w:br w:type="page"/>
      </w:r>
    </w:p>
    <w:p>
      <w:pPr>
        <w:pStyle w:val="Heading3"/>
      </w:pPr>
      <w:r>
        <w:t>Step 1.5 — **Generate** the first study tool: Audio Overview ⏱ 5 min (mostly waiting)</w:t>
      </w:r>
    </w:p>
    <w:p>
      <w:r>
        <w:t>This is the ADD-superpower step.</w:t>
      </w:r>
    </w:p>
    <w:p>
      <w:pPr>
        <w:pStyle w:val="ListNumber"/>
      </w:pPr>
      <w:r>
        <w:t xml:space="preserve">In the right-hand panel, find </w:t>
      </w:r>
      <w:r>
        <w:rPr>
          <w:b/>
        </w:rPr>
        <w:t>"Audio Overview"</w:t>
      </w:r>
      <w:r>
        <w:t xml:space="preserve"> (sometimes labeled "Deep Dive Conversation")</w:t>
      </w:r>
    </w:p>
    <w:p>
      <w:pPr>
        <w:pStyle w:val="ListNumber"/>
      </w:pPr>
      <w:r>
        <w:t xml:space="preserve">Click </w:t>
      </w:r>
      <w:r>
        <w:rPr>
          <w:b/>
        </w:rPr>
        <w:t>"Customize"</w:t>
      </w:r>
      <w:r>
        <w:t xml:space="preserve"> (don't just click Generate yet)</w:t>
      </w:r>
    </w:p>
    <w:p>
      <w:pPr>
        <w:pStyle w:val="ListNumber"/>
      </w:pPr>
      <w:r>
        <w:t>Paste this customization prompt:</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Focus on anchoring bias in long-term auditor engagements. Explain to a doctoral</w:t>
            </w:r>
          </w:p>
          <w:p>
            <w:pPr>
              <w:spacing w:line="240" w:lineRule="auto" w:after="0"/>
            </w:pPr>
            <w:r>
              <w:rPr>
                <w:rFonts w:ascii="Consolas" w:hAnsi="Consolas"/>
                <w:sz w:val="18"/>
              </w:rPr>
              <w:t>student preparing a research proposal: (a) what anchoring bias is, (b) why it</w:t>
            </w:r>
          </w:p>
          <w:p>
            <w:pPr>
              <w:spacing w:line="240" w:lineRule="auto" w:after="0"/>
            </w:pPr>
            <w:r>
              <w:rPr>
                <w:rFonts w:ascii="Consolas" w:hAnsi="Consolas"/>
                <w:sz w:val="18"/>
              </w:rPr>
              <w:t>matters specifically for auditors who return year after year to the same client,</w:t>
            </w:r>
          </w:p>
          <w:p>
            <w:pPr>
              <w:spacing w:line="240" w:lineRule="auto" w:after="0"/>
            </w:pPr>
            <w:r>
              <w:rPr>
                <w:rFonts w:ascii="Consolas" w:hAnsi="Consolas"/>
                <w:sz w:val="18"/>
              </w:rPr>
              <w:t>(c) the eleven-construct model in Yasir Malik's paper, and (d) what gaps remain</w:t>
            </w:r>
          </w:p>
          <w:p>
            <w:pPr>
              <w:spacing w:line="240" w:lineRule="auto" w:after="0"/>
            </w:pPr>
            <w:r>
              <w:rPr>
                <w:rFonts w:ascii="Consolas" w:hAnsi="Consolas"/>
                <w:sz w:val="18"/>
              </w:rPr>
              <w:t>in the literature that this study addresses. Keep it conversational and around</w:t>
            </w:r>
          </w:p>
          <w:p>
            <w:pPr>
              <w:spacing w:line="240" w:lineRule="auto" w:after="0"/>
            </w:pPr>
            <w:r>
              <w:rPr>
                <w:rFonts w:ascii="Consolas" w:hAnsi="Consolas"/>
                <w:sz w:val="18"/>
              </w:rPr>
              <w:t>15-20 minutes. Pretend the listener has ADD — keep the energy up, signpost</w:t>
            </w:r>
          </w:p>
          <w:p>
            <w:pPr>
              <w:spacing w:line="240" w:lineRule="auto" w:after="0"/>
            </w:pPr>
            <w:r>
              <w:rPr>
                <w:rFonts w:ascii="Consolas" w:hAnsi="Consolas"/>
                <w:sz w:val="18"/>
              </w:rPr>
              <w:t>clearly, and recap key points twice.</w:t>
            </w:r>
          </w:p>
        </w:tc>
      </w:tr>
    </w:tbl>
    <w:p>
      <w:pPr>
        <w:spacing w:after="0"/>
      </w:pPr>
    </w:p>
    <w:p>
      <w:pPr>
        <w:pStyle w:val="ListNumber"/>
      </w:pPr>
      <w:r>
        <w:t xml:space="preserve">Click </w:t>
      </w:r>
      <w:r>
        <w:rPr>
          <w:b/>
        </w:rPr>
        <w:t>Generate</w:t>
      </w:r>
    </w:p>
    <w:p>
      <w:pPr>
        <w:pStyle w:val="ListNumber"/>
      </w:pPr>
      <w:r>
        <w:rPr>
          <w:b/>
        </w:rPr>
        <w:t>Walk away.</w:t>
      </w:r>
      <w:r>
        <w:t xml:space="preserve"> It takes 5–10 minutes. Come back when your phone dings.</w:t>
      </w:r>
    </w:p>
    <w:p>
      <w:r>
        <w:t xml:space="preserve">✅ </w:t>
      </w:r>
      <w:r>
        <w:rPr>
          <w:b/>
        </w:rPr>
        <w:t>You're done when</w:t>
      </w:r>
      <w:r>
        <w:t xml:space="preserve"> you see a play button and can listen to a ~15-min podcast about your own paper.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Why this is the ADD gold:</w:t>
            </w:r>
            <w:r>
              <w:t xml:space="preserve"> Listen to it on a walk tomorrow morning. Your committee meeting prep just became cardio.</w:t>
            </w:r>
          </w:p>
        </w:tc>
      </w:tr>
    </w:tbl>
    <w:p>
      <w:pPr>
        <w:spacing w:after="0"/>
      </w:pPr>
    </w:p>
    <w:p>
      <w:r>
        <w:br w:type="page"/>
      </w:r>
    </w:p>
    <w:p>
      <w:pPr>
        <w:pStyle w:val="Heading2"/>
      </w:pPr>
      <w:r>
        <w:t>Phase 2 — Extract more material per construct (~20 min each)</w:t>
      </w:r>
    </w:p>
    <w:p>
      <w:r>
        <w:t xml:space="preserve">Repeat this loop for each of the 11 constructs in your paper. </w:t>
      </w:r>
      <w:r>
        <w:rPr>
          <w:b/>
        </w:rPr>
        <w:t>You do NOT have to do all 11 today</w:t>
      </w:r>
      <w:r>
        <w:t xml:space="preserve"> — pick the two you feel weakest on and start there.</w:t>
      </w:r>
    </w:p>
    <w:p>
      <w:pPr>
        <w:pStyle w:val="Heading3"/>
      </w:pPr>
      <w:r>
        <w:t>The loop (memorize this — it's the whole game)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Search → Upload → Ask → Paste</w:t>
            </w:r>
          </w:p>
          <w:p>
            <w:pPr>
              <w:spacing w:line="240" w:lineRule="auto" w:after="40"/>
            </w:pPr>
          </w:p>
          <w:p>
            <w:pPr>
              <w:spacing w:line="240" w:lineRule="auto" w:after="40"/>
            </w:pPr>
            <w:r>
              <w:t xml:space="preserve">1. </w:t>
            </w:r>
            <w:r>
              <w:rPr>
                <w:b/>
              </w:rPr>
              <w:t>Search</w:t>
            </w:r>
            <w:r>
              <w:t xml:space="preserve"> Scholar for 2-3 new papers on the construct (10 min)</w:t>
            </w:r>
          </w:p>
          <w:p>
            <w:pPr>
              <w:spacing w:line="240" w:lineRule="auto" w:after="40"/>
            </w:pPr>
            <w:r>
              <w:t xml:space="preserve">2. </w:t>
            </w:r>
            <w:r>
              <w:rPr>
                <w:b/>
              </w:rPr>
              <w:t>Upload</w:t>
            </w:r>
            <w:r>
              <w:t xml:space="preserve"> their PDFs to NotebookLM (2 min)</w:t>
            </w:r>
          </w:p>
          <w:p>
            <w:pPr>
              <w:spacing w:line="240" w:lineRule="auto" w:after="40"/>
            </w:pPr>
            <w:r>
              <w:t xml:space="preserve">3. </w:t>
            </w:r>
            <w:r>
              <w:rPr>
                <w:b/>
              </w:rPr>
              <w:t>Ask</w:t>
            </w:r>
            <w:r>
              <w:t xml:space="preserve"> NotebookLM the 4-prompt set below (5 min)</w:t>
            </w:r>
          </w:p>
          <w:p>
            <w:pPr>
              <w:spacing w:line="240" w:lineRule="auto" w:after="40"/>
            </w:pPr>
            <w:r>
              <w:t xml:space="preserve">4. </w:t>
            </w:r>
            <w:r>
              <w:rPr>
                <w:b/>
              </w:rPr>
              <w:t>Paste</w:t>
            </w:r>
            <w:r>
              <w:t xml:space="preserve"> the answers into the right section of your markdown master (3 min)</w:t>
            </w:r>
          </w:p>
        </w:tc>
      </w:tr>
    </w:tbl>
    <w:p>
      <w:pPr>
        <w:spacing w:after="0"/>
      </w:pPr>
    </w:p>
    <w:p>
      <w:r>
        <w:br w:type="page"/>
      </w:r>
    </w:p>
    <w:p>
      <w:pPr>
        <w:pStyle w:val="Heading3"/>
      </w:pPr>
      <w:r>
        <w:t>Step 2.1 — **Search** Scholar for new sources ⏱ 10 min</w:t>
      </w:r>
    </w:p>
    <w:p>
      <w:r>
        <w:t xml:space="preserve">Pick a construct (e.g., </w:t>
      </w:r>
      <w:r>
        <w:rPr>
          <w:b/>
        </w:rPr>
        <w:t>Training &amp; Awareness — TA</w:t>
      </w:r>
      <w:r>
        <w:t xml:space="preserve">). Open the </w:t>
      </w:r>
      <w:r>
        <w:rPr>
          <w:b/>
        </w:rPr>
        <w:t>"Optional further reading"</w:t>
      </w:r>
      <w:r>
        <w:t xml:space="preserve"> box for that construct in your paper to see what I already suggested. Then in Google Scholar, run </w:t>
      </w:r>
      <w:r>
        <w:rPr>
          <w:b/>
        </w:rPr>
        <w:t>2 of these searches</w:t>
      </w:r>
      <w:r>
        <w:t xml:space="preserve"> (not all — just 2):</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"bias training" auditors effectiveness experiment</w:t>
            </w:r>
          </w:p>
          <w:p>
            <w:pPr>
              <w:spacing w:line="240" w:lineRule="auto" w:after="0"/>
            </w:pPr>
            <w:r>
              <w:rPr>
                <w:rFonts w:ascii="Consolas" w:hAnsi="Consolas"/>
                <w:sz w:val="18"/>
              </w:rPr>
            </w:r>
          </w:p>
          <w:p>
            <w:pPr>
              <w:spacing w:line="240" w:lineRule="auto" w:after="0"/>
            </w:pPr>
            <w:r>
              <w:rPr>
                <w:rFonts w:ascii="Consolas" w:hAnsi="Consolas"/>
                <w:sz w:val="18"/>
              </w:rPr>
              <w:t>"debiasing" training "decision making" transfer durability</w:t>
            </w:r>
          </w:p>
          <w:p>
            <w:pPr>
              <w:spacing w:line="240" w:lineRule="auto" w:after="0"/>
            </w:pPr>
            <w:r>
              <w:rPr>
                <w:rFonts w:ascii="Consolas" w:hAnsi="Consolas"/>
                <w:sz w:val="18"/>
              </w:rPr>
            </w:r>
          </w:p>
          <w:p>
            <w:pPr>
              <w:spacing w:line="240" w:lineRule="auto" w:after="0"/>
            </w:pPr>
            <w:r>
              <w:rPr>
                <w:rFonts w:ascii="Consolas" w:hAnsi="Consolas"/>
                <w:sz w:val="18"/>
              </w:rPr>
              <w:t>professional skepticism training intervention audit</w:t>
            </w:r>
          </w:p>
        </w:tc>
      </w:tr>
    </w:tbl>
    <w:p>
      <w:pPr>
        <w:spacing w:after="0"/>
      </w:pPr>
    </w:p>
    <w:p>
      <w:r>
        <w:t>For each search:</w:t>
      </w:r>
    </w:p>
    <w:p>
      <w:pPr>
        <w:pStyle w:val="ListNumber"/>
      </w:pPr>
      <w:r>
        <w:t xml:space="preserve">Sort by </w:t>
      </w:r>
      <w:r>
        <w:rPr>
          <w:b/>
        </w:rPr>
        <w:t>"Cited by"</w:t>
      </w:r>
      <w:r>
        <w:t xml:space="preserve"> (high to low) — find papers cited ≥50 times</w:t>
      </w:r>
    </w:p>
    <w:p>
      <w:pPr>
        <w:pStyle w:val="ListNumber"/>
      </w:pPr>
      <w:r>
        <w:t xml:space="preserve">Pick the </w:t>
      </w:r>
      <w:r>
        <w:rPr>
          <w:b/>
        </w:rPr>
        <w:t>top 2</w:t>
      </w:r>
      <w:r>
        <w:t xml:space="preserve"> that look most relevant to </w:t>
      </w:r>
      <w:r>
        <w:rPr>
          <w:i/>
        </w:rPr>
        <w:t>your</w:t>
      </w:r>
      <w:r>
        <w:t xml:space="preserve"> construct definition</w:t>
      </w:r>
    </w:p>
    <w:p>
      <w:pPr>
        <w:pStyle w:val="ListNumber"/>
      </w:pPr>
      <w:r>
        <w:t xml:space="preserve">Click the </w:t>
      </w:r>
      <w:r>
        <w:rPr>
          <w:b/>
        </w:rPr>
        <w:t>[PDF]</w:t>
      </w:r>
      <w:r>
        <w:t xml:space="preserve"> link or use the FIU library to download</w:t>
      </w:r>
    </w:p>
    <w:p>
      <w:r>
        <w:rPr>
          <w:b/>
        </w:rPr>
        <w:t>Target:</w:t>
      </w:r>
      <w:r>
        <w:t xml:space="preserve"> 2–4 PDFs per construct.</w:t>
      </w:r>
    </w:p>
    <w:p>
      <w:r>
        <w:t xml:space="preserve">✅ </w:t>
      </w:r>
      <w:r>
        <w:rPr>
          <w:b/>
        </w:rPr>
        <w:t>You're done when</w:t>
      </w:r>
      <w:r>
        <w:t xml:space="preserve"> you have 2-4 new PDFs saved on your computer.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ADD tip:</w:t>
            </w:r>
            <w:r>
              <w:t xml:space="preserve"> Set a 10-min timer. When it goes off, stop searching even if you found "only" 2 papers. 2 good ones beats 8 vague ones.</w:t>
            </w:r>
          </w:p>
        </w:tc>
      </w:tr>
    </w:tbl>
    <w:p>
      <w:pPr>
        <w:spacing w:after="0"/>
      </w:pPr>
    </w:p>
    <w:p>
      <w:r>
        <w:br w:type="page"/>
      </w:r>
    </w:p>
    <w:p>
      <w:pPr>
        <w:pStyle w:val="Heading3"/>
      </w:pPr>
      <w:r>
        <w:t>Step 2.2 — **Upload** to NotebookLM ⏱ 2 min</w:t>
      </w:r>
    </w:p>
    <w:p>
      <w:pPr>
        <w:pStyle w:val="ListNumber"/>
      </w:pPr>
      <w:r>
        <w:t>Drag the new PDFs into the NotebookLM Sources panel</w:t>
      </w:r>
    </w:p>
    <w:p>
      <w:pPr>
        <w:pStyle w:val="ListNumber"/>
      </w:pPr>
      <w:r>
        <w:t>Wait for green checkmarks</w:t>
      </w:r>
    </w:p>
    <w:p>
      <w:pPr>
        <w:pStyle w:val="ListNumber"/>
      </w:pPr>
      <w:r>
        <w:t>Take a screenshot of the Sources panel so you have a record of what's in there</w:t>
      </w:r>
    </w:p>
    <w:p>
      <w:r>
        <w:t xml:space="preserve">✅ </w:t>
      </w:r>
      <w:r>
        <w:rPr>
          <w:b/>
        </w:rPr>
        <w:t>You're done when</w:t>
      </w:r>
      <w:r>
        <w:t xml:space="preserve"> the new PDFs show green checkmarks.</w:t>
      </w:r>
    </w:p>
    <w:p>
      <w:r>
        <w:br w:type="page"/>
      </w:r>
    </w:p>
    <w:p>
      <w:pPr>
        <w:pStyle w:val="Heading3"/>
      </w:pPr>
      <w:r>
        <w:t>Step 2.3 — **Ask** NotebookLM the 4-prompt set ⏱ 5 min</w:t>
      </w:r>
    </w:p>
    <w:p>
      <w:r>
        <w:t xml:space="preserve">These four prompts are </w:t>
      </w:r>
      <w:r>
        <w:rPr>
          <w:b/>
        </w:rPr>
        <w:t>tested</w:t>
      </w:r>
      <w:r>
        <w:t xml:space="preserve"> to give you copy-paste-ready paragraphs in the academic voice your paper is already written in. </w:t>
      </w:r>
      <w:r>
        <w:rPr>
          <w:b/>
        </w:rPr>
        <w:t>Run them one at a time, in order.</w:t>
      </w:r>
      <w:r>
        <w:t xml:space="preserve"> Wait for each answer before sending the next.</w:t>
      </w:r>
    </w:p>
    <w:p>
      <w:pPr>
        <w:pStyle w:val="Heading4"/>
      </w:pPr>
      <w:r>
        <w:t>Prompt A — Define and summarize each new source</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(NOT my own paper, NOT the 5 anchor</w:t>
            </w:r>
          </w:p>
          <w:p>
            <w:pPr>
              <w:spacing w:line="240" w:lineRule="auto" w:after="0"/>
            </w:pPr>
            <w:r>
              <w:rPr>
                <w:rFonts w:ascii="Consolas" w:hAnsi="Consolas"/>
                <w:sz w:val="18"/>
              </w:rPr>
              <w:t>papers from before), give me ONE academic paragraph in this exact format:</w:t>
            </w:r>
          </w:p>
          <w:p>
            <w:pPr>
              <w:spacing w:line="240" w:lineRule="auto" w:after="0"/>
            </w:pPr>
            <w:r>
              <w:rPr>
                <w:rFonts w:ascii="Consolas" w:hAnsi="Consolas"/>
                <w:sz w:val="18"/>
              </w:rPr>
            </w:r>
          </w:p>
          <w:p>
            <w:pPr>
              <w:spacing w:line="240" w:lineRule="auto" w:after="0"/>
            </w:pPr>
            <w:r>
              <w:rPr>
                <w:rFonts w:ascii="Consolas" w:hAnsi="Consolas"/>
                <w:sz w:val="18"/>
              </w:rPr>
              <w:t>"Author (Year), in [Journal Name], [verb: showed/demonstrated/argued/found]</w:t>
            </w:r>
          </w:p>
          <w:p>
            <w:pPr>
              <w:spacing w:line="240" w:lineRule="auto" w:after="0"/>
            </w:pPr>
            <w:r>
              <w:rPr>
                <w:rFonts w:ascii="Consolas" w:hAnsi="Consolas"/>
                <w:sz w:val="18"/>
              </w:rPr>
              <w:t>that [main finding]. The study [method in one clause]. The implication for</w:t>
            </w:r>
          </w:p>
          <w:p>
            <w:pPr>
              <w:spacing w:line="240" w:lineRule="auto" w:after="0"/>
            </w:pPr>
            <w:r>
              <w:rPr>
                <w:rFonts w:ascii="Consolas" w:hAnsi="Consolas"/>
                <w:sz w:val="18"/>
              </w:rPr>
              <w:t>[Training &amp; Awareness as a debiasing intervention in long-term auditor</w:t>
            </w:r>
          </w:p>
          <w:p>
            <w:pPr>
              <w:spacing w:line="240" w:lineRule="auto" w:after="0"/>
            </w:pPr>
            <w:r>
              <w:rPr>
                <w:rFonts w:ascii="Consolas" w:hAnsi="Consolas"/>
                <w:sz w:val="18"/>
              </w:rPr>
              <w:t>engagements] is [implication in one clause]."</w:t>
            </w:r>
          </w:p>
          <w:p>
            <w:pPr>
              <w:spacing w:line="240" w:lineRule="auto" w:after="0"/>
            </w:pPr>
            <w:r>
              <w:rPr>
                <w:rFonts w:ascii="Consolas" w:hAnsi="Consolas"/>
                <w:sz w:val="18"/>
              </w:rPr>
            </w:r>
          </w:p>
          <w:p>
            <w:pPr>
              <w:spacing w:line="240" w:lineRule="auto" w:after="0"/>
            </w:pPr>
            <w:r>
              <w:rPr>
                <w:rFonts w:ascii="Consolas" w:hAnsi="Consolas"/>
                <w:sz w:val="18"/>
              </w:rPr>
              <w:t>Replace [Training &amp; Awareness ...] with whichever construct I'm working on</w:t>
            </w:r>
          </w:p>
          <w:p>
            <w:pPr>
              <w:spacing w:line="240" w:lineRule="auto" w:after="0"/>
            </w:pPr>
            <w:r>
              <w:rPr>
                <w:rFonts w:ascii="Consolas" w:hAnsi="Consolas"/>
                <w:sz w:val="18"/>
              </w:rPr>
              <w:t>when I tell you. Do NOT invent details — if a paper doesn't report a method,</w:t>
            </w:r>
          </w:p>
          <w:p>
            <w:pPr>
              <w:spacing w:line="240" w:lineRule="auto" w:after="0"/>
            </w:pPr>
            <w:r>
              <w:rPr>
                <w:rFonts w:ascii="Consolas" w:hAnsi="Consolas"/>
                <w:sz w:val="18"/>
              </w:rPr>
              <w:t>say so. Do NOT include sources I didn't just add.</w:t>
            </w:r>
          </w:p>
        </w:tc>
      </w:tr>
    </w:tbl>
    <w:p>
      <w:pPr>
        <w:spacing w:after="0"/>
      </w:pPr>
    </w:p>
    <w:p>
      <w:r>
        <w:t xml:space="preserve">✅ </w:t>
      </w:r>
      <w:r>
        <w:rPr>
          <w:b/>
        </w:rPr>
        <w:t>You should get back</w:t>
      </w:r>
      <w:r>
        <w:t xml:space="preserve"> a paragraph per new paper, in the exact voice of your existing Ch.2.</w:t>
      </w:r>
    </w:p>
    <w:p>
      <w:r>
        <w:br w:type="page"/>
      </w:r>
    </w:p>
    <w:p>
      <w:pPr>
        <w:pStyle w:val="Heading4"/>
      </w:pPr>
      <w:r>
        <w:t>Prompt B — Find contradictions and gaps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Across ALL sources in this notebook (including my own paper and the 5 anchor</w:t>
            </w:r>
          </w:p>
          <w:p>
            <w:pPr>
              <w:spacing w:line="240" w:lineRule="auto" w:after="0"/>
            </w:pPr>
            <w:r>
              <w:rPr>
                <w:rFonts w:ascii="Consolas" w:hAnsi="Consolas"/>
                <w:sz w:val="18"/>
              </w:rPr>
              <w:t>papers), what does the literature DISAGREE about regarding [Training &amp; Awareness]?</w:t>
            </w:r>
          </w:p>
          <w:p>
            <w:pPr>
              <w:spacing w:line="240" w:lineRule="auto" w:after="0"/>
            </w:pPr>
            <w:r>
              <w:rPr>
                <w:rFonts w:ascii="Consolas" w:hAnsi="Consolas"/>
                <w:sz w:val="18"/>
              </w:rPr>
              <w:t>Be specific:</w:t>
            </w:r>
          </w:p>
          <w:p>
            <w:pPr>
              <w:spacing w:line="240" w:lineRule="auto" w:after="0"/>
            </w:pPr>
            <w:r>
              <w:rPr>
                <w:rFonts w:ascii="Consolas" w:hAnsi="Consolas"/>
                <w:sz w:val="18"/>
              </w:rPr>
              <w:t>- Where do authors contradict each other?</w:t>
            </w:r>
          </w:p>
          <w:p>
            <w:pPr>
              <w:spacing w:line="240" w:lineRule="auto" w:after="0"/>
            </w:pPr>
            <w:r>
              <w:rPr>
                <w:rFonts w:ascii="Consolas" w:hAnsi="Consolas"/>
                <w:sz w:val="18"/>
              </w:rPr>
              <w:t>- Where does evidence point in opposite directions?</w:t>
            </w:r>
          </w:p>
          <w:p>
            <w:pPr>
              <w:spacing w:line="240" w:lineRule="auto" w:after="0"/>
            </w:pPr>
            <w:r>
              <w:rPr>
                <w:rFonts w:ascii="Consolas" w:hAnsi="Consolas"/>
                <w:sz w:val="18"/>
              </w:rPr>
              <w:t>- What does the literature NOT address that a critical reader would ask?</w:t>
            </w:r>
          </w:p>
          <w:p>
            <w:pPr>
              <w:spacing w:line="240" w:lineRule="auto" w:after="0"/>
            </w:pPr>
            <w:r>
              <w:rPr>
                <w:rFonts w:ascii="Consolas" w:hAnsi="Consolas"/>
                <w:sz w:val="18"/>
              </w:rPr>
            </w:r>
          </w:p>
          <w:p>
            <w:pPr>
              <w:spacing w:line="240" w:lineRule="auto" w:after="0"/>
            </w:pPr>
            <w:r>
              <w:rPr>
                <w:rFonts w:ascii="Consolas" w:hAnsi="Consolas"/>
                <w:sz w:val="18"/>
              </w:rPr>
              <w:t>Format the answer as 3-5 bullets, each starting with "Contradiction:" or "Gap:".</w:t>
            </w:r>
          </w:p>
          <w:p>
            <w:pPr>
              <w:spacing w:line="240" w:lineRule="auto" w:after="0"/>
            </w:pPr>
            <w:r>
              <w:rPr>
                <w:rFonts w:ascii="Consolas" w:hAnsi="Consolas"/>
                <w:sz w:val="18"/>
              </w:rPr>
              <w:t>Cite which source(s) each bullet draws on, in (Author, Year) format.</w:t>
            </w:r>
          </w:p>
        </w:tc>
      </w:tr>
    </w:tbl>
    <w:p>
      <w:pPr>
        <w:spacing w:after="0"/>
      </w:pPr>
    </w:p>
    <w:p>
      <w:r>
        <w:t xml:space="preserve">✅ </w:t>
      </w:r>
      <w:r>
        <w:rPr>
          <w:b/>
        </w:rPr>
        <w:t>You should get back</w:t>
      </w:r>
      <w:r>
        <w:t xml:space="preserve"> 3-5 bullets, each tagged Contradiction or Gap with source citations. </w:t>
      </w:r>
      <w:r>
        <w:rPr>
          <w:b/>
        </w:rPr>
        <w:t>This is exactly what Dr. Ray meant by "give me your critical voice."</w:t>
      </w:r>
    </w:p>
    <w:p>
      <w:r>
        <w:br w:type="page"/>
      </w:r>
    </w:p>
    <w:p>
      <w:pPr>
        <w:pStyle w:val="Heading4"/>
      </w:pPr>
      <w:r>
        <w:t>Prompt C — Write the synthesis paragraph</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Write a 120-150 word paragraph I can paste directly into the section of my</w:t>
            </w:r>
          </w:p>
          <w:p>
            <w:pPr>
              <w:spacing w:line="240" w:lineRule="auto" w:after="0"/>
            </w:pPr>
            <w:r>
              <w:rPr>
                <w:rFonts w:ascii="Consolas" w:hAnsi="Consolas"/>
                <w:sz w:val="18"/>
              </w:rPr>
              <w:t>paper on [Training &amp; Awareness]. Requirements:</w:t>
            </w:r>
          </w:p>
          <w:p>
            <w:pPr>
              <w:spacing w:line="240" w:lineRule="auto" w:after="0"/>
            </w:pPr>
            <w:r>
              <w:rPr>
                <w:rFonts w:ascii="Consolas" w:hAnsi="Consolas"/>
                <w:sz w:val="18"/>
              </w:rPr>
              <w:t>- Integrate AT LEAST 2 of the new sources I just added</w:t>
            </w:r>
          </w:p>
          <w:p>
            <w:pPr>
              <w:spacing w:line="240" w:lineRule="auto" w:after="0"/>
            </w:pPr>
            <w:r>
              <w:rPr>
                <w:rFonts w:ascii="Consolas" w:hAnsi="Consolas"/>
                <w:sz w:val="18"/>
              </w:rPr>
              <w:t>- Reference at least 1 contradiction from the previous answer</w:t>
            </w:r>
          </w:p>
          <w:p>
            <w:pPr>
              <w:spacing w:line="240" w:lineRule="auto" w:after="0"/>
            </w:pPr>
            <w:r>
              <w:rPr>
                <w:rFonts w:ascii="Consolas" w:hAnsi="Consolas"/>
                <w:sz w:val="18"/>
              </w:rPr>
              <w:t>- End with a sentence that takes a defensible position (e.g., "The defensible</w:t>
            </w:r>
          </w:p>
          <w:p>
            <w:pPr>
              <w:spacing w:line="240" w:lineRule="auto" w:after="0"/>
            </w:pPr>
            <w:r>
              <w:rPr>
                <w:rFonts w:ascii="Consolas" w:hAnsi="Consolas"/>
                <w:sz w:val="18"/>
              </w:rPr>
              <w:t xml:space="preserve">  reading of the literature is that...")</w:t>
            </w:r>
          </w:p>
          <w:p>
            <w:pPr>
              <w:spacing w:line="240" w:lineRule="auto" w:after="0"/>
            </w:pPr>
            <w:r>
              <w:rPr>
                <w:rFonts w:ascii="Consolas" w:hAnsi="Consolas"/>
                <w:sz w:val="18"/>
              </w:rPr>
              <w:t>- Use the in-text citation style (Author, Year)</w:t>
            </w:r>
          </w:p>
          <w:p>
            <w:pPr>
              <w:spacing w:line="240" w:lineRule="auto" w:after="0"/>
            </w:pPr>
            <w:r>
              <w:rPr>
                <w:rFonts w:ascii="Consolas" w:hAnsi="Consolas"/>
                <w:sz w:val="18"/>
              </w:rPr>
              <w:t>- Match this voice: academic but not stiff, declarative, no hedging fluff</w:t>
            </w:r>
          </w:p>
          <w:p>
            <w:pPr>
              <w:spacing w:line="240" w:lineRule="auto" w:after="0"/>
            </w:pPr>
            <w:r>
              <w:rPr>
                <w:rFonts w:ascii="Consolas" w:hAnsi="Consolas"/>
                <w:sz w:val="18"/>
              </w:rPr>
            </w:r>
          </w:p>
          <w:p>
            <w:pPr>
              <w:spacing w:line="240" w:lineRule="auto" w:after="0"/>
            </w:pPr>
            <w:r>
              <w:rPr>
                <w:rFonts w:ascii="Consolas" w:hAnsi="Consolas"/>
                <w:sz w:val="18"/>
              </w:rPr>
              <w:t>Do NOT use sources outside this notebook. Do NOT use phrases like "in conclusion"</w:t>
            </w:r>
          </w:p>
          <w:p>
            <w:pPr>
              <w:spacing w:line="240" w:lineRule="auto" w:after="0"/>
            </w:pPr>
            <w:r>
              <w:rPr>
                <w:rFonts w:ascii="Consolas" w:hAnsi="Consolas"/>
                <w:sz w:val="18"/>
              </w:rPr>
              <w:t>or "in summary." Start with a substantive sentence, not a meta-sentence.</w:t>
            </w:r>
          </w:p>
        </w:tc>
      </w:tr>
    </w:tbl>
    <w:p>
      <w:pPr>
        <w:spacing w:after="0"/>
      </w:pPr>
    </w:p>
    <w:p>
      <w:r>
        <w:t xml:space="preserve">✅ </w:t>
      </w:r>
      <w:r>
        <w:rPr>
          <w:b/>
        </w:rPr>
        <w:t>You should get back</w:t>
      </w:r>
      <w:r>
        <w:t xml:space="preserve"> a paragraph that drops directly into your paper. </w:t>
      </w:r>
      <w:r>
        <w:rPr>
          <w:b/>
        </w:rPr>
        <w:t>Read it once. If it's accurate, paste it.</w:t>
      </w:r>
      <w:r>
        <w:t xml:space="preserve"> If not, run Prompt C again with a tweak.</w:t>
      </w:r>
    </w:p>
    <w:p>
      <w:r>
        <w:br w:type="page"/>
      </w:r>
    </w:p>
    <w:p>
      <w:pPr>
        <w:pStyle w:val="Heading4"/>
      </w:pPr>
      <w:r>
        <w:t>Prompt D — Generate the new reference-list entries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give me a formatted APA reference</w:t>
            </w:r>
          </w:p>
          <w:p>
            <w:pPr>
              <w:spacing w:line="240" w:lineRule="auto" w:after="0"/>
            </w:pPr>
            <w:r>
              <w:rPr>
                <w:rFonts w:ascii="Consolas" w:hAnsi="Consolas"/>
                <w:sz w:val="18"/>
              </w:rPr>
              <w:t>list entry in this exact style:</w:t>
            </w:r>
          </w:p>
          <w:p>
            <w:pPr>
              <w:spacing w:line="240" w:lineRule="auto" w:after="0"/>
            </w:pPr>
            <w:r>
              <w:rPr>
                <w:rFonts w:ascii="Consolas" w:hAnsi="Consolas"/>
                <w:sz w:val="18"/>
              </w:rPr>
            </w:r>
          </w:p>
          <w:p>
            <w:pPr>
              <w:spacing w:line="240" w:lineRule="auto" w:after="0"/>
            </w:pPr>
            <w:r>
              <w:rPr>
                <w:rFonts w:ascii="Consolas" w:hAnsi="Consolas"/>
                <w:sz w:val="18"/>
              </w:rPr>
              <w:t>Author, A. B., &amp; Author, C. D. (Year). Title of the article. *Journal Name,</w:t>
            </w:r>
          </w:p>
          <w:p>
            <w:pPr>
              <w:spacing w:line="240" w:lineRule="auto" w:after="0"/>
            </w:pPr>
            <w:r>
              <w:rPr>
                <w:rFonts w:ascii="Consolas" w:hAnsi="Consolas"/>
                <w:sz w:val="18"/>
              </w:rPr>
              <w:t>Volume*(Issue), pages.</w:t>
            </w:r>
          </w:p>
          <w:p>
            <w:pPr>
              <w:spacing w:line="240" w:lineRule="auto" w:after="0"/>
            </w:pPr>
            <w:r>
              <w:rPr>
                <w:rFonts w:ascii="Consolas" w:hAnsi="Consolas"/>
                <w:sz w:val="18"/>
              </w:rPr>
            </w:r>
          </w:p>
          <w:p>
            <w:pPr>
              <w:spacing w:line="240" w:lineRule="auto" w:after="0"/>
            </w:pPr>
            <w:r>
              <w:rPr>
                <w:rFonts w:ascii="Consolas" w:hAnsi="Consolas"/>
                <w:sz w:val="18"/>
              </w:rPr>
              <w:t>Use italics ONLY for the journal name and volume. Use the en-dash for page</w:t>
            </w:r>
          </w:p>
          <w:p>
            <w:pPr>
              <w:spacing w:line="240" w:lineRule="auto" w:after="0"/>
            </w:pPr>
            <w:r>
              <w:rPr>
                <w:rFonts w:ascii="Consolas" w:hAnsi="Consolas"/>
                <w:sz w:val="18"/>
              </w:rPr>
              <w:t>ranges. Do NOT include DOIs. Do NOT include URLs. If you do not know a field</w:t>
            </w:r>
          </w:p>
          <w:p>
            <w:pPr>
              <w:spacing w:line="240" w:lineRule="auto" w:after="0"/>
            </w:pPr>
            <w:r>
              <w:rPr>
                <w:rFonts w:ascii="Consolas" w:hAnsi="Consolas"/>
                <w:sz w:val="18"/>
              </w:rPr>
              <w:t>(e.g., exact pages), write [page range unconfirmed] rather than inventing one.</w:t>
            </w:r>
          </w:p>
        </w:tc>
      </w:tr>
    </w:tbl>
    <w:p>
      <w:pPr>
        <w:spacing w:after="0"/>
      </w:pPr>
    </w:p>
    <w:p>
      <w:r>
        <w:t xml:space="preserve">✅ </w:t>
      </w:r>
      <w:r>
        <w:rPr>
          <w:b/>
        </w:rPr>
        <w:t>You should get back</w:t>
      </w:r>
      <w:r>
        <w:t xml:space="preserve"> clean APA entries to add to your Verified Reference Pool. </w:t>
      </w:r>
      <w:r>
        <w:rPr>
          <w:b/>
        </w:rPr>
        <w:t>If you see `[page range unconfirmed]`, go back to the PDF's first page and find the page numbers yourself — don't push unverified info into the paper.</w:t>
      </w:r>
    </w:p>
    <w:p>
      <w:r>
        <w:br w:type="page"/>
      </w:r>
    </w:p>
    <w:p>
      <w:pPr>
        <w:pStyle w:val="Heading3"/>
      </w:pPr>
      <w:r>
        <w:t>Step 2.4 — **Paste** into your paper ⏱ 3 min</w:t>
      </w:r>
    </w:p>
    <w:p>
      <w:pPr>
        <w:pStyle w:val="ListNumber"/>
      </w:pPr>
      <w:r>
        <w:t xml:space="preserve">Open </w:t>
      </w:r>
      <w:r>
        <w:rPr>
          <w:rFonts w:ascii="Consolas" w:hAnsi="Consolas"/>
          <w:sz w:val="20"/>
        </w:rPr>
        <w:t>Research_Paper_YMalik_v4_master.md</w:t>
      </w:r>
      <w:r>
        <w:t xml:space="preserve"> in any text editor (VS Code, Notepad, even Google Docs)</w:t>
      </w:r>
    </w:p>
    <w:p>
      <w:pPr>
        <w:pStyle w:val="ListNumber"/>
      </w:pPr>
      <w:r>
        <w:t xml:space="preserve">Find the section for the construct you just worked on (e.g., </w:t>
      </w:r>
      <w:r>
        <w:rPr>
          <w:b/>
        </w:rPr>
        <w:t>"## 2.4  Training &amp; Awareness (TA)"</w:t>
      </w:r>
      <w:r>
        <w:t>)</w:t>
      </w:r>
    </w:p>
    <w:p>
      <w:pPr>
        <w:pStyle w:val="ListNumber"/>
      </w:pPr>
      <w:r>
        <w:t xml:space="preserve">Paste the synthesis paragraph from </w:t>
      </w:r>
      <w:r>
        <w:rPr>
          <w:b/>
        </w:rPr>
        <w:t>Prompt C</w:t>
      </w:r>
      <w:r>
        <w:t xml:space="preserve"> at the end of the construct's narrative (just before the "Optional further reading" box)</w:t>
      </w:r>
    </w:p>
    <w:p>
      <w:pPr>
        <w:pStyle w:val="ListNumber"/>
      </w:pPr>
      <w:r>
        <w:t xml:space="preserve">Scroll to the bottom — </w:t>
      </w:r>
      <w:r>
        <w:rPr>
          <w:b/>
        </w:rPr>
        <w:t>Verified Reference Pool</w:t>
      </w:r>
      <w:r>
        <w:t xml:space="preserve"> — and paste the new entries from </w:t>
      </w:r>
      <w:r>
        <w:rPr>
          <w:b/>
        </w:rPr>
        <w:t>Prompt D</w:t>
      </w:r>
      <w:r>
        <w:t xml:space="preserve"> alphabetically</w:t>
      </w:r>
    </w:p>
    <w:p>
      <w:pPr>
        <w:pStyle w:val="ListNumber"/>
      </w:pPr>
      <w:r>
        <w:rPr>
          <w:b/>
        </w:rPr>
        <w:t>Save the file</w:t>
      </w:r>
    </w:p>
    <w:p>
      <w:r>
        <w:t xml:space="preserve">✅ </w:t>
      </w:r>
      <w:r>
        <w:rPr>
          <w:b/>
        </w:rPr>
        <w:t>You're done when</w:t>
      </w:r>
      <w:r>
        <w:t xml:space="preserve"> the file is saved and the new content is in two places: the construct section AND the reference pool.</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Don't worry about regenerating the .docx today.</w:t>
            </w:r>
            <w:r>
              <w:t xml:space="preserve"> Edit the markdown master through all 11 constructs first, then regenerate the .docx once at the end. (Or ask me to do it.)</w:t>
            </w:r>
          </w:p>
        </w:tc>
      </w:tr>
    </w:tbl>
    <w:p>
      <w:pPr>
        <w:spacing w:after="0"/>
      </w:pPr>
    </w:p>
    <w:p>
      <w:r>
        <w:br w:type="page"/>
      </w:r>
    </w:p>
    <w:p>
      <w:pPr>
        <w:pStyle w:val="Heading3"/>
      </w:pPr>
      <w:r>
        <w:t>Step 2.5 — **Repeat** for the next construct ⏱ start a new 20-min timer</w:t>
      </w:r>
    </w:p>
    <w:p>
      <w:r>
        <w:t xml:space="preserve">Mark the construct you just did with a ✅ on this list. </w:t>
      </w:r>
      <w:r>
        <w:rPr>
          <w:b/>
        </w:rPr>
        <w:t>Two per session is plenty.</w:t>
      </w:r>
    </w:p>
    <w:p>
      <w:pPr>
        <w:pStyle w:val="ListBullet"/>
      </w:pPr>
      <w:r>
        <w:t>[ ] 2.4 Training &amp; Awareness (TA)</w:t>
      </w:r>
    </w:p>
    <w:p>
      <w:pPr>
        <w:pStyle w:val="ListBullet"/>
      </w:pPr>
      <w:r>
        <w:t>[ ] 2.5 Rotation of Auditors (RA)</w:t>
      </w:r>
    </w:p>
    <w:p>
      <w:pPr>
        <w:pStyle w:val="ListBullet"/>
      </w:pPr>
      <w:r>
        <w:t>[ ] 2.6 Use of Analytical Tools (AT)</w:t>
      </w:r>
    </w:p>
    <w:p>
      <w:pPr>
        <w:pStyle w:val="ListBullet"/>
      </w:pPr>
      <w:r>
        <w:t>[ ] 2.7 Structured Auditing Processes (SAP)</w:t>
      </w:r>
    </w:p>
    <w:p>
      <w:pPr>
        <w:pStyle w:val="ListBullet"/>
      </w:pPr>
      <w:r>
        <w:t>[ ] 2.8 Feedback &amp; Reflection (FR)</w:t>
      </w:r>
    </w:p>
    <w:p>
      <w:pPr>
        <w:pStyle w:val="ListBullet"/>
      </w:pPr>
      <w:r>
        <w:t>[ ] 2.9 Independent Reviews (IR)</w:t>
      </w:r>
    </w:p>
    <w:p>
      <w:pPr>
        <w:pStyle w:val="ListBullet"/>
      </w:pPr>
      <w:r>
        <w:t>[ ] 2.10 Regulatory &amp; Professional Guidance (RPG)</w:t>
      </w:r>
    </w:p>
    <w:p>
      <w:pPr>
        <w:pStyle w:val="ListBullet"/>
      </w:pPr>
      <w:r>
        <w:t>[ ] 2.11 Performance Metrics &amp; Incentives (PMI)</w:t>
      </w:r>
    </w:p>
    <w:p>
      <w:pPr>
        <w:pStyle w:val="ListBullet"/>
      </w:pPr>
      <w:r>
        <w:t>[ ] 2.12 Auditor Judgment Quality (AJQ)</w:t>
      </w:r>
    </w:p>
    <w:p>
      <w:pPr>
        <w:pStyle w:val="ListBullet"/>
      </w:pPr>
      <w:r>
        <w:t>[ ] 2.13 Audit Process Rigor (APR)</w:t>
      </w:r>
    </w:p>
    <w:p>
      <w:pPr>
        <w:pStyle w:val="ListBullet"/>
      </w:pPr>
      <w:r>
        <w:t>[ ] 2.3 Reduction in Anchoring Bias (RAB)</w:t>
      </w:r>
    </w:p>
    <w:p>
      <w:r>
        <w:br w:type="page"/>
      </w:r>
    </w:p>
    <w:p>
      <w:pPr>
        <w:pStyle w:val="Heading2"/>
      </w:pPr>
      <w:r>
        <w:t>Phase 3 — Study what you have (the ADD gold)</w:t>
      </w:r>
    </w:p>
    <w:p>
      <w:r>
        <w:t xml:space="preserve">You don't </w:t>
      </w:r>
      <w:r>
        <w:rPr>
          <w:i/>
        </w:rPr>
        <w:t>only</w:t>
      </w:r>
      <w:r>
        <w:t xml:space="preserve"> need to </w:t>
      </w:r>
      <w:r>
        <w:rPr>
          <w:b/>
        </w:rPr>
        <w:t>write</w:t>
      </w:r>
      <w:r>
        <w:t xml:space="preserve"> the paper. You need to </w:t>
      </w:r>
      <w:r>
        <w:rPr>
          <w:b/>
        </w:rPr>
        <w:t>own</w:t>
      </w:r>
      <w:r>
        <w:t xml:space="preserve"> it well enough to defend it in a committee meeting. NotebookLM has features built for exactly that.</w:t>
      </w:r>
    </w:p>
    <w:p>
      <w:pPr>
        <w:pStyle w:val="Heading3"/>
      </w:pPr>
      <w:r>
        <w:t>Tool 1 — **Study Guide** (auto-generated flashcards &amp; key terms)</w:t>
      </w:r>
    </w:p>
    <w:p>
      <w:r>
        <w:t xml:space="preserve">In NotebookLM's right-hand panel, click </w:t>
      </w:r>
      <w:r>
        <w:rPr>
          <w:b/>
        </w:rPr>
        <w:t>"Study Guide"</w:t>
      </w:r>
      <w:r>
        <w:t xml:space="preserve"> → </w:t>
      </w:r>
      <w:r>
        <w:rPr>
          <w:b/>
        </w:rPr>
        <w:t>Generate</w:t>
      </w:r>
      <w:r>
        <w:t>.</w:t>
      </w:r>
    </w:p>
    <w:p>
      <w:r>
        <w:t>You'll get:</w:t>
      </w:r>
    </w:p>
    <w:p>
      <w:pPr>
        <w:pStyle w:val="ListBullet"/>
      </w:pPr>
      <w:r>
        <w:t>Key terms &amp; definitions</w:t>
      </w:r>
    </w:p>
    <w:p>
      <w:pPr>
        <w:pStyle w:val="ListBullet"/>
      </w:pPr>
      <w:r>
        <w:t>Short-answer quiz questions</w:t>
      </w:r>
    </w:p>
    <w:p>
      <w:pPr>
        <w:pStyle w:val="ListBullet"/>
      </w:pPr>
      <w:r>
        <w:t>An essay-question prompt</w:t>
      </w:r>
    </w:p>
    <w:p>
      <w:r>
        <w:rPr>
          <w:b/>
        </w:rPr>
        <w:t>ADD use:</w:t>
      </w:r>
      <w:r>
        <w:t xml:space="preserve"> Print it. Stick it on the wall. Quiz yourself once a day for 5 minutes.</w:t>
      </w:r>
    </w:p>
    <w:p>
      <w:r>
        <w:br w:type="page"/>
      </w:r>
    </w:p>
    <w:p>
      <w:pPr>
        <w:pStyle w:val="Heading3"/>
      </w:pPr>
      <w:r>
        <w:t>Tool 2 — **Mind Map** (visualize the whole literature)</w:t>
      </w:r>
    </w:p>
    <w:p>
      <w:r>
        <w:t xml:space="preserve">Click </w:t>
      </w:r>
      <w:r>
        <w:rPr>
          <w:b/>
        </w:rPr>
        <w:t>"Mind Map"</w:t>
      </w:r>
      <w:r>
        <w:t xml:space="preserve"> → </w:t>
      </w:r>
      <w:r>
        <w:rPr>
          <w:b/>
        </w:rPr>
        <w:t>Generate</w:t>
      </w:r>
      <w:r>
        <w:t>.</w:t>
      </w:r>
    </w:p>
    <w:p>
      <w:r>
        <w:t>NotebookLM will produce a clickable, expandable mind map of every concept in your sources. Click any node to expand it.</w:t>
      </w:r>
    </w:p>
    <w:p>
      <w:r>
        <w:rPr>
          <w:b/>
        </w:rPr>
        <w:t>ADD use:</w:t>
      </w:r>
      <w:r>
        <w:t xml:space="preserve"> This is what to screen-share when your brain freezes in the committee meeting. You can navigate the literature visually instead of from memory.</w:t>
      </w:r>
    </w:p>
    <w:p>
      <w:r>
        <w:br w:type="page"/>
      </w:r>
    </w:p>
    <w:p>
      <w:pPr>
        <w:pStyle w:val="Heading3"/>
      </w:pPr>
      <w:r>
        <w:t>Tool 3 — **Audio Overview** (you already made one — make more)</w:t>
      </w:r>
    </w:p>
    <w:p>
      <w:r>
        <w:t xml:space="preserve">Generate one </w:t>
      </w:r>
      <w:r>
        <w:rPr>
          <w:b/>
        </w:rPr>
        <w:t>per construct</w:t>
      </w:r>
      <w:r>
        <w:t xml:space="preserve"> when you really need to internalize that section. Use this customization prompt template:</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Focus only on [CONSTRUCT NAME] as a debiasing intervention in long-term auditor</w:t>
            </w:r>
          </w:p>
          <w:p>
            <w:pPr>
              <w:spacing w:line="240" w:lineRule="auto" w:after="0"/>
            </w:pPr>
            <w:r>
              <w:rPr>
                <w:rFonts w:ascii="Consolas" w:hAnsi="Consolas"/>
                <w:sz w:val="18"/>
              </w:rPr>
              <w:t>engagements. Walk a doctoral student through: (a) the operational definition,</w:t>
            </w:r>
          </w:p>
          <w:p>
            <w:pPr>
              <w:spacing w:line="240" w:lineRule="auto" w:after="0"/>
            </w:pPr>
            <w:r>
              <w:rPr>
                <w:rFonts w:ascii="Consolas" w:hAnsi="Consolas"/>
                <w:sz w:val="18"/>
              </w:rPr>
              <w:t>(b) the theoretical mechanism by which it would reduce anchoring bias, (c) the</w:t>
            </w:r>
          </w:p>
          <w:p>
            <w:pPr>
              <w:spacing w:line="240" w:lineRule="auto" w:after="0"/>
            </w:pPr>
            <w:r>
              <w:rPr>
                <w:rFonts w:ascii="Consolas" w:hAnsi="Consolas"/>
                <w:sz w:val="18"/>
              </w:rPr>
              <w:t>two main contradictions in the literature, and (d) the hypothesis stated in</w:t>
            </w:r>
          </w:p>
          <w:p>
            <w:pPr>
              <w:spacing w:line="240" w:lineRule="auto" w:after="0"/>
            </w:pPr>
            <w:r>
              <w:rPr>
                <w:rFonts w:ascii="Consolas" w:hAnsi="Consolas"/>
                <w:sz w:val="18"/>
              </w:rPr>
              <w:t>Yasir Malik's paper. About 8 minutes. Keep energy high, recap twice, signpost</w:t>
            </w:r>
          </w:p>
          <w:p>
            <w:pPr>
              <w:spacing w:line="240" w:lineRule="auto" w:after="0"/>
            </w:pPr>
            <w:r>
              <w:rPr>
                <w:rFonts w:ascii="Consolas" w:hAnsi="Consolas"/>
                <w:sz w:val="18"/>
              </w:rPr>
              <w:t>clearly.</w:t>
            </w:r>
          </w:p>
        </w:tc>
      </w:tr>
    </w:tbl>
    <w:p>
      <w:pPr>
        <w:spacing w:after="0"/>
      </w:pPr>
    </w:p>
    <w:p>
      <w:r>
        <w:rPr>
          <w:b/>
        </w:rPr>
        <w:t>ADD use:</w:t>
      </w:r>
      <w:r>
        <w:t xml:space="preserve"> Listen to one a day for 11 days. By day 11 you've internalized your own model.</w:t>
      </w:r>
    </w:p>
    <w:p>
      <w:r>
        <w:br w:type="page"/>
      </w:r>
    </w:p>
    <w:p>
      <w:pPr>
        <w:pStyle w:val="Heading3"/>
      </w:pPr>
      <w:r>
        <w:t>Tool 4 — **Briefing Doc** (auto-generated executive summary)</w:t>
      </w:r>
    </w:p>
    <w:p>
      <w:r>
        <w:t xml:space="preserve">Click </w:t>
      </w:r>
      <w:r>
        <w:rPr>
          <w:b/>
        </w:rPr>
        <w:t>"Briefing Doc"</w:t>
      </w:r>
      <w:r>
        <w:t xml:space="preserve"> → </w:t>
      </w:r>
      <w:r>
        <w:rPr>
          <w:b/>
        </w:rPr>
        <w:t>Generate</w:t>
      </w:r>
      <w:r>
        <w:t>.</w:t>
      </w:r>
    </w:p>
    <w:p>
      <w:r>
        <w:t xml:space="preserve">NotebookLM writes a 2-page executive summary of all your sources. </w:t>
      </w:r>
      <w:r>
        <w:rPr>
          <w:b/>
        </w:rPr>
        <w:t>Use it as the foundation for your Chapter 1 introduction rewrite</w:t>
      </w:r>
      <w:r>
        <w:t xml:space="preserve"> later in the semester.</w:t>
      </w:r>
    </w:p>
    <w:p>
      <w:r>
        <w:br w:type="page"/>
      </w:r>
    </w:p>
    <w:p>
      <w:pPr>
        <w:pStyle w:val="Heading3"/>
      </w:pPr>
      <w:r>
        <w:t>Tool 5 — **Video Overview** (narrated slide deck of your paper)</w:t>
      </w:r>
    </w:p>
    <w:p>
      <w:r>
        <w:t xml:space="preserve">New in April 2026. Click </w:t>
      </w:r>
      <w:r>
        <w:rPr>
          <w:b/>
        </w:rPr>
        <w:t>"Video Overview"</w:t>
      </w:r>
      <w:r>
        <w:t xml:space="preserve"> in the Studio panel → </w:t>
      </w:r>
      <w:r>
        <w:rPr>
          <w:b/>
        </w:rPr>
        <w:t>Generate</w:t>
      </w:r>
      <w:r>
        <w:t>.</w:t>
      </w:r>
    </w:p>
    <w:p>
      <w:r>
        <w:t xml:space="preserve">NotebookLM produces a narrated slide presentation summarizing your sources with on-screen visuals. </w:t>
      </w:r>
      <w:r>
        <w:rPr>
          <w:b/>
        </w:rPr>
        <w:t>This is your committee-meeting prep deck.</w:t>
      </w:r>
      <w:r>
        <w:t xml:space="preserve"> You can screen-share this in the meeting if you blank, or watch it on 1.5x the night before to refresh.</w:t>
      </w:r>
    </w:p>
    <w:p>
      <w:r>
        <w:br w:type="page"/>
      </w:r>
    </w:p>
    <w:p>
      <w:pPr>
        <w:pStyle w:val="Heading3"/>
      </w:pPr>
      <w:r>
        <w:t>Tool 6 — **Interactive Mode** (raise your hand during the podcast)</w:t>
      </w:r>
    </w:p>
    <w:p>
      <w:r>
        <w:t xml:space="preserve">While the Audio Overview is playing, click </w:t>
      </w:r>
      <w:r>
        <w:rPr>
          <w:b/>
        </w:rPr>
        <w:t>"Join"</w:t>
      </w:r>
      <w:r>
        <w:t xml:space="preserve"> (or the hand-raise icon). Speak or type a question. The two AI hosts pause, answer using only your sources, and resume the discussion.</w:t>
      </w:r>
    </w:p>
    <w:p>
      <w:r>
        <w:rPr>
          <w:b/>
        </w:rPr>
        <w:t>ADD use:</w:t>
      </w:r>
      <w:r>
        <w:t xml:space="preserve"> This is the killer feature. When your mind wanders mid-podcast and you snap back with </w:t>
      </w:r>
      <w:r>
        <w:rPr>
          <w:i/>
        </w:rPr>
        <w:t>"wait — what's the difference between AJQ and APR again?"</w:t>
      </w:r>
      <w:r>
        <w:t>, just ask. You don't lose your place; you get the answer and the podcast keeps going.</w:t>
      </w:r>
    </w:p>
    <w:p>
      <w:r>
        <w:br w:type="page"/>
      </w:r>
    </w:p>
    <w:p>
      <w:pPr>
        <w:pStyle w:val="Heading2"/>
      </w:pPr>
      <w:r>
        <w:t>Prompt library</w:t>
      </w:r>
    </w:p>
    <w:p>
      <w:r>
        <w:t>Every prompt from this playbook, in one block, for fast access. Paste any of these directly into NotebookLM's chat.</w:t>
      </w:r>
    </w:p>
    <w:p>
      <w:pPr>
        <w:pStyle w:val="Heading3"/>
      </w:pPr>
      <w:r>
        <w:t>Setup prompts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List every source currently in this notebook, one per line, in the format:</w:t>
            </w:r>
          </w:p>
          <w:p>
            <w:pPr>
              <w:spacing w:line="240" w:lineRule="auto" w:after="0"/>
            </w:pPr>
            <w:r>
              <w:rPr>
                <w:rFonts w:ascii="Consolas" w:hAnsi="Consolas"/>
                <w:sz w:val="18"/>
              </w:rPr>
              <w:t>"[number]. Author (Year) — short title"</w:t>
            </w:r>
          </w:p>
        </w:tc>
      </w:tr>
    </w:tbl>
    <w:p>
      <w:pPr>
        <w:spacing w:after="0"/>
      </w:pPr>
    </w:p>
    <w:p>
      <w:pPr>
        <w:pStyle w:val="Heading3"/>
      </w:pPr>
      <w:r>
        <w:t>Per-construct extraction prompts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(NOT my own paper, NOT the 5 anchor</w:t>
            </w:r>
          </w:p>
          <w:p>
            <w:pPr>
              <w:spacing w:line="240" w:lineRule="auto" w:after="0"/>
            </w:pPr>
            <w:r>
              <w:rPr>
                <w:rFonts w:ascii="Consolas" w:hAnsi="Consolas"/>
                <w:sz w:val="18"/>
              </w:rPr>
              <w:t>papers from before), give me ONE academic paragraph in this exact format:</w:t>
            </w:r>
          </w:p>
          <w:p>
            <w:pPr>
              <w:spacing w:line="240" w:lineRule="auto" w:after="0"/>
            </w:pPr>
            <w:r>
              <w:rPr>
                <w:rFonts w:ascii="Consolas" w:hAnsi="Consolas"/>
                <w:sz w:val="18"/>
              </w:rPr>
            </w:r>
          </w:p>
          <w:p>
            <w:pPr>
              <w:spacing w:line="240" w:lineRule="auto" w:after="0"/>
            </w:pPr>
            <w:r>
              <w:rPr>
                <w:rFonts w:ascii="Consolas" w:hAnsi="Consolas"/>
                <w:sz w:val="18"/>
              </w:rPr>
              <w:t>"Author (Year), in [Journal Name], [verb: showed/demonstrated/argued/found]</w:t>
            </w:r>
          </w:p>
          <w:p>
            <w:pPr>
              <w:spacing w:line="240" w:lineRule="auto" w:after="0"/>
            </w:pPr>
            <w:r>
              <w:rPr>
                <w:rFonts w:ascii="Consolas" w:hAnsi="Consolas"/>
                <w:sz w:val="18"/>
              </w:rPr>
              <w:t>that [main finding]. The study [method in one clause]. The implication for</w:t>
            </w:r>
          </w:p>
          <w:p>
            <w:pPr>
              <w:spacing w:line="240" w:lineRule="auto" w:after="0"/>
            </w:pPr>
            <w:r>
              <w:rPr>
                <w:rFonts w:ascii="Consolas" w:hAnsi="Consolas"/>
                <w:sz w:val="18"/>
              </w:rPr>
              <w:t>[CONSTRUCT] as a debiasing intervention in long-term auditor engagements is</w:t>
            </w:r>
          </w:p>
          <w:p>
            <w:pPr>
              <w:spacing w:line="240" w:lineRule="auto" w:after="0"/>
            </w:pPr>
            <w:r>
              <w:rPr>
                <w:rFonts w:ascii="Consolas" w:hAnsi="Consolas"/>
                <w:sz w:val="18"/>
              </w:rPr>
              <w:t>[implication in one clause]."</w:t>
            </w:r>
          </w:p>
          <w:p>
            <w:pPr>
              <w:spacing w:line="240" w:lineRule="auto" w:after="0"/>
            </w:pPr>
            <w:r>
              <w:rPr>
                <w:rFonts w:ascii="Consolas" w:hAnsi="Consolas"/>
                <w:sz w:val="18"/>
              </w:rPr>
            </w:r>
          </w:p>
          <w:p>
            <w:pPr>
              <w:spacing w:line="240" w:lineRule="auto" w:after="0"/>
            </w:pPr>
            <w:r>
              <w:rPr>
                <w:rFonts w:ascii="Consolas" w:hAnsi="Consolas"/>
                <w:sz w:val="18"/>
              </w:rPr>
              <w:t>Do NOT invent details — if a paper doesn't report a method, say so.</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Across ALL sources in this notebook, what does the literature DISAGREE about</w:t>
            </w:r>
          </w:p>
          <w:p>
            <w:pPr>
              <w:spacing w:line="240" w:lineRule="auto" w:after="0"/>
            </w:pPr>
            <w:r>
              <w:rPr>
                <w:rFonts w:ascii="Consolas" w:hAnsi="Consolas"/>
                <w:sz w:val="18"/>
              </w:rPr>
              <w:t>regarding [CONSTRUCT]? Be specific:</w:t>
            </w:r>
          </w:p>
          <w:p>
            <w:pPr>
              <w:spacing w:line="240" w:lineRule="auto" w:after="0"/>
            </w:pPr>
            <w:r>
              <w:rPr>
                <w:rFonts w:ascii="Consolas" w:hAnsi="Consolas"/>
                <w:sz w:val="18"/>
              </w:rPr>
              <w:t>- Where do authors contradict each other?</w:t>
            </w:r>
          </w:p>
          <w:p>
            <w:pPr>
              <w:spacing w:line="240" w:lineRule="auto" w:after="0"/>
            </w:pPr>
            <w:r>
              <w:rPr>
                <w:rFonts w:ascii="Consolas" w:hAnsi="Consolas"/>
                <w:sz w:val="18"/>
              </w:rPr>
              <w:t>- Where does evidence point in opposite directions?</w:t>
            </w:r>
          </w:p>
          <w:p>
            <w:pPr>
              <w:spacing w:line="240" w:lineRule="auto" w:after="0"/>
            </w:pPr>
            <w:r>
              <w:rPr>
                <w:rFonts w:ascii="Consolas" w:hAnsi="Consolas"/>
                <w:sz w:val="18"/>
              </w:rPr>
              <w:t>- What does the literature NOT address that a critical reader would ask?</w:t>
            </w:r>
          </w:p>
          <w:p>
            <w:pPr>
              <w:spacing w:line="240" w:lineRule="auto" w:after="0"/>
            </w:pPr>
            <w:r>
              <w:rPr>
                <w:rFonts w:ascii="Consolas" w:hAnsi="Consolas"/>
                <w:sz w:val="18"/>
              </w:rPr>
            </w:r>
          </w:p>
          <w:p>
            <w:pPr>
              <w:spacing w:line="240" w:lineRule="auto" w:after="0"/>
            </w:pPr>
            <w:r>
              <w:rPr>
                <w:rFonts w:ascii="Consolas" w:hAnsi="Consolas"/>
                <w:sz w:val="18"/>
              </w:rPr>
              <w:t>Format as 3-5 bullets, each starting with "Contradiction:" or "Gap:".</w:t>
            </w:r>
          </w:p>
          <w:p>
            <w:pPr>
              <w:spacing w:line="240" w:lineRule="auto" w:after="0"/>
            </w:pPr>
            <w:r>
              <w:rPr>
                <w:rFonts w:ascii="Consolas" w:hAnsi="Consolas"/>
                <w:sz w:val="18"/>
              </w:rPr>
              <w:t>Cite sources in (Author, Year) format.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Write a 120-150 word paragraph I can paste directly into the section of my</w:t>
            </w:r>
          </w:p>
          <w:p>
            <w:pPr>
              <w:spacing w:line="240" w:lineRule="auto" w:after="0"/>
            </w:pPr>
            <w:r>
              <w:rPr>
                <w:rFonts w:ascii="Consolas" w:hAnsi="Consolas"/>
                <w:sz w:val="18"/>
              </w:rPr>
              <w:t>paper on [CONSTRUCT]. Requirements:</w:t>
            </w:r>
          </w:p>
          <w:p>
            <w:pPr>
              <w:spacing w:line="240" w:lineRule="auto" w:after="0"/>
            </w:pPr>
            <w:r>
              <w:rPr>
                <w:rFonts w:ascii="Consolas" w:hAnsi="Consolas"/>
                <w:sz w:val="18"/>
              </w:rPr>
              <w:t>- Integrate AT LEAST 2 of the new sources I just added</w:t>
            </w:r>
          </w:p>
          <w:p>
            <w:pPr>
              <w:spacing w:line="240" w:lineRule="auto" w:after="0"/>
            </w:pPr>
            <w:r>
              <w:rPr>
                <w:rFonts w:ascii="Consolas" w:hAnsi="Consolas"/>
                <w:sz w:val="18"/>
              </w:rPr>
              <w:t>- Reference at least 1 contradiction from the previous answer</w:t>
            </w:r>
          </w:p>
          <w:p>
            <w:pPr>
              <w:spacing w:line="240" w:lineRule="auto" w:after="0"/>
            </w:pPr>
            <w:r>
              <w:rPr>
                <w:rFonts w:ascii="Consolas" w:hAnsi="Consolas"/>
                <w:sz w:val="18"/>
              </w:rPr>
              <w:t>- End with a sentence that takes a defensible position</w:t>
            </w:r>
          </w:p>
          <w:p>
            <w:pPr>
              <w:spacing w:line="240" w:lineRule="auto" w:after="0"/>
            </w:pPr>
            <w:r>
              <w:rPr>
                <w:rFonts w:ascii="Consolas" w:hAnsi="Consolas"/>
                <w:sz w:val="18"/>
              </w:rPr>
              <w:t>- Use in-text citation style (Author, Year)</w:t>
            </w:r>
          </w:p>
          <w:p>
            <w:pPr>
              <w:spacing w:line="240" w:lineRule="auto" w:after="0"/>
            </w:pPr>
            <w:r>
              <w:rPr>
                <w:rFonts w:ascii="Consolas" w:hAnsi="Consolas"/>
                <w:sz w:val="18"/>
              </w:rPr>
              <w:t>- Match this voice: academic but not stiff, declarative, no hedging fluff</w:t>
            </w:r>
          </w:p>
          <w:p>
            <w:pPr>
              <w:spacing w:line="240" w:lineRule="auto" w:after="0"/>
            </w:pPr>
            <w:r>
              <w:rPr>
                <w:rFonts w:ascii="Consolas" w:hAnsi="Consolas"/>
                <w:sz w:val="18"/>
              </w:rPr>
            </w:r>
          </w:p>
          <w:p>
            <w:pPr>
              <w:spacing w:line="240" w:lineRule="auto" w:after="0"/>
            </w:pPr>
            <w:r>
              <w:rPr>
                <w:rFonts w:ascii="Consolas" w:hAnsi="Consolas"/>
                <w:sz w:val="18"/>
              </w:rPr>
              <w:t>Do NOT use sources outside this notebook.</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give me a formatted APA reference</w:t>
            </w:r>
          </w:p>
          <w:p>
            <w:pPr>
              <w:spacing w:line="240" w:lineRule="auto" w:after="0"/>
            </w:pPr>
            <w:r>
              <w:rPr>
                <w:rFonts w:ascii="Consolas" w:hAnsi="Consolas"/>
                <w:sz w:val="18"/>
              </w:rPr>
              <w:t>list entry in this exact style:</w:t>
            </w:r>
          </w:p>
          <w:p>
            <w:pPr>
              <w:spacing w:line="240" w:lineRule="auto" w:after="0"/>
            </w:pPr>
            <w:r>
              <w:rPr>
                <w:rFonts w:ascii="Consolas" w:hAnsi="Consolas"/>
                <w:sz w:val="18"/>
              </w:rPr>
            </w:r>
          </w:p>
          <w:p>
            <w:pPr>
              <w:spacing w:line="240" w:lineRule="auto" w:after="0"/>
            </w:pPr>
            <w:r>
              <w:rPr>
                <w:rFonts w:ascii="Consolas" w:hAnsi="Consolas"/>
                <w:sz w:val="18"/>
              </w:rPr>
              <w:t>Author, A. B., &amp; Author, C. D. (Year). Title of the article. *Journal Name,</w:t>
            </w:r>
          </w:p>
          <w:p>
            <w:pPr>
              <w:spacing w:line="240" w:lineRule="auto" w:after="0"/>
            </w:pPr>
            <w:r>
              <w:rPr>
                <w:rFonts w:ascii="Consolas" w:hAnsi="Consolas"/>
                <w:sz w:val="18"/>
              </w:rPr>
              <w:t>Volume*(Issue), pages.</w:t>
            </w:r>
          </w:p>
          <w:p>
            <w:pPr>
              <w:spacing w:line="240" w:lineRule="auto" w:after="0"/>
            </w:pPr>
            <w:r>
              <w:rPr>
                <w:rFonts w:ascii="Consolas" w:hAnsi="Consolas"/>
                <w:sz w:val="18"/>
              </w:rPr>
            </w:r>
          </w:p>
          <w:p>
            <w:pPr>
              <w:spacing w:line="240" w:lineRule="auto" w:after="0"/>
            </w:pPr>
            <w:r>
              <w:rPr>
                <w:rFonts w:ascii="Consolas" w:hAnsi="Consolas"/>
                <w:sz w:val="18"/>
              </w:rPr>
              <w:t>Italicize ONLY journal name and volume. Use en-dash for page ranges.</w:t>
            </w:r>
          </w:p>
          <w:p>
            <w:pPr>
              <w:spacing w:line="240" w:lineRule="auto" w:after="0"/>
            </w:pPr>
            <w:r>
              <w:rPr>
                <w:rFonts w:ascii="Consolas" w:hAnsi="Consolas"/>
                <w:sz w:val="18"/>
              </w:rPr>
              <w:t>No DOIs, no URLs. If you don't know a field, write [unconfirmed] — do not invent.</w:t>
            </w:r>
          </w:p>
        </w:tc>
      </w:tr>
    </w:tbl>
    <w:p>
      <w:pPr>
        <w:spacing w:after="0"/>
      </w:pPr>
    </w:p>
    <w:p>
      <w:pPr>
        <w:pStyle w:val="Heading3"/>
      </w:pPr>
      <w:r>
        <w:t>Hypothesis-development prompts (use these for Chapter 3 work)</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Based on the sources in this notebook, argue the theoretical relationship</w:t>
            </w:r>
          </w:p>
          <w:p>
            <w:pPr>
              <w:spacing w:line="240" w:lineRule="auto" w:after="0"/>
            </w:pPr>
            <w:r>
              <w:rPr>
                <w:rFonts w:ascii="Consolas" w:hAnsi="Consolas"/>
                <w:sz w:val="18"/>
              </w:rPr>
              <w:t>between [CONSTRUCT A] (origin) and [CONSTRUCT B] (destination). Structure:</w:t>
            </w:r>
          </w:p>
          <w:p>
            <w:pPr>
              <w:spacing w:line="240" w:lineRule="auto" w:after="0"/>
            </w:pPr>
            <w:r>
              <w:rPr>
                <w:rFonts w:ascii="Consolas" w:hAnsi="Consolas"/>
                <w:sz w:val="18"/>
              </w:rPr>
              <w:t>1. One sentence defining the origin construct</w:t>
            </w:r>
          </w:p>
          <w:p>
            <w:pPr>
              <w:spacing w:line="240" w:lineRule="auto" w:after="0"/>
            </w:pPr>
            <w:r>
              <w:rPr>
                <w:rFonts w:ascii="Consolas" w:hAnsi="Consolas"/>
                <w:sz w:val="18"/>
              </w:rPr>
              <w:t>2. One sentence defining the destination construct</w:t>
            </w:r>
          </w:p>
          <w:p>
            <w:pPr>
              <w:spacing w:line="240" w:lineRule="auto" w:after="0"/>
            </w:pPr>
            <w:r>
              <w:rPr>
                <w:rFonts w:ascii="Consolas" w:hAnsi="Consolas"/>
                <w:sz w:val="18"/>
              </w:rPr>
              <w:t>3. 2-3 sentences arguing the mechanism by which A would affect B</w:t>
            </w:r>
          </w:p>
          <w:p>
            <w:pPr>
              <w:spacing w:line="240" w:lineRule="auto" w:after="0"/>
            </w:pPr>
            <w:r>
              <w:rPr>
                <w:rFonts w:ascii="Consolas" w:hAnsi="Consolas"/>
                <w:sz w:val="18"/>
              </w:rPr>
              <w:t>4. Cite at least 2 sources for the mechanism</w:t>
            </w:r>
          </w:p>
          <w:p>
            <w:pPr>
              <w:spacing w:line="240" w:lineRule="auto" w:after="0"/>
            </w:pPr>
            <w:r>
              <w:rPr>
                <w:rFonts w:ascii="Consolas" w:hAnsi="Consolas"/>
                <w:sz w:val="18"/>
              </w:rPr>
              <w:t>5. End with: "Thus, Hypothesis [N] states that [A] is positively associated with [B]."</w:t>
            </w:r>
          </w:p>
          <w:p>
            <w:pPr>
              <w:spacing w:line="240" w:lineRule="auto" w:after="0"/>
            </w:pPr>
            <w:r>
              <w:rPr>
                <w:rFonts w:ascii="Consolas" w:hAnsi="Consolas"/>
                <w:sz w:val="18"/>
              </w:rPr>
            </w:r>
          </w:p>
          <w:p>
            <w:pPr>
              <w:spacing w:line="240" w:lineRule="auto" w:after="0"/>
            </w:pPr>
            <w:r>
              <w:rPr>
                <w:rFonts w:ascii="Consolas" w:hAnsi="Consolas"/>
                <w:sz w:val="18"/>
              </w:rPr>
              <w:t>Match the voice of section 3.4 of my paper.</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the mediated relationship [CONSTRUCT A] -&gt; [MEDIATOR] -&gt; Reduction in</w:t>
            </w:r>
          </w:p>
          <w:p>
            <w:pPr>
              <w:spacing w:line="240" w:lineRule="auto" w:after="0"/>
            </w:pPr>
            <w:r>
              <w:rPr>
                <w:rFonts w:ascii="Consolas" w:hAnsi="Consolas"/>
                <w:sz w:val="18"/>
              </w:rPr>
              <w:t>Anchoring Bias, argue why [MEDIATOR] is the appropriate conduit (not the other</w:t>
            </w:r>
          </w:p>
          <w:p>
            <w:pPr>
              <w:spacing w:line="240" w:lineRule="auto" w:after="0"/>
            </w:pPr>
            <w:r>
              <w:rPr>
                <w:rFonts w:ascii="Consolas" w:hAnsi="Consolas"/>
                <w:sz w:val="18"/>
              </w:rPr>
              <w:t>mediator). Structure:</w:t>
            </w:r>
          </w:p>
          <w:p>
            <w:pPr>
              <w:spacing w:line="240" w:lineRule="auto" w:after="0"/>
            </w:pPr>
            <w:r>
              <w:rPr>
                <w:rFonts w:ascii="Consolas" w:hAnsi="Consolas"/>
                <w:sz w:val="18"/>
              </w:rPr>
              <w:t>1. State the mechanism the mediator captures</w:t>
            </w:r>
          </w:p>
          <w:p>
            <w:pPr>
              <w:spacing w:line="240" w:lineRule="auto" w:after="0"/>
            </w:pPr>
            <w:r>
              <w:rPr>
                <w:rFonts w:ascii="Consolas" w:hAnsi="Consolas"/>
                <w:sz w:val="18"/>
              </w:rPr>
              <w:t>2. Explain why this intervention's effect operates through THIS mediator rather</w:t>
            </w:r>
          </w:p>
          <w:p>
            <w:pPr>
              <w:spacing w:line="240" w:lineRule="auto" w:after="0"/>
            </w:pPr>
            <w:r>
              <w:rPr>
                <w:rFonts w:ascii="Consolas" w:hAnsi="Consolas"/>
                <w:sz w:val="18"/>
              </w:rPr>
              <w:t xml:space="preserve">   than the alternative</w:t>
            </w:r>
          </w:p>
          <w:p>
            <w:pPr>
              <w:spacing w:line="240" w:lineRule="auto" w:after="0"/>
            </w:pPr>
            <w:r>
              <w:rPr>
                <w:rFonts w:ascii="Consolas" w:hAnsi="Consolas"/>
                <w:sz w:val="18"/>
              </w:rPr>
              <w:t>3. End with: "Thus, Hypothesis [N] states that [MEDIATOR] mediates the</w:t>
            </w:r>
          </w:p>
          <w:p>
            <w:pPr>
              <w:spacing w:line="240" w:lineRule="auto" w:after="0"/>
            </w:pPr>
            <w:r>
              <w:rPr>
                <w:rFonts w:ascii="Consolas" w:hAnsi="Consolas"/>
                <w:sz w:val="18"/>
              </w:rPr>
              <w:t xml:space="preserve">   relationship between [A] and the Reduction in Anchoring Bias."</w:t>
            </w:r>
          </w:p>
          <w:p>
            <w:pPr>
              <w:spacing w:line="240" w:lineRule="auto" w:after="0"/>
            </w:pPr>
            <w:r>
              <w:rPr>
                <w:rFonts w:ascii="Consolas" w:hAnsi="Consolas"/>
                <w:sz w:val="18"/>
              </w:rPr>
            </w:r>
          </w:p>
          <w:p>
            <w:pPr>
              <w:spacing w:line="240" w:lineRule="auto" w:after="0"/>
            </w:pPr>
            <w:r>
              <w:rPr>
                <w:rFonts w:ascii="Consolas" w:hAnsi="Consolas"/>
                <w:sz w:val="18"/>
              </w:rPr>
              <w:t>3-4 sentences total. Cite at least 1 source.</w:t>
            </w:r>
          </w:p>
        </w:tc>
      </w:tr>
    </w:tbl>
    <w:p>
      <w:pPr>
        <w:spacing w:after="0"/>
      </w:pPr>
    </w:p>
    <w:p>
      <w:pPr>
        <w:pStyle w:val="Heading3"/>
      </w:pPr>
      <w:r>
        <w:t>Cross-cutting sanity-check prompts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Read my paper (Research_Paper_YMalik_v4.docx in this notebook). For each</w:t>
            </w:r>
          </w:p>
          <w:p>
            <w:pPr>
              <w:spacing w:line="240" w:lineRule="auto" w:after="0"/>
            </w:pPr>
            <w:r>
              <w:rPr>
                <w:rFonts w:ascii="Consolas" w:hAnsi="Consolas"/>
                <w:sz w:val="18"/>
              </w:rPr>
              <w:t>in-text citation in my paper, check whether the cited source SUPPORTS the</w:t>
            </w:r>
          </w:p>
          <w:p>
            <w:pPr>
              <w:spacing w:line="240" w:lineRule="auto" w:after="0"/>
            </w:pPr>
            <w:r>
              <w:rPr>
                <w:rFonts w:ascii="Consolas" w:hAnsi="Consolas"/>
                <w:sz w:val="18"/>
              </w:rPr>
              <w:t>claim I make about it, based on the other sources in this notebook. Flag</w:t>
            </w:r>
          </w:p>
          <w:p>
            <w:pPr>
              <w:spacing w:line="240" w:lineRule="auto" w:after="0"/>
            </w:pPr>
            <w:r>
              <w:rPr>
                <w:rFonts w:ascii="Consolas" w:hAnsi="Consolas"/>
                <w:sz w:val="18"/>
              </w:rPr>
              <w:t>any claims where the cited source seems mis-paraphrased or over-claimed.</w:t>
            </w:r>
          </w:p>
          <w:p>
            <w:pPr>
              <w:spacing w:line="240" w:lineRule="auto" w:after="0"/>
            </w:pPr>
            <w:r>
              <w:rPr>
                <w:rFonts w:ascii="Consolas" w:hAnsi="Consolas"/>
                <w:sz w:val="18"/>
              </w:rPr>
              <w:t>List them as: "Section X.Y: claim '...' attributed to (Author, Year) —</w:t>
            </w:r>
          </w:p>
          <w:p>
            <w:pPr>
              <w:spacing w:line="240" w:lineRule="auto" w:after="0"/>
            </w:pPr>
            <w:r>
              <w:rPr>
                <w:rFonts w:ascii="Consolas" w:hAnsi="Consolas"/>
                <w:sz w:val="18"/>
              </w:rPr>
              <w:t>[CORRECT / NUANCED / NOT SUPPORTED]" with a one-line explanation.</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Read my paper. Identify the THREE weakest arguments in Chapter 2 and the</w:t>
            </w:r>
          </w:p>
          <w:p>
            <w:pPr>
              <w:spacing w:line="240" w:lineRule="auto" w:after="0"/>
            </w:pPr>
            <w:r>
              <w:rPr>
                <w:rFonts w:ascii="Consolas" w:hAnsi="Consolas"/>
                <w:sz w:val="18"/>
              </w:rPr>
              <w:t>THREE weakest hypotheses in Chapter 3, based on the supporting literature in</w:t>
            </w:r>
          </w:p>
          <w:p>
            <w:pPr>
              <w:spacing w:line="240" w:lineRule="auto" w:after="0"/>
            </w:pPr>
            <w:r>
              <w:rPr>
                <w:rFonts w:ascii="Consolas" w:hAnsi="Consolas"/>
                <w:sz w:val="18"/>
              </w:rPr>
              <w:t>this notebook. For each, suggest one specific source from this notebook that</w:t>
            </w:r>
          </w:p>
          <w:p>
            <w:pPr>
              <w:spacing w:line="240" w:lineRule="auto" w:after="0"/>
            </w:pPr>
            <w:r>
              <w:rPr>
                <w:rFonts w:ascii="Consolas" w:hAnsi="Consolas"/>
                <w:sz w:val="18"/>
              </w:rPr>
              <w:t>would strengthen it, and one sentence I should add.</w:t>
            </w:r>
          </w:p>
        </w:tc>
      </w:tr>
    </w:tbl>
    <w:p>
      <w:pPr>
        <w:spacing w:after="0"/>
      </w:pPr>
    </w:p>
    <w:p>
      <w:r>
        <w:br w:type="page"/>
      </w:r>
    </w:p>
    <w:p>
      <w:pPr>
        <w:pStyle w:val="Heading2"/>
      </w:pPr>
      <w:r>
        <w:t>Troubleshooting</w:t>
      </w:r>
    </w:p>
    <w:p>
      <w:pPr>
        <w:pStyle w:val="Heading3"/>
      </w:pPr>
      <w:r>
        <w:t>"NotebookLM said something that contradicts my paper."</w:t>
      </w:r>
    </w:p>
    <w:p>
      <w:r>
        <w:rPr>
          <w:b/>
        </w:rPr>
        <w:t>Good.</w:t>
      </w:r>
      <w:r>
        <w:t xml:space="preserve"> That's exactly what Dr. Ray meant by finding contradictions. Investigate: open the source NotebookLM cited (it shows the passage), read the actual claim, and decide whether to update your paper or push back.</w:t>
      </w:r>
    </w:p>
    <w:p>
      <w:pPr>
        <w:pStyle w:val="Heading3"/>
      </w:pPr>
      <w:r>
        <w:t>"NotebookLM is citing something I didn't upload."</w:t>
      </w:r>
    </w:p>
    <w:p>
      <w:r>
        <w:t xml:space="preserve">You shouldn't see this. NotebookLM is grounded only in uploaded sources. If you do see something suspicious, click the citation chip — it should open the source passage. If it doesn't, re-prompt with: </w:t>
      </w:r>
      <w:r>
        <w:rPr>
          <w:i/>
        </w:rPr>
        <w:t>"You may only cite sources I have uploaded to this notebook. Re-answer using only those sources."</w:t>
      </w:r>
    </w:p>
    <w:p>
      <w:pPr>
        <w:pStyle w:val="Heading3"/>
      </w:pPr>
      <w:r>
        <w:t>"A PDF I uploaded shows as 'failed' or just sits there."</w:t>
      </w:r>
    </w:p>
    <w:p>
      <w:pPr>
        <w:pStyle w:val="ListBullet"/>
      </w:pPr>
      <w:r>
        <w:t>File too large (&gt;200 MB): rare for journal PDFs, but if so, crop to just the article pages</w:t>
      </w:r>
    </w:p>
    <w:p>
      <w:pPr>
        <w:pStyle w:val="ListBullet"/>
      </w:pPr>
      <w:r>
        <w:t>Image-only PDF (scan): run it through https://tools.pdf24.org/en/ocr-pdf first</w:t>
      </w:r>
    </w:p>
    <w:p>
      <w:pPr>
        <w:pStyle w:val="ListBullet"/>
      </w:pPr>
      <w:r>
        <w:t xml:space="preserve">Restricted/encrypted PDF: open it in Preview/Acrobat, </w:t>
      </w:r>
      <w:r>
        <w:rPr>
          <w:b/>
        </w:rPr>
        <w:t>File → Export → PDF</w:t>
      </w:r>
      <w:r>
        <w:t>, re-upload the export</w:t>
      </w:r>
    </w:p>
    <w:p>
      <w:pPr>
        <w:pStyle w:val="Heading3"/>
      </w:pPr>
      <w:r>
        <w:t>"I can't find the PDF on Scholar."</w:t>
      </w:r>
    </w:p>
    <w:p>
      <w:pPr>
        <w:pStyle w:val="ListNumber"/>
      </w:pPr>
      <w:r>
        <w:t xml:space="preserve">Try </w:t>
      </w:r>
      <w:r>
        <w:rPr>
          <w:b/>
        </w:rPr>
        <w:t>FIU library</w:t>
      </w:r>
      <w:r>
        <w:t xml:space="preserve"> (https://library.fiu.edu) — it has full-text access to AJPT, TAR, JAR, CAR, AOS</w:t>
      </w:r>
    </w:p>
    <w:p>
      <w:pPr>
        <w:pStyle w:val="ListNumber"/>
      </w:pPr>
      <w:r>
        <w:t>Email the corresponding author. They almost always respond within 48 hours and will send you the PDF directly.</w:t>
      </w:r>
    </w:p>
    <w:p>
      <w:pPr>
        <w:pStyle w:val="ListNumber"/>
      </w:pPr>
      <w:r>
        <w:t xml:space="preserve">Last resort: cite from the abstract + Google Scholar excerpt only — but flag with </w:t>
      </w:r>
      <w:r>
        <w:rPr>
          <w:rFonts w:ascii="Consolas" w:hAnsi="Consolas"/>
          <w:sz w:val="20"/>
        </w:rPr>
        <w:t>[abstract-only verification]</w:t>
      </w:r>
      <w:r>
        <w:t xml:space="preserve"> in your draft, and remove the flag once you secure the full PDF.</w:t>
      </w:r>
    </w:p>
    <w:p>
      <w:pPr>
        <w:pStyle w:val="Heading3"/>
      </w:pPr>
      <w:r>
        <w:t>"I lost track of where I am."</w:t>
      </w:r>
    </w:p>
    <w:p>
      <w:r>
        <w:t>Open this playbook. Scroll to the construct checklist in Step 2.5. Pick the next unchecked construct. Set a 20-min timer. Go.</w:t>
      </w:r>
    </w:p>
    <w:p>
      <w:r>
        <w:br w:type="page"/>
      </w:r>
    </w:p>
    <w:p>
      <w:pPr>
        <w:pStyle w:val="Heading2"/>
      </w:pPr>
      <w:r>
        <w:t>Quick reference — what each prompt gives you, at a glance</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240" w:lineRule="auto"/>
            </w:pPr>
            <w:r/>
            <w:r>
              <w:t>Prompt</w:t>
            </w:r>
          </w:p>
        </w:tc>
        <w:tc>
          <w:tcPr>
            <w:tcW w:type="dxa" w:w="3120"/>
          </w:tcPr>
          <w:p>
            <w:pPr>
              <w:spacing w:line="240" w:lineRule="auto"/>
            </w:pPr>
            <w:r/>
            <w:r>
              <w:t>What you paste back into the paper</w:t>
            </w:r>
          </w:p>
        </w:tc>
        <w:tc>
          <w:tcPr>
            <w:tcW w:type="dxa" w:w="3120"/>
          </w:tcPr>
          <w:p>
            <w:pPr>
              <w:spacing w:line="240" w:lineRule="auto"/>
            </w:pPr>
            <w:r/>
            <w:r>
              <w:t>Where it goes</w:t>
            </w:r>
          </w:p>
        </w:tc>
      </w:tr>
      <w:tr>
        <w:tc>
          <w:tcPr>
            <w:tcW w:type="dxa" w:w="3120"/>
          </w:tcPr>
          <w:p>
            <w:pPr>
              <w:spacing w:line="240" w:lineRule="auto"/>
            </w:pPr>
            <w:r/>
            <w:r>
              <w:rPr>
                <w:b/>
              </w:rPr>
              <w:t>A</w:t>
            </w:r>
            <w:r>
              <w:t xml:space="preserve"> Per-source summary</w:t>
            </w:r>
          </w:p>
        </w:tc>
        <w:tc>
          <w:tcPr>
            <w:tcW w:type="dxa" w:w="3120"/>
          </w:tcPr>
          <w:p>
            <w:pPr>
              <w:spacing w:line="240" w:lineRule="auto"/>
            </w:pPr>
            <w:r/>
            <w:r>
              <w:t>Individual sentences</w:t>
            </w:r>
          </w:p>
        </w:tc>
        <w:tc>
          <w:tcPr>
            <w:tcW w:type="dxa" w:w="3120"/>
          </w:tcPr>
          <w:p>
            <w:pPr>
              <w:spacing w:line="240" w:lineRule="auto"/>
            </w:pPr>
            <w:r/>
            <w:r>
              <w:t>Inside construct sections</w:t>
            </w:r>
          </w:p>
        </w:tc>
      </w:tr>
      <w:tr>
        <w:tc>
          <w:tcPr>
            <w:tcW w:type="dxa" w:w="3120"/>
          </w:tcPr>
          <w:p>
            <w:pPr>
              <w:spacing w:line="240" w:lineRule="auto"/>
            </w:pPr>
            <w:r/>
            <w:r>
              <w:rPr>
                <w:b/>
              </w:rPr>
              <w:t>B</w:t>
            </w:r>
            <w:r>
              <w:t xml:space="preserve"> Contradictions &amp; gaps</w:t>
            </w:r>
          </w:p>
        </w:tc>
        <w:tc>
          <w:tcPr>
            <w:tcW w:type="dxa" w:w="3120"/>
          </w:tcPr>
          <w:p>
            <w:pPr>
              <w:spacing w:line="240" w:lineRule="auto"/>
            </w:pPr>
            <w:r/>
            <w:r>
              <w:t>Critical-voice bullets</w:t>
            </w:r>
          </w:p>
        </w:tc>
        <w:tc>
          <w:tcPr>
            <w:tcW w:type="dxa" w:w="3120"/>
          </w:tcPr>
          <w:p>
            <w:pPr>
              <w:spacing w:line="240" w:lineRule="auto"/>
            </w:pPr>
            <w:r/>
            <w:r>
              <w:t>Inside construct sections (paragraph 2 of each)</w:t>
            </w:r>
          </w:p>
        </w:tc>
      </w:tr>
      <w:tr>
        <w:tc>
          <w:tcPr>
            <w:tcW w:type="dxa" w:w="3120"/>
          </w:tcPr>
          <w:p>
            <w:pPr>
              <w:spacing w:line="240" w:lineRule="auto"/>
            </w:pPr>
            <w:r/>
            <w:r>
              <w:rPr>
                <w:b/>
              </w:rPr>
              <w:t>C</w:t>
            </w:r>
            <w:r>
              <w:t xml:space="preserve"> Synthesis paragraph</w:t>
            </w:r>
          </w:p>
        </w:tc>
        <w:tc>
          <w:tcPr>
            <w:tcW w:type="dxa" w:w="3120"/>
          </w:tcPr>
          <w:p>
            <w:pPr>
              <w:spacing w:line="240" w:lineRule="auto"/>
            </w:pPr>
            <w:r/>
            <w:r>
              <w:t>The whole paragraph</w:t>
            </w:r>
          </w:p>
        </w:tc>
        <w:tc>
          <w:tcPr>
            <w:tcW w:type="dxa" w:w="3120"/>
          </w:tcPr>
          <w:p>
            <w:pPr>
              <w:spacing w:line="240" w:lineRule="auto"/>
            </w:pPr>
            <w:r/>
            <w:r>
              <w:t>End of construct narrative, before the box</w:t>
            </w:r>
          </w:p>
        </w:tc>
      </w:tr>
      <w:tr>
        <w:tc>
          <w:tcPr>
            <w:tcW w:type="dxa" w:w="3120"/>
          </w:tcPr>
          <w:p>
            <w:pPr>
              <w:spacing w:line="240" w:lineRule="auto"/>
            </w:pPr>
            <w:r/>
            <w:r>
              <w:rPr>
                <w:b/>
              </w:rPr>
              <w:t>D</w:t>
            </w:r>
            <w:r>
              <w:t xml:space="preserve"> APA entries</w:t>
            </w:r>
          </w:p>
        </w:tc>
        <w:tc>
          <w:tcPr>
            <w:tcW w:type="dxa" w:w="3120"/>
          </w:tcPr>
          <w:p>
            <w:pPr>
              <w:spacing w:line="240" w:lineRule="auto"/>
            </w:pPr>
            <w:r/>
            <w:r>
              <w:t>Reference-list lines</w:t>
            </w:r>
          </w:p>
        </w:tc>
        <w:tc>
          <w:tcPr>
            <w:tcW w:type="dxa" w:w="3120"/>
          </w:tcPr>
          <w:p>
            <w:pPr>
              <w:spacing w:line="240" w:lineRule="auto"/>
            </w:pPr>
            <w:r/>
            <w:r>
              <w:t>Verified Reference Pool (alphabetical)</w:t>
            </w:r>
          </w:p>
        </w:tc>
      </w:tr>
      <w:tr>
        <w:tc>
          <w:tcPr>
            <w:tcW w:type="dxa" w:w="3120"/>
          </w:tcPr>
          <w:p>
            <w:pPr>
              <w:spacing w:line="240" w:lineRule="auto"/>
            </w:pPr>
            <w:r/>
            <w:r>
              <w:t>Hypothesis prompt 1</w:t>
            </w:r>
          </w:p>
        </w:tc>
        <w:tc>
          <w:tcPr>
            <w:tcW w:type="dxa" w:w="3120"/>
          </w:tcPr>
          <w:p>
            <w:pPr>
              <w:spacing w:line="240" w:lineRule="auto"/>
            </w:pPr>
            <w:r/>
            <w:r>
              <w:t>Direct-effect argument</w:t>
            </w:r>
          </w:p>
        </w:tc>
        <w:tc>
          <w:tcPr>
            <w:tcW w:type="dxa" w:w="3120"/>
          </w:tcPr>
          <w:p>
            <w:pPr>
              <w:spacing w:line="240" w:lineRule="auto"/>
            </w:pPr>
            <w:r/>
            <w:r>
              <w:t>One of §§ 3.4.1, 3, 5, 7, 9, 11, 13, 15</w:t>
            </w:r>
          </w:p>
        </w:tc>
      </w:tr>
      <w:tr>
        <w:tc>
          <w:tcPr>
            <w:tcW w:type="dxa" w:w="3120"/>
          </w:tcPr>
          <w:p>
            <w:pPr>
              <w:spacing w:line="240" w:lineRule="auto"/>
            </w:pPr>
            <w:r/>
            <w:r>
              <w:t>Hypothesis prompt 2</w:t>
            </w:r>
          </w:p>
        </w:tc>
        <w:tc>
          <w:tcPr>
            <w:tcW w:type="dxa" w:w="3120"/>
          </w:tcPr>
          <w:p>
            <w:pPr>
              <w:spacing w:line="240" w:lineRule="auto"/>
            </w:pPr>
            <w:r/>
            <w:r>
              <w:t>Mediated-effect argument</w:t>
            </w:r>
          </w:p>
        </w:tc>
        <w:tc>
          <w:tcPr>
            <w:tcW w:type="dxa" w:w="3120"/>
          </w:tcPr>
          <w:p>
            <w:pPr>
              <w:spacing w:line="240" w:lineRule="auto"/>
            </w:pPr>
            <w:r/>
            <w:r>
              <w:t>One of §§ 3.4.2, 4, 6, 8, 10, 12, 14, 16</w:t>
            </w:r>
          </w:p>
        </w:tc>
      </w:tr>
      <w:tr>
        <w:tc>
          <w:tcPr>
            <w:tcW w:type="dxa" w:w="3120"/>
          </w:tcPr>
          <w:p>
            <w:pPr>
              <w:spacing w:line="240" w:lineRule="auto"/>
            </w:pPr>
            <w:r/>
            <w:r>
              <w:t>Sanity-check prompt</w:t>
            </w:r>
          </w:p>
        </w:tc>
        <w:tc>
          <w:tcPr>
            <w:tcW w:type="dxa" w:w="3120"/>
          </w:tcPr>
          <w:p>
            <w:pPr>
              <w:spacing w:line="240" w:lineRule="auto"/>
            </w:pPr>
            <w:r/>
            <w:r>
              <w:t>Flag list of risky claims</w:t>
            </w:r>
          </w:p>
        </w:tc>
        <w:tc>
          <w:tcPr>
            <w:tcW w:type="dxa" w:w="3120"/>
          </w:tcPr>
          <w:p>
            <w:pPr>
              <w:spacing w:line="240" w:lineRule="auto"/>
            </w:pPr>
            <w:r/>
            <w:r>
              <w:t>Use as a revision worklist; don't paste</w:t>
            </w:r>
          </w:p>
        </w:tc>
      </w:tr>
    </w:tbl>
    <w:p>
      <w:pPr>
        <w:spacing w:after="0"/>
      </w:pPr>
    </w:p>
    <w:p>
      <w:r>
        <w:br w:type="page"/>
      </w:r>
    </w:p>
    <w:p>
      <w:pPr>
        <w:pStyle w:val="Heading2"/>
      </w:pPr>
      <w:r>
        <w:t>When you finish a session</w:t>
      </w:r>
    </w:p>
    <w:p>
      <w:pPr>
        <w:pStyle w:val="ListNumber"/>
      </w:pPr>
      <w:r>
        <w:t xml:space="preserve">Save </w:t>
      </w:r>
      <w:r>
        <w:rPr>
          <w:rFonts w:ascii="Consolas" w:hAnsi="Consolas"/>
          <w:sz w:val="20"/>
        </w:rPr>
        <w:t>Research_Paper_YMalik_v4_master.md</w:t>
      </w:r>
    </w:p>
    <w:p>
      <w:pPr>
        <w:pStyle w:val="ListNumber"/>
      </w:pPr>
      <w:r>
        <w:t xml:space="preserve">Commit it to your branch with a message like </w:t>
      </w:r>
      <w:r>
        <w:rPr>
          <w:rFonts w:ascii="Consolas" w:hAnsi="Consolas"/>
          <w:sz w:val="20"/>
        </w:rPr>
        <w:t>"Add NotebookLM-extracted citations for TA and RA"</w:t>
      </w:r>
    </w:p>
    <w:p>
      <w:pPr>
        <w:pStyle w:val="ListNumber"/>
      </w:pPr>
      <w:r>
        <w:t>Or send me what you've got and I'll regenerate the .docx and push for you</w:t>
      </w:r>
    </w:p>
    <w:p>
      <w:pPr>
        <w:pStyle w:val="ListNumber"/>
      </w:pPr>
      <w:r>
        <w:rPr>
          <w:b/>
        </w:rPr>
        <w:t>Stop.</w:t>
      </w:r>
      <w:r>
        <w:t xml:space="preserve"> Don't try to do a third construct. Two-per-session is the sustainable pace.</w:t>
      </w:r>
    </w:p>
    <w:p>
      <w:r>
        <w:br w:type="page"/>
      </w:r>
    </w:p>
    <w:p>
      <w:pPr>
        <w:pStyle w:val="Heading2"/>
      </w:pPr>
      <w:r>
        <w:t>One more thing — about your ADD and this work</w:t>
      </w:r>
    </w:p>
    <w:p>
      <w:r>
        <w:t>This playbook is designed so you can pick it up after a one-week gap and know exactly what to do next. The construct checklist tells you where you are. The four prompts tell you what to do. The pasted output tells you where it goes. There is no "remembering what you were thinking last time" step.</w:t>
      </w:r>
    </w:p>
    <w:p>
      <w:r>
        <w:t>If you only ever do Phase 1 + listen to the Audio Overview once, you'll still come out ahead of where you are now. If you do two constructs a week for five weeks, you're done.</w:t>
      </w:r>
    </w:p>
    <w:p>
      <w:r>
        <w:t xml:space="preserve">Now stop reading this and go do </w:t>
      </w:r>
      <w:r>
        <w:rPr>
          <w:b/>
        </w:rPr>
        <w:t>Step 1.1</w:t>
      </w:r>
      <w:r>
        <w:t>.</w:t>
      </w:r>
    </w:p>
    <w:p>
      <w:r>
        <w:br w:type="page"/>
      </w:r>
    </w:p>
    <w:p>
      <w:pPr>
        <w:pStyle w:val="Heading2"/>
      </w:pPr>
      <w:r>
        <w:t>Repository and Branch Links</w:t>
      </w:r>
    </w:p>
    <w:p>
      <w:pPr>
        <w:spacing w:line="240" w:lineRule="auto" w:after="60"/>
      </w:pPr>
      <w:r>
        <w:rPr>
          <w:b/>
          <w:sz w:val="20"/>
        </w:rPr>
        <w:t xml:space="preserve"> All-in-One package (this document): </w:t>
      </w:r>
      <w:r>
        <w:rPr>
          <w:rFonts w:ascii="Consolas" w:hAnsi="Consolas"/>
          <w:sz w:val="20"/>
        </w:rPr>
        <w:t>https://github.com/AuditingAI/Profile/blob/claude/scholar-links-review-Plgk6/dba/ALL_IN_ONE_DBA_Package_v1.docx</w:t>
      </w:r>
    </w:p>
    <w:p>
      <w:pPr>
        <w:spacing w:line="240" w:lineRule="auto" w:after="60"/>
      </w:pPr>
      <w:r>
        <w:rPr>
          <w:b/>
          <w:sz w:val="20"/>
        </w:rPr>
        <w:t xml:space="preserve"> Research paper v4.1 (send this to Prof. Rey): </w:t>
      </w:r>
      <w:r>
        <w:rPr>
          <w:rFonts w:ascii="Consolas" w:hAnsi="Consolas"/>
          <w:sz w:val="20"/>
        </w:rPr>
        <w:t>https://github.com/AuditingAI/Profile/blob/claude/scholar-links-review-Plgk6/dba/Research_Paper_YMalik_v4.docx</w:t>
      </w:r>
    </w:p>
    <w:p>
      <w:pPr>
        <w:spacing w:line="240" w:lineRule="auto" w:after="60"/>
      </w:pPr>
      <w:r>
        <w:rPr>
          <w:b/>
          <w:sz w:val="20"/>
        </w:rPr>
        <w:t xml:space="preserve"> Research paper markdown master (editable source): </w:t>
      </w:r>
      <w:r>
        <w:rPr>
          <w:rFonts w:ascii="Consolas" w:hAnsi="Consolas"/>
          <w:sz w:val="20"/>
        </w:rPr>
        <w:t>https://github.com/AuditingAI/Profile/blob/claude/scholar-links-review-Plgk6/dba/Research_Paper_YMalik_v4_master.md</w:t>
      </w:r>
    </w:p>
    <w:p>
      <w:pPr>
        <w:spacing w:line="240" w:lineRule="auto" w:after="60"/>
      </w:pPr>
      <w:r>
        <w:rPr>
          <w:b/>
          <w:sz w:val="20"/>
        </w:rPr>
        <w:t xml:space="preserve"> Research model figure (PNG): </w:t>
      </w:r>
      <w:r>
        <w:rPr>
          <w:rFonts w:ascii="Consolas" w:hAnsi="Consolas"/>
          <w:sz w:val="20"/>
        </w:rPr>
        <w:t>https://github.com/AuditingAI/Profile/blob/claude/scholar-links-review-Plgk6/dba/Anchoring_Bias_Research_Model.png</w:t>
      </w:r>
    </w:p>
    <w:p>
      <w:pPr>
        <w:spacing w:line="240" w:lineRule="auto" w:after="60"/>
      </w:pPr>
      <w:r>
        <w:rPr>
          <w:b/>
          <w:sz w:val="20"/>
        </w:rPr>
        <w:t xml:space="preserve"> NotebookLM Playbook (clickable on GitHub): </w:t>
      </w:r>
      <w:r>
        <w:rPr>
          <w:rFonts w:ascii="Consolas" w:hAnsi="Consolas"/>
          <w:sz w:val="20"/>
        </w:rPr>
        <w:t>https://github.com/AuditingAI/Profile/blob/claude/scholar-links-review-Plgk6/dba/NotebookLM_Playbook.md</w:t>
      </w:r>
    </w:p>
    <w:p>
      <w:pPr>
        <w:spacing w:line="240" w:lineRule="auto" w:after="60"/>
      </w:pPr>
      <w:r>
        <w:rPr>
          <w:b/>
          <w:sz w:val="20"/>
        </w:rPr>
        <w:t xml:space="preserve"> Original v3 proposal (baseline for diff): </w:t>
      </w:r>
      <w:r>
        <w:rPr>
          <w:rFonts w:ascii="Consolas" w:hAnsi="Consolas"/>
          <w:sz w:val="20"/>
        </w:rPr>
        <w:t>https://github.com/AuditingAI/Profile/blob/claude/scholar-links-review-Plgk6/dba/Final_Proposal_YMalik_v3.docx</w:t>
      </w:r>
    </w:p>
    <w:p>
      <w:pPr>
        <w:spacing w:line="240" w:lineRule="auto" w:after="60"/>
      </w:pPr>
      <w:r>
        <w:rPr>
          <w:b/>
          <w:sz w:val="20"/>
        </w:rPr>
        <w:t xml:space="preserve"> Branch folder (all files): </w:t>
      </w:r>
      <w:r>
        <w:rPr>
          <w:rFonts w:ascii="Consolas" w:hAnsi="Consolas"/>
          <w:sz w:val="20"/>
        </w:rPr>
        <w:t>https://github.com/AuditingAI/Profile/tree/claude/scholar-links-review-Plgk6/dba</w:t>
      </w:r>
    </w:p>
    <w:p>
      <w:pPr>
        <w:spacing w:line="240" w:lineRule="auto" w:after="60"/>
      </w:pPr>
      <w:r>
        <w:rPr>
          <w:b/>
          <w:sz w:val="20"/>
        </w:rPr>
        <w:t xml:space="preserve"> Commit history: </w:t>
      </w:r>
      <w:r>
        <w:rPr>
          <w:rFonts w:ascii="Consolas" w:hAnsi="Consolas"/>
          <w:sz w:val="20"/>
        </w:rPr>
        <w:t>https://github.com/AuditingAI/Profile/commits/claude/scholar-links-review-Plgk6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