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Methodological Limitations and Remedies</w:t>
      </w:r>
    </w:p>
    <w:p>
      <w:pPr>
        <w:ind w:left="432"/>
      </w:pPr>
      <w:r>
        <w:t>Drafted to pre-empt the methodological concerns raised in peer review (self-report bias, social desirability, common method variance, construct discriminant validity, ceiling effects, priming, and generalizability). Intended for the Methodology chapter (design-stage remedies) and the Limitations section (residual constraints). Anticipating these in writing converts predictable committee criticism into evidence of methodological awareness.</w:t>
      </w:r>
    </w:p>
    <w:p>
      <w:r>
        <w:br/>
      </w:r>
    </w:p>
    <w:p>
      <w:pPr>
        <w:pStyle w:val="Heading2"/>
      </w:pPr>
      <w:r>
        <w:t>1. Self-report measurement and construct interpretation</w:t>
      </w:r>
    </w:p>
    <w:p>
      <w:r>
        <w:t xml:space="preserve">All constructs are measured through auditor self-report. Because anchoring operates partly outside conscious awareness, self-reported items capture </w:t>
      </w:r>
      <w:r>
        <w:rPr>
          <w:b/>
        </w:rPr>
        <w:t>perceived</w:t>
      </w:r>
      <w:r>
        <w:t xml:space="preserve"> practices, conditions, and judgment tendencies rather than directly observed behavior. This is a deliberate and defensible scope decision: the study validates a </w:t>
      </w:r>
      <w:r>
        <w:rPr>
          <w:i/>
        </w:rPr>
        <w:t>measurement model</w:t>
      </w:r>
      <w:r>
        <w:t xml:space="preserve"> of the organizational and cognitive conditions auditors associate with anchoring reduction, consistent with the survey tradition in audit judgment-and-decision-making research, rather than experimentally measuring anchoring magnitude. The constructs are therefore interpreted as </w:t>
      </w:r>
      <w:r>
        <w:rPr>
          <w:b/>
        </w:rPr>
        <w:t>perceptions of process and judgment conditions</w:t>
      </w:r>
      <w:r>
        <w:t>, and this framing is stated explicitly wherever the results are discussed. An experimental or archival follow-up that observes anchoring behavior directly is identified as a natural extension.</w:t>
      </w:r>
    </w:p>
    <w:p>
      <w:pPr>
        <w:pStyle w:val="Heading2"/>
      </w:pPr>
      <w:r>
        <w:t>2. Common method variance (the primary methodological risk)</w:t>
      </w:r>
    </w:p>
    <w:p>
      <w:r>
        <w:t xml:space="preserve">Because the independent variables, mediators, and dependent variable are collected from a single respondent, in one session, on a common response format, the design is exposed to common method variance (CMV). Following the procedural and statistical framework of Podsakoff, MacKenzie, Lee, and Podsakoff (2003), the study incorporates </w:t>
      </w:r>
      <w:r>
        <w:rPr>
          <w:b/>
        </w:rPr>
        <w:t>procedural remedies at the design stage</w:t>
      </w:r>
      <w:r>
        <w:t xml:space="preserve"> and </w:t>
      </w:r>
      <w:r>
        <w:rPr>
          <w:b/>
        </w:rPr>
        <w:t>statistical diagnostics at the analysis stage</w:t>
      </w:r>
      <w:r>
        <w:t>:</w:t>
      </w:r>
    </w:p>
    <w:p>
      <w:r>
        <w:rPr>
          <w:b/>
        </w:rPr>
        <w:t>Procedural remedies (built into the instrument):</w:t>
      </w:r>
    </w:p>
    <w:p>
      <w:pPr>
        <w:pStyle w:val="ListBullet"/>
      </w:pPr>
      <w:r>
        <w:rPr>
          <w:b/>
        </w:rPr>
        <w:t>Respondent anonymity</w:t>
      </w:r>
      <w:r>
        <w:t xml:space="preserve"> with no identifying information collected, reducing evaluation apprehension and the incentive to respond in a self-serving or consistent manner.</w:t>
      </w:r>
    </w:p>
    <w:p>
      <w:pPr>
        <w:pStyle w:val="ListBullet"/>
      </w:pPr>
      <w:r>
        <w:rPr>
          <w:b/>
        </w:rPr>
        <w:t>Reverse-coded items</w:t>
      </w:r>
      <w:r>
        <w:t xml:space="preserve"> within every construct, disrupting response-pattern consistency.</w:t>
      </w:r>
    </w:p>
    <w:p>
      <w:pPr>
        <w:pStyle w:val="ListBullet"/>
      </w:pPr>
      <w:r>
        <w:rPr>
          <w:b/>
        </w:rPr>
        <w:t>Block randomization</w:t>
      </w:r>
      <w:r>
        <w:t xml:space="preserve"> of the intervention constructs, so the predictor blocks are psychologically separated and not encountered in a fixed, theory-revealing order.</w:t>
      </w:r>
    </w:p>
    <w:p>
      <w:pPr>
        <w:pStyle w:val="ListBullet"/>
      </w:pPr>
      <w:r>
        <w:rPr>
          <w:b/>
        </w:rPr>
        <w:t>Varied item framing and an open-ended item</w:t>
      </w:r>
      <w:r>
        <w:t>, reducing reliance on a single cognitive response mode.</w:t>
      </w:r>
    </w:p>
    <w:p>
      <w:r>
        <w:rPr>
          <w:b/>
        </w:rPr>
        <w:t>Statistical diagnostics (planned for analysis):</w:t>
      </w:r>
    </w:p>
    <w:p>
      <w:pPr>
        <w:pStyle w:val="ListBullet"/>
      </w:pPr>
      <w:r>
        <w:rPr>
          <w:b/>
        </w:rPr>
        <w:t>Harman's single-factor test</w:t>
      </w:r>
      <w:r>
        <w:t xml:space="preserve"> — examine whether a single unrotated factor accounts for the majority of covariance among items (a substantial single factor would signal CMV).</w:t>
      </w:r>
    </w:p>
    <w:p>
      <w:pPr>
        <w:pStyle w:val="ListBullet"/>
      </w:pPr>
      <w:r>
        <w:rPr>
          <w:b/>
        </w:rPr>
        <w:t>Common-latent-factor / marker-variable assessment</w:t>
      </w:r>
      <w:r>
        <w:t xml:space="preserve"> — compare construct loadings with and without a method factor to estimate method-attributable variance, per Podsakoff et al. (2003).</w:t>
      </w:r>
    </w:p>
    <w:p>
      <w:r>
        <w:t>Residual CMV that cannot be ruled out is acknowledged as a limitation.</w:t>
      </w:r>
    </w:p>
    <w:p>
      <w:pPr>
        <w:pStyle w:val="Heading2"/>
      </w:pPr>
      <w:r>
        <w:t>3. Discriminant validity among conceptually related constructs</w:t>
      </w:r>
    </w:p>
    <w:p>
      <w:r>
        <w:t xml:space="preserve">Several constructs are conceptually adjacent — Structured Auditing Processes, Audit Process Rigor, Independent Reviews, and Regulatory and Professional Guidance all describe organizational controls, and Auditor Judgment Quality overlaps in surface content with Reduction in Anchoring Bias. </w:t>
      </w:r>
      <w:r>
        <w:rPr>
          <w:b/>
        </w:rPr>
        <w:t>This overlap is not a flaw to be argued away; it is precisely the empirical question the exploratory factor analysis is designed to answer.</w:t>
      </w:r>
      <w:r>
        <w:t xml:space="preserve"> The EFA pattern matrix tests whether items load on distinct factors as theorized. The reporting plan makes discriminant validity falsifiable:</w:t>
      </w:r>
    </w:p>
    <w:p>
      <w:pPr>
        <w:pStyle w:val="ListBullet"/>
      </w:pPr>
      <w:r>
        <w:t xml:space="preserve">Inspect the rotated pattern matrix for </w:t>
      </w:r>
      <w:r>
        <w:rPr>
          <w:b/>
        </w:rPr>
        <w:t>cross-loadings</w:t>
      </w:r>
      <w:r>
        <w:t xml:space="preserve"> (items loading ≥ .32 on more than one factor are flagged), and examine </w:t>
      </w:r>
      <w:r>
        <w:rPr>
          <w:b/>
        </w:rPr>
        <w:t>inter-factor correlations</w:t>
      </w:r>
      <w:r>
        <w:t>.</w:t>
      </w:r>
    </w:p>
    <w:p>
      <w:pPr>
        <w:pStyle w:val="ListBullet"/>
      </w:pPr>
      <w:r>
        <w:t xml:space="preserve">For retained scales, assess discriminant validity via the </w:t>
      </w:r>
      <w:r>
        <w:rPr>
          <w:b/>
        </w:rPr>
        <w:t>Fornell and Larcker (1981) criterion</w:t>
      </w:r>
      <w:r>
        <w:t xml:space="preserve"> — the average variance extracted (AVE) for each construct should exceed its shared variance with other constructs.</w:t>
      </w:r>
    </w:p>
    <w:p>
      <w:pPr>
        <w:pStyle w:val="ListBullet"/>
      </w:pPr>
      <w:r>
        <w:rPr>
          <w:b/>
        </w:rPr>
        <w:t>Pre-committed decision rule:</w:t>
      </w:r>
      <w:r>
        <w:t xml:space="preserve"> if two constructs fail to separate empirically, that is a reported finding; the affected items are revised or the constructs are merged, with advisor sign-off, rather than forced apart.</w:t>
      </w:r>
    </w:p>
    <w:p>
      <w:r>
        <w:t>This turns the reviewer's concern into a stated, testable hypothesis about the factor structure.</w:t>
      </w:r>
    </w:p>
    <w:p>
      <w:pPr>
        <w:pStyle w:val="Heading2"/>
      </w:pPr>
      <w:r>
        <w:t>4. Social desirability</w:t>
      </w:r>
    </w:p>
    <w:p>
      <w:r>
        <w:t xml:space="preserve">Some items describe behaviors auditors are professionally expected to exhibit (objectivity, skepticism, independent evidence use), inviting socially desirable responding. The primary procedural mitigation is </w:t>
      </w:r>
      <w:r>
        <w:rPr>
          <w:b/>
        </w:rPr>
        <w:t>anonymity</w:t>
      </w:r>
      <w:r>
        <w:t xml:space="preserve"> with no identifying data, which removes the audience that motivates impression management. Reverse-coded items and the neutral, non-evaluative framing of the instructions further reduce the pull toward a "correct" answer. Residual social-desirability bias is acknowledged in the limitations; a social-desirability marker is identified as an option for a confirmatory follow-up.</w:t>
      </w:r>
    </w:p>
    <w:p>
      <w:pPr>
        <w:pStyle w:val="Heading2"/>
      </w:pPr>
      <w:r>
        <w:t>5. Ceiling effects and response distribution</w:t>
      </w:r>
    </w:p>
    <w:p>
      <w:r>
        <w:t xml:space="preserve">Positively framed items answered by experienced professionals may compress toward the agreement end, reducing variance. Mitigations include the </w:t>
      </w:r>
      <w:r>
        <w:rPr>
          <w:b/>
        </w:rPr>
        <w:t>reverse-coded items</w:t>
      </w:r>
      <w:r>
        <w:t xml:space="preserve">, a </w:t>
      </w:r>
      <w:r>
        <w:rPr>
          <w:b/>
        </w:rPr>
        <w:t>five-point scale that retains a neutral midpoint</w:t>
      </w:r>
      <w:r>
        <w:t xml:space="preserve">, and the examination of </w:t>
      </w:r>
      <w:r>
        <w:rPr>
          <w:b/>
        </w:rPr>
        <w:t>item-level means, variances, and skewness</w:t>
      </w:r>
      <w:r>
        <w:t xml:space="preserve"> during data screening. Items exhibiting severe ceiling effects (minimal variance) are flagged and considered for removal during the EFA, where low communalities and weak loadings would also surface them.</w:t>
      </w:r>
    </w:p>
    <w:p>
      <w:pPr>
        <w:pStyle w:val="Heading2"/>
      </w:pPr>
      <w:r>
        <w:t>6. Priming and topic salience</w:t>
      </w:r>
    </w:p>
    <w:p>
      <w:r>
        <w:t xml:space="preserve">A brief topic orientation was added at reviewer request to aid comprehension; a second reviewer noted that naming the bias could prime responses. To balance the two, the orientation is kept </w:t>
      </w:r>
      <w:r>
        <w:rPr>
          <w:b/>
        </w:rPr>
        <w:t>neutral and general — describing professional judgment in recurring engagements without instructing respondents on how anchoring "should" be avoided.</w:t>
      </w:r>
      <w:r>
        <w:t xml:space="preserve"> The trade-off is documented: the orientation favors shared comprehension over maximal naïveté, an acceptable choice for a transparent validation survey rather than a deception experiment. Residual priming is noted as a limitation.</w:t>
      </w:r>
    </w:p>
    <w:p>
      <w:pPr>
        <w:pStyle w:val="Heading2"/>
      </w:pPr>
      <w:r>
        <w:t>7. Generalizability across audit environments</w:t>
      </w:r>
    </w:p>
    <w:p>
      <w:r>
        <w:t xml:space="preserve">Some items presuppose formal rotation policies, advanced analytics, engagement-quality review, or regulatory inspection, which may not apply uniformly to internal, governmental, or small-firm auditors. Item wording was broadened during review to include internal-audit terminology (e.g., "auditees," IIA/COSO). The demographic block captures </w:t>
      </w:r>
      <w:r>
        <w:rPr>
          <w:b/>
        </w:rPr>
        <w:t>audit specialization (internal/external), years of experience by type, organization type, firm size, industry, long-term-engagement exposure, and credentials</w:t>
      </w:r>
      <w:r>
        <w:t xml:space="preserve">, enabling these factors to serve as </w:t>
      </w:r>
      <w:r>
        <w:rPr>
          <w:b/>
        </w:rPr>
        <w:t>controls and moderators</w:t>
      </w:r>
      <w:r>
        <w:t xml:space="preserve"> and allowing sensitivity analyses across subgroups. Generalization beyond the achieved sample's composition is bounded accordingly in the limitations.</w:t>
      </w:r>
    </w:p>
    <w:p>
      <w:pPr>
        <w:pStyle w:val="Heading2"/>
      </w:pPr>
      <w:r>
        <w:t>8. Survey length and respondent fatigue</w:t>
      </w:r>
    </w:p>
    <w:p>
      <w:r>
        <w:t xml:space="preserve">The instrument's length (55 construct items plus screeners, controls, and an open item) creates fatigue risk that can produce straight-lining toward the end. Mitigations include the </w:t>
      </w:r>
      <w:r>
        <w:rPr>
          <w:b/>
        </w:rPr>
        <w:t>five-point (lower-burden) scale</w:t>
      </w:r>
      <w:r>
        <w:t xml:space="preserve">, </w:t>
      </w:r>
      <w:r>
        <w:rPr>
          <w:b/>
        </w:rPr>
        <w:t>block randomization</w:t>
      </w:r>
      <w:r>
        <w:t xml:space="preserve"> so any end-of-survey fatigue is distributed across different constructs rather than concentrated on one, a </w:t>
      </w:r>
      <w:r>
        <w:rPr>
          <w:b/>
        </w:rPr>
        <w:t>progress indicator</w:t>
      </w:r>
      <w:r>
        <w:t xml:space="preserve">, and the </w:t>
      </w:r>
      <w:r>
        <w:rPr>
          <w:b/>
        </w:rPr>
        <w:t>embedded attention checks</w:t>
      </w:r>
      <w:r>
        <w:t xml:space="preserve"> plus </w:t>
      </w:r>
      <w:r>
        <w:rPr>
          <w:b/>
        </w:rPr>
        <w:t>page-timing metadata</w:t>
      </w:r>
      <w:r>
        <w:t xml:space="preserve"> used to identify and exclude careless responders during data cleaning.</w:t>
      </w:r>
    </w:p>
    <w:p>
      <w:r>
        <w:br/>
      </w:r>
    </w:p>
    <w:p>
      <w:pPr>
        <w:pStyle w:val="Heading2"/>
      </w:pPr>
      <w:r>
        <w:t>Reviewer-comment disposition (audit trail)</w:t>
      </w:r>
    </w:p>
    <w:p>
      <w:r>
        <w:t>| # | Reviewer concern | Where addressed |</w:t>
      </w:r>
    </w:p>
    <w:p>
      <w:r>
        <w:t>|---|---|---|</w:t>
      </w:r>
    </w:p>
    <w:p>
      <w:r>
        <w:t>| 1 | Self-report reliance | §1 + Limitations |</w:t>
      </w:r>
    </w:p>
    <w:p>
      <w:r>
        <w:t>| 2 | Social desirability | §4 (anonymity) + Limitations |</w:t>
      </w:r>
    </w:p>
    <w:p>
      <w:r>
        <w:t>| 3 | Construct overlap (SAP/APR/IR/RPG) | §3 — EFA discriminant validity (Fornell &amp; Larcker) |</w:t>
      </w:r>
    </w:p>
    <w:p>
      <w:r>
        <w:t>| 4 | IV/DV overlap (AJQ/RAB) | §3 — same |</w:t>
      </w:r>
    </w:p>
    <w:p>
      <w:r>
        <w:t>| 5 | Priming from definition | §6 — orientation trimmed to neutral |</w:t>
      </w:r>
    </w:p>
    <w:p>
      <w:r>
        <w:t>| 6 | Common method bias | §2 — procedural + statistical remedies (Podsakoff et al.) |</w:t>
      </w:r>
    </w:p>
    <w:p>
      <w:r>
        <w:t>| 7 | Ceiling effects | §5 |</w:t>
      </w:r>
    </w:p>
    <w:p>
      <w:r>
        <w:t>| 8 | More reverse items | 1 per construct retained; acknowledged (added reverse items are a future-revision option) |</w:t>
      </w:r>
    </w:p>
    <w:p>
      <w:r>
        <w:t>| 9 | Applicability across environments | §7 + demographic controls |</w:t>
      </w:r>
    </w:p>
    <w:p>
      <w:r>
        <w:t>| 10 | Missing demographics | Already in instrument (specialization, experience, firm size, region, certs) |</w:t>
      </w:r>
    </w:p>
    <w:p>
      <w:r>
        <w:t>| 11 | Open-ended timeframe | Instrument tweak — add "in the past 12 months" |</w:t>
      </w:r>
    </w:p>
    <w:p>
      <w:r>
        <w:t>| 12 | Attention checks | Already in instrument (two embedded) |</w:t>
      </w:r>
    </w:p>
    <w:p>
      <w:r>
        <w:t>| 13 | Length / fatigue | §8 |</w:t>
      </w:r>
    </w:p>
    <w:p>
      <w:r>
        <w:br/>
      </w:r>
    </w:p>
    <w:p>
      <w:pPr>
        <w:pStyle w:val="Heading2"/>
      </w:pPr>
      <w:r>
        <w:t>New verified references (add to the pool)</w:t>
      </w:r>
    </w:p>
    <w:p>
      <w:pPr>
        <w:pStyle w:val="ListBullet"/>
      </w:pPr>
      <w:r>
        <w:t xml:space="preserve">Fornell, C., &amp; Larcker, D. F. (1981). Evaluating structural equation models with unobservable variables and measurement error. </w:t>
      </w:r>
      <w:r>
        <w:rPr>
          <w:i/>
        </w:rPr>
        <w:t>Journal of Marketing Research, 18</w:t>
      </w:r>
      <w:r>
        <w:t>(1), 39–50.</w:t>
      </w:r>
    </w:p>
    <w:p>
      <w:pPr>
        <w:pStyle w:val="ListBullet"/>
      </w:pPr>
      <w:r>
        <w:t xml:space="preserve">Podsakoff, P. M., MacKenzie, S. B., Lee, J. Y., &amp; Podsakoff, N. P. (2003). Common method biases in behavioral research: A critical review of the literature and recommended remedies. </w:t>
      </w:r>
      <w:r>
        <w:rPr>
          <w:i/>
        </w:rPr>
        <w:t>Journal of Applied Psychology, 88</w:t>
      </w:r>
      <w:r>
        <w:t>(5), 879–903.</w:t>
      </w:r>
    </w:p>
    <w:p>
      <w:r>
        <w:rPr>
          <w:i/>
        </w:rPr>
        <w:t>Both web-verified for venue, year, and pages on July 1, 2026.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