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Qualtrics Codebook + Post-Import Setup Guide</w:t>
      </w:r>
    </w:p>
    <w:p>
      <w:r>
        <w:rPr>
          <w:b/>
        </w:rPr>
        <w:t>Companion file:</w:t>
      </w:r>
      <w:r>
        <w:t xml:space="preserve"> </w:t>
      </w:r>
      <w:r>
        <w:rPr>
          <w:rFonts w:ascii="Courier New" w:hAnsi="Courier New"/>
        </w:rPr>
        <w:t>Qualtrics_Survey_Import.txt</w:t>
      </w:r>
    </w:p>
    <w:p>
      <w:r>
        <w:rPr>
          <w:b/>
        </w:rPr>
        <w:t>Purpose:</w:t>
      </w:r>
      <w:r>
        <w:t xml:space="preserve"> Import the full instrument in 30 seconds, then run the 7 post-import steps below so launch-day is clean.</w:t>
      </w:r>
    </w:p>
    <w:p>
      <w:r>
        <w:br/>
      </w:r>
    </w:p>
    <w:p>
      <w:pPr>
        <w:pStyle w:val="Heading2"/>
      </w:pPr>
      <w:r>
        <w:t>How to import (60 seconds)</w:t>
      </w:r>
    </w:p>
    <w:p>
      <w:pPr>
        <w:pStyle w:val="ListNumber"/>
      </w:pPr>
      <w:r>
        <w:t xml:space="preserve">Open </w:t>
      </w:r>
      <w:r>
        <w:rPr>
          <w:b/>
        </w:rPr>
        <w:t>fiu.qualtrics.com</w:t>
      </w:r>
      <w:r>
        <w:t xml:space="preserve"> → sign in → </w:t>
      </w:r>
      <w:r>
        <w:rPr>
          <w:b/>
        </w:rPr>
        <w:t>Create new project</w:t>
      </w:r>
      <w:r>
        <w:t xml:space="preserve"> → </w:t>
      </w:r>
      <w:r>
        <w:rPr>
          <w:b/>
        </w:rPr>
        <w:t>From scratch</w:t>
      </w:r>
      <w:r>
        <w:t xml:space="preserve"> (Survey).</w:t>
      </w:r>
    </w:p>
    <w:p>
      <w:pPr>
        <w:pStyle w:val="ListNumber"/>
      </w:pPr>
      <w:r>
        <w:t xml:space="preserve">In the editor, click the </w:t>
      </w:r>
      <w:r>
        <w:rPr>
          <w:b/>
        </w:rPr>
        <w:t>Tools</w:t>
      </w:r>
      <w:r>
        <w:t xml:space="preserve"> menu (top-right) → </w:t>
      </w:r>
      <w:r>
        <w:rPr>
          <w:b/>
        </w:rPr>
        <w:t>Import survey</w:t>
      </w:r>
      <w:r>
        <w:t xml:space="preserve"> → </w:t>
      </w:r>
      <w:r>
        <w:rPr>
          <w:b/>
        </w:rPr>
        <w:t>Import from a TXT file</w:t>
      </w:r>
      <w:r>
        <w:t>.</w:t>
      </w:r>
    </w:p>
    <w:p>
      <w:pPr>
        <w:pStyle w:val="ListNumber"/>
      </w:pPr>
      <w:r>
        <w:t xml:space="preserve">Upload </w:t>
      </w:r>
      <w:r>
        <w:rPr>
          <w:rFonts w:ascii="Courier New" w:hAnsi="Courier New"/>
        </w:rPr>
        <w:t>Qualtrics_Survey_Import.txt</w:t>
      </w:r>
      <w:r>
        <w:t>.</w:t>
      </w:r>
    </w:p>
    <w:p>
      <w:pPr>
        <w:pStyle w:val="ListNumber"/>
      </w:pPr>
      <w:r>
        <w:t>Qualtrics builds: 1 consent + 5 screeners + 11 construct matrices + 2 attention checks + 1 open-text + 7 demographics + 1 debrief.</w:t>
      </w:r>
    </w:p>
    <w:p>
      <w:r>
        <w:t>After import: do the 7 steps below before publishing. Each is a one-time setup.</w:t>
      </w:r>
    </w:p>
    <w:p>
      <w:r>
        <w:br/>
      </w:r>
    </w:p>
    <w:p>
      <w:pPr>
        <w:pStyle w:val="Heading2"/>
      </w:pPr>
      <w:r>
        <w:t>STEP 1 — Replace the consent placeholder with the IRB letter</w:t>
      </w:r>
    </w:p>
    <w:p>
      <w:pPr>
        <w:pStyle w:val="ListBullet"/>
      </w:pPr>
      <w:r>
        <w:t xml:space="preserve">Open </w:t>
      </w:r>
      <w:r>
        <w:rPr>
          <w:b/>
        </w:rPr>
        <w:t>Block 00 — Welcome and Informed Consent</w:t>
      </w:r>
      <w:r>
        <w:t>.</w:t>
      </w:r>
    </w:p>
    <w:p>
      <w:pPr>
        <w:pStyle w:val="ListBullet"/>
      </w:pPr>
      <w:r>
        <w:t>Delete the placeholder text inside the description block.</w:t>
      </w:r>
    </w:p>
    <w:p>
      <w:pPr>
        <w:pStyle w:val="ListBullet"/>
      </w:pPr>
      <w:r>
        <w:t xml:space="preserve">Paste the </w:t>
      </w:r>
      <w:r>
        <w:rPr>
          <w:b/>
        </w:rPr>
        <w:t>IRB-approved consent letter verbatim</w:t>
      </w:r>
      <w:r>
        <w:t xml:space="preserve"> (from your IRB-25-0462 file).</w:t>
      </w:r>
    </w:p>
    <w:p>
      <w:pPr>
        <w:pStyle w:val="ListBullet"/>
      </w:pPr>
      <w:r>
        <w:t xml:space="preserve">Keep the </w:t>
      </w:r>
      <w:r>
        <w:rPr>
          <w:rFonts w:ascii="Courier New" w:hAnsi="Courier New"/>
        </w:rPr>
        <w:t>CONSENT</w:t>
      </w:r>
      <w:r>
        <w:t xml:space="preserve"> question — it gates the rest of the survey.</w:t>
      </w:r>
    </w:p>
    <w:p>
      <w:r>
        <w:br/>
      </w:r>
    </w:p>
    <w:p>
      <w:pPr>
        <w:pStyle w:val="Heading2"/>
      </w:pPr>
      <w:r>
        <w:t>STEP 2 — Wire screen-out branching (Survey Flow)</w:t>
      </w:r>
    </w:p>
    <w:p>
      <w:r>
        <w:t xml:space="preserve">This is the only step the TXT format cannot do for you. Click </w:t>
      </w:r>
      <w:r>
        <w:rPr>
          <w:b/>
        </w:rPr>
        <w:t>Survey Flow</w:t>
      </w:r>
      <w:r>
        <w:t xml:space="preserve"> (left sidebar) and add </w:t>
      </w:r>
      <w:r>
        <w:rPr>
          <w:b/>
        </w:rPr>
        <w:t>Branches</w:t>
      </w:r>
      <w:r>
        <w:t xml:space="preserve"> in this order:</w:t>
      </w:r>
    </w:p>
    <w:p>
      <w:r>
        <w:t>| If question | Equals | Then |</w:t>
      </w:r>
    </w:p>
    <w:p>
      <w:r>
        <w:t>|---|---|---|</w:t>
      </w:r>
    </w:p>
    <w:p>
      <w:r>
        <w:t xml:space="preserve">| CONSENT | No, I do not consent | </w:t>
      </w:r>
      <w:r>
        <w:rPr>
          <w:b/>
        </w:rPr>
        <w:t>End of Survey</w:t>
      </w:r>
      <w:r>
        <w:t xml:space="preserve"> with ineligible message |</w:t>
      </w:r>
    </w:p>
    <w:p>
      <w:r>
        <w:t>| S1_COUNTRY | No | End of Survey |</w:t>
      </w:r>
    </w:p>
    <w:p>
      <w:r>
        <w:t>| S2_LANGUAGE | No | End of Survey |</w:t>
      </w:r>
    </w:p>
    <w:p>
      <w:r>
        <w:t>| S3_AUDIT_ROLE | No | End of Survey |</w:t>
      </w:r>
    </w:p>
    <w:p>
      <w:r>
        <w:t>| S4_CONTINUING_ENG | No | End of Survey |</w:t>
      </w:r>
    </w:p>
    <w:p>
      <w:r>
        <w:t>| S5_ATTESTATION | No | End of Survey |</w:t>
      </w:r>
    </w:p>
    <w:p>
      <w:r>
        <w:rPr>
          <w:b/>
        </w:rPr>
        <w:t>Block order in Survey Flow:</w:t>
      </w:r>
    </w:p>
    <w:p>
      <w:pPr>
        <w:pStyle w:val="ListNumber"/>
      </w:pPr>
      <w:r>
        <w:t>Block 00 (Consent)</w:t>
      </w:r>
    </w:p>
    <w:p>
      <w:pPr>
        <w:pStyle w:val="ListNumber"/>
      </w:pPr>
      <w:r>
        <w:t>Branch: end if CONSENT = No</w:t>
      </w:r>
    </w:p>
    <w:p>
      <w:pPr>
        <w:pStyle w:val="ListNumber"/>
      </w:pPr>
      <w:r>
        <w:t>Block 01 (Eligibility)</w:t>
      </w:r>
    </w:p>
    <w:p>
      <w:pPr>
        <w:pStyle w:val="ListNumber"/>
      </w:pPr>
      <w:r>
        <w:t>Branches: end if any screener fails</w:t>
      </w:r>
    </w:p>
    <w:p>
      <w:pPr>
        <w:pStyle w:val="ListNumber"/>
      </w:pPr>
      <w:r>
        <w:rPr>
          <w:b/>
        </w:rPr>
        <w:t>Randomizer</w:t>
      </w:r>
      <w:r>
        <w:t xml:space="preserve"> containing blocks 02–05 + 07–10 (the 8 intervention IVs). Present 8 in random order.</w:t>
      </w:r>
    </w:p>
    <w:p>
      <w:pPr>
        <w:pStyle w:val="ListNumber"/>
      </w:pPr>
      <w:r>
        <w:t>Block 06 (Attention Check 1) — fixed position after the first 4 IV blocks the respondent sees</w:t>
      </w:r>
    </w:p>
    <w:p>
      <w:pPr>
        <w:pStyle w:val="ListNumber"/>
      </w:pPr>
      <w:r>
        <w:t>Block 11 (Attention Check 2) — fixed position after the next 4 IV blocks</w:t>
      </w:r>
    </w:p>
    <w:p>
      <w:pPr>
        <w:pStyle w:val="ListNumber"/>
      </w:pPr>
      <w:r>
        <w:t>Blocks 12, 13, 14 (AJQ, APR, RAB) — fixed order, after IVs</w:t>
      </w:r>
    </w:p>
    <w:p>
      <w:pPr>
        <w:pStyle w:val="ListNumber"/>
      </w:pPr>
      <w:r>
        <w:t>Block 15 (Open-text)</w:t>
      </w:r>
    </w:p>
    <w:p>
      <w:pPr>
        <w:pStyle w:val="ListNumber"/>
      </w:pPr>
      <w:r>
        <w:t>Block 16 (Demographics)</w:t>
      </w:r>
    </w:p>
    <w:p>
      <w:pPr>
        <w:pStyle w:val="ListNumber"/>
      </w:pPr>
      <w:r>
        <w:t>Block 17 (Debrief)</w:t>
      </w:r>
    </w:p>
    <w:p>
      <w:pPr>
        <w:pStyle w:val="ListNumber"/>
      </w:pPr>
      <w:r>
        <w:rPr>
          <w:b/>
        </w:rPr>
        <w:t>End of Survey</w:t>
      </w:r>
      <w:r>
        <w:t xml:space="preserve"> with redirect URL to CloudResearch (Step 7)</w:t>
      </w:r>
    </w:p>
    <w:p>
      <w:pPr>
        <w:ind w:left="432"/>
      </w:pPr>
      <w:r>
        <w:t>Simpler alternative if randomizing-around-attention-checks gets fiddly: keep blocks in import order (TA→RA→AT→SAP→AC1→FR→IR→RPG→PMI→AC2→AJQ→APR→RAB). Less ideal for EFA defense but acceptable for a 60–80-n study.</w:t>
      </w:r>
    </w:p>
    <w:p>
      <w:r>
        <w:br/>
      </w:r>
    </w:p>
    <w:p>
      <w:pPr>
        <w:pStyle w:val="Heading2"/>
      </w:pPr>
      <w:r>
        <w:t>STEP 3 — Variable naming (rename matrix rows for EFA-friendly exports)</w:t>
      </w:r>
    </w:p>
    <w:p>
      <w:r>
        <w:t xml:space="preserve">After import, each matrix question's rows are auto-named </w:t>
      </w:r>
      <w:r>
        <w:rPr>
          <w:rFonts w:ascii="Courier New" w:hAnsi="Courier New"/>
        </w:rPr>
        <w:t>TA_1</w:t>
      </w:r>
      <w:r>
        <w:t xml:space="preserve">, </w:t>
      </w:r>
      <w:r>
        <w:rPr>
          <w:rFonts w:ascii="Courier New" w:hAnsi="Courier New"/>
        </w:rPr>
        <w:t>TA_2</w:t>
      </w:r>
      <w:r>
        <w:t xml:space="preserve">, ..., </w:t>
      </w:r>
      <w:r>
        <w:rPr>
          <w:rFonts w:ascii="Courier New" w:hAnsi="Courier New"/>
        </w:rPr>
        <w:t>TA_5</w:t>
      </w:r>
      <w:r>
        <w:t xml:space="preserve">. That's already EFA-friendly. The only thing you need to do is </w:t>
      </w:r>
      <w:r>
        <w:rPr>
          <w:b/>
        </w:rPr>
        <w:t>document which items are reverse-coded</w:t>
      </w:r>
      <w:r>
        <w:t xml:space="preserve"> so the data-cleaning step in Stage 3b flips them correctly.</w:t>
      </w:r>
    </w:p>
    <w:p>
      <w:pPr>
        <w:pStyle w:val="Heading3"/>
      </w:pPr>
      <w:r>
        <w:t>Reverse-coded items (flip these at cleaning, BEFORE EFA)</w:t>
      </w:r>
    </w:p>
    <w:p>
      <w:r>
        <w:t>| Construct | Item position | Statement |</w:t>
      </w:r>
    </w:p>
    <w:p>
      <w:r>
        <w:t>|---|---|---|</w:t>
      </w:r>
    </w:p>
    <w:p>
      <w:r>
        <w:t>| TA  | 4 (</w:t>
      </w:r>
      <w:r>
        <w:rPr>
          <w:rFonts w:ascii="Courier New" w:hAnsi="Courier New"/>
        </w:rPr>
        <w:t>TA_4</w:t>
      </w:r>
      <w:r>
        <w:t>) | I have received little or no training on how initial reference points can distort judgment. |</w:t>
      </w:r>
    </w:p>
    <w:p>
      <w:r>
        <w:t>| RA  | 4 (</w:t>
      </w:r>
      <w:r>
        <w:rPr>
          <w:rFonts w:ascii="Courier New" w:hAnsi="Courier New"/>
        </w:rPr>
        <w:t>RA_4</w:t>
      </w:r>
      <w:r>
        <w:t>) | The same individuals remain on my engagements for many years without change. |</w:t>
      </w:r>
    </w:p>
    <w:p>
      <w:r>
        <w:t>| AT  | 4 (</w:t>
      </w:r>
      <w:r>
        <w:rPr>
          <w:rFonts w:ascii="Courier New" w:hAnsi="Courier New"/>
        </w:rPr>
        <w:t>AT_4</w:t>
      </w:r>
      <w:r>
        <w:t>) | I rely mainly on prior-year workpapers rather than on current-period analytics. |</w:t>
      </w:r>
    </w:p>
    <w:p>
      <w:r>
        <w:t>| SAP | 4 (</w:t>
      </w:r>
      <w:r>
        <w:rPr>
          <w:rFonts w:ascii="Courier New" w:hAnsi="Courier New"/>
        </w:rPr>
        <w:t>SAP_4</w:t>
      </w:r>
      <w:r>
        <w:t>) | My approach to recurring tasks is mostly informal and ad hoc. |</w:t>
      </w:r>
    </w:p>
    <w:p>
      <w:r>
        <w:t>| FR  | 4 (</w:t>
      </w:r>
      <w:r>
        <w:rPr>
          <w:rFonts w:ascii="Courier New" w:hAnsi="Courier New"/>
        </w:rPr>
        <w:t>FR_4</w:t>
      </w:r>
      <w:r>
        <w:t>) | I rarely learn whether my professional judgments were accurate. |</w:t>
      </w:r>
    </w:p>
    <w:p>
      <w:r>
        <w:t>| IR  | 4 (</w:t>
      </w:r>
      <w:r>
        <w:rPr>
          <w:rFonts w:ascii="Courier New" w:hAnsi="Courier New"/>
        </w:rPr>
        <w:t>IR_4</w:t>
      </w:r>
      <w:r>
        <w:t>) | Reviews in my firm mostly confirm the preparer's conclusion without independent analysis. |</w:t>
      </w:r>
    </w:p>
    <w:p>
      <w:r>
        <w:t>| RPG | 4 (</w:t>
      </w:r>
      <w:r>
        <w:rPr>
          <w:rFonts w:ascii="Courier New" w:hAnsi="Courier New"/>
        </w:rPr>
        <w:t>RPG_4</w:t>
      </w:r>
      <w:r>
        <w:t>) | Regulatory guidance has little practical effect on my day-to-day judgments. |</w:t>
      </w:r>
    </w:p>
    <w:p>
      <w:r>
        <w:t>| PMI | 4 (</w:t>
      </w:r>
      <w:r>
        <w:rPr>
          <w:rFonts w:ascii="Courier New" w:hAnsi="Courier New"/>
        </w:rPr>
        <w:t>PMI_4</w:t>
      </w:r>
      <w:r>
        <w:t>) | Pressure to meet budgets discourages me from re-examining prior-year balances. |</w:t>
      </w:r>
    </w:p>
    <w:p>
      <w:r>
        <w:t>| AJQ | 4 (</w:t>
      </w:r>
      <w:r>
        <w:rPr>
          <w:rFonts w:ascii="Courier New" w:hAnsi="Courier New"/>
        </w:rPr>
        <w:t>AJQ_4</w:t>
      </w:r>
      <w:r>
        <w:t>) | My conclusions often default to last year's position. |</w:t>
      </w:r>
    </w:p>
    <w:p>
      <w:r>
        <w:t>| APR | 4 (</w:t>
      </w:r>
      <w:r>
        <w:rPr>
          <w:rFonts w:ascii="Courier New" w:hAnsi="Courier New"/>
        </w:rPr>
        <w:t>APR_4</w:t>
      </w:r>
      <w:r>
        <w:t>) | Execution on my engagements is often rushed or inconsistent. |</w:t>
      </w:r>
    </w:p>
    <w:p>
      <w:r>
        <w:t>| RAB | 4 (</w:t>
      </w:r>
      <w:r>
        <w:rPr>
          <w:rFonts w:ascii="Courier New" w:hAnsi="Courier New"/>
        </w:rPr>
        <w:t>RAB_4</w:t>
      </w:r>
      <w:r>
        <w:t>) | My estimates tend to stay close to the prior-year figure even when evidence suggests otherwise. |</w:t>
      </w:r>
    </w:p>
    <w:p>
      <w:r>
        <w:rPr>
          <w:b/>
        </w:rPr>
        <w:t>Reverse-code formula (SPSS / R / Python at cleaning):</w:t>
      </w:r>
      <w:r>
        <w:t xml:space="preserve"> </w:t>
      </w:r>
      <w:r>
        <w:rPr>
          <w:rFonts w:ascii="Courier New" w:hAnsi="Courier New"/>
        </w:rPr>
        <w:t>recoded = 6 - original</w:t>
      </w:r>
      <w:r>
        <w:t xml:space="preserve"> (because the scale is 1–5).</w:t>
      </w:r>
    </w:p>
    <w:p>
      <w:r>
        <w:br/>
      </w:r>
    </w:p>
    <w:p>
      <w:pPr>
        <w:pStyle w:val="Heading2"/>
      </w:pPr>
      <w:r>
        <w:t>STEP 4 — Force-response + page-timing</w:t>
      </w:r>
    </w:p>
    <w:p>
      <w:r>
        <w:t>For every matrix and screener question:</w:t>
      </w:r>
    </w:p>
    <w:p>
      <w:pPr>
        <w:pStyle w:val="ListBullet"/>
      </w:pPr>
      <w:r>
        <w:rPr>
          <w:b/>
        </w:rPr>
        <w:t>Force Response:</w:t>
      </w:r>
      <w:r>
        <w:t xml:space="preserve"> ON (right panel → Behavior → Force Response)</w:t>
      </w:r>
    </w:p>
    <w:p>
      <w:pPr>
        <w:pStyle w:val="ListBullet"/>
      </w:pPr>
      <w:r>
        <w:rPr>
          <w:b/>
        </w:rPr>
        <w:t>Page Timing:</w:t>
      </w:r>
      <w:r>
        <w:t xml:space="preserve"> add a </w:t>
      </w:r>
      <w:r>
        <w:rPr>
          <w:b/>
        </w:rPr>
        <w:t>Timing question</w:t>
      </w:r>
      <w:r>
        <w:t xml:space="preserve"> (Question type → Timing) hidden on each construct block page, capture First Click + Last Click + Page Submit + Click Count. Use these in Stage 3b to flag speeders (&lt;5 sec per construct block is suspicious).</w:t>
      </w:r>
    </w:p>
    <w:p>
      <w:r>
        <w:t xml:space="preserve">Quick way: turn on </w:t>
      </w:r>
      <w:r>
        <w:rPr>
          <w:b/>
        </w:rPr>
        <w:t>Force Response</w:t>
      </w:r>
      <w:r>
        <w:t xml:space="preserve"> once at the survey level via </w:t>
      </w:r>
      <w:r>
        <w:rPr>
          <w:b/>
        </w:rPr>
        <w:t>Survey Options → Responses → Force response</w:t>
      </w:r>
      <w:r>
        <w:t>, then override per-question for the open-text item (which should be optional).</w:t>
      </w:r>
    </w:p>
    <w:p>
      <w:r>
        <w:br/>
      </w:r>
    </w:p>
    <w:p>
      <w:pPr>
        <w:pStyle w:val="Heading2"/>
      </w:pPr>
      <w:r>
        <w:t>STEP 5 — Survey-level settings</w:t>
      </w:r>
    </w:p>
    <w:p>
      <w:r>
        <w:t xml:space="preserve">In </w:t>
      </w:r>
      <w:r>
        <w:rPr>
          <w:b/>
        </w:rPr>
        <w:t>Survey Options</w:t>
      </w:r>
      <w:r>
        <w:t xml:space="preserve"> (gear icon):</w:t>
      </w:r>
    </w:p>
    <w:p>
      <w:r>
        <w:t>| Setting | Value |</w:t>
      </w:r>
    </w:p>
    <w:p>
      <w:r>
        <w:t>|---|---|</w:t>
      </w:r>
    </w:p>
    <w:p>
      <w:r>
        <w:t xml:space="preserve">| Anonymize responses | </w:t>
      </w:r>
      <w:r>
        <w:rPr>
          <w:b/>
        </w:rPr>
        <w:t>ON</w:t>
      </w:r>
      <w:r>
        <w:t xml:space="preserve"> |</w:t>
      </w:r>
    </w:p>
    <w:p>
      <w:r>
        <w:t xml:space="preserve">| Record IP address | </w:t>
      </w:r>
      <w:r>
        <w:rPr>
          <w:b/>
        </w:rPr>
        <w:t>OFF</w:t>
      </w:r>
      <w:r>
        <w:t xml:space="preserve"> |</w:t>
      </w:r>
    </w:p>
    <w:p>
      <w:r>
        <w:t xml:space="preserve">| Record location data | </w:t>
      </w:r>
      <w:r>
        <w:rPr>
          <w:b/>
        </w:rPr>
        <w:t>OFF</w:t>
      </w:r>
      <w:r>
        <w:t xml:space="preserve"> |</w:t>
      </w:r>
    </w:p>
    <w:p>
      <w:r>
        <w:t xml:space="preserve">| Prevent ballot-box stuffing | </w:t>
      </w:r>
      <w:r>
        <w:rPr>
          <w:b/>
        </w:rPr>
        <w:t>ON</w:t>
      </w:r>
      <w:r>
        <w:t xml:space="preserve"> |</w:t>
      </w:r>
    </w:p>
    <w:p>
      <w:r>
        <w:t xml:space="preserve">| Prevent indexing | </w:t>
      </w:r>
      <w:r>
        <w:rPr>
          <w:b/>
        </w:rPr>
        <w:t>ON</w:t>
      </w:r>
      <w:r>
        <w:t xml:space="preserve"> |</w:t>
      </w:r>
    </w:p>
    <w:p>
      <w:r>
        <w:t xml:space="preserve">| Show progress bar | </w:t>
      </w:r>
      <w:r>
        <w:rPr>
          <w:b/>
        </w:rPr>
        <w:t>ON</w:t>
      </w:r>
      <w:r>
        <w:t xml:space="preserve"> (gradual) |</w:t>
      </w:r>
    </w:p>
    <w:p>
      <w:r>
        <w:t xml:space="preserve">| Allow back button | </w:t>
      </w:r>
      <w:r>
        <w:rPr>
          <w:b/>
        </w:rPr>
        <w:t>OFF</w:t>
      </w:r>
      <w:r>
        <w:t xml:space="preserve"> |</w:t>
      </w:r>
    </w:p>
    <w:p>
      <w:r>
        <w:t xml:space="preserve">| Survey expiration | </w:t>
      </w:r>
      <w:r>
        <w:rPr>
          <w:b/>
        </w:rPr>
        <w:t>Jul 12, 2026 11:59 PM</w:t>
      </w:r>
      <w:r>
        <w:t xml:space="preserve"> |</w:t>
      </w:r>
    </w:p>
    <w:p>
      <w:r>
        <w:t>| Auto-advance | OFF for matrices, ON for single MC |</w:t>
      </w:r>
    </w:p>
    <w:p>
      <w:r>
        <w:br/>
      </w:r>
    </w:p>
    <w:p>
      <w:pPr>
        <w:pStyle w:val="Heading2"/>
      </w:pPr>
      <w:r>
        <w:t>STEP 6 — Bot/quality protections</w:t>
      </w:r>
    </w:p>
    <w:p>
      <w:r>
        <w:t xml:space="preserve">Under </w:t>
      </w:r>
      <w:r>
        <w:rPr>
          <w:b/>
        </w:rPr>
        <w:t>Survey Options → Security</w:t>
      </w:r>
      <w:r>
        <w:t xml:space="preserve"> (and </w:t>
      </w:r>
      <w:r>
        <w:rPr>
          <w:b/>
        </w:rPr>
        <w:t>Fraud Detection</w:t>
      </w:r>
      <w:r>
        <w:t xml:space="preserve"> if available):</w:t>
      </w:r>
    </w:p>
    <w:p>
      <w:pPr>
        <w:pStyle w:val="ListBullet"/>
      </w:pPr>
      <w:r>
        <w:t xml:space="preserve">ReCAPTCHA score check: </w:t>
      </w:r>
      <w:r>
        <w:rPr>
          <w:b/>
        </w:rPr>
        <w:t>ON</w:t>
      </w:r>
    </w:p>
    <w:p>
      <w:pPr>
        <w:pStyle w:val="ListBullet"/>
      </w:pPr>
      <w:r>
        <w:t xml:space="preserve">Relevant ID fraud detection (CloudResearch-friendly): </w:t>
      </w:r>
      <w:r>
        <w:rPr>
          <w:b/>
        </w:rPr>
        <w:t>ON</w:t>
      </w:r>
      <w:r>
        <w:t xml:space="preserve"> if available</w:t>
      </w:r>
    </w:p>
    <w:p>
      <w:pPr>
        <w:pStyle w:val="ListBullet"/>
      </w:pPr>
      <w:r>
        <w:t xml:space="preserve">Bot detection: </w:t>
      </w:r>
      <w:r>
        <w:rPr>
          <w:b/>
        </w:rPr>
        <w:t>ON</w:t>
      </w:r>
    </w:p>
    <w:p>
      <w:pPr>
        <w:pStyle w:val="ListBullet"/>
      </w:pPr>
      <w:r>
        <w:t xml:space="preserve">Duplicate response prevention (cookie-based): </w:t>
      </w:r>
      <w:r>
        <w:rPr>
          <w:b/>
        </w:rPr>
        <w:t>ON</w:t>
      </w:r>
    </w:p>
    <w:p>
      <w:r>
        <w:br/>
      </w:r>
    </w:p>
    <w:p>
      <w:pPr>
        <w:pStyle w:val="Heading2"/>
      </w:pPr>
      <w:r>
        <w:t>STEP 7 — Completion redirect to CloudResearch</w:t>
      </w:r>
    </w:p>
    <w:p>
      <w:r>
        <w:t xml:space="preserve">Once your CloudResearch project is drafted (Tuesday night per the Master Action Pack), CloudResearch will give you a </w:t>
      </w:r>
      <w:r>
        <w:rPr>
          <w:b/>
        </w:rPr>
        <w:t>completion URL</w:t>
      </w:r>
      <w:r>
        <w:t xml:space="preserve"> unique to that study. Then in Qualtrics:</w:t>
      </w:r>
    </w:p>
    <w:p>
      <w:pPr>
        <w:pStyle w:val="ListNumber"/>
      </w:pPr>
      <w:r>
        <w:t xml:space="preserve">Survey Flow → </w:t>
      </w:r>
      <w:r>
        <w:rPr>
          <w:b/>
        </w:rPr>
        <w:t>End of Survey</w:t>
      </w:r>
      <w:r>
        <w:t xml:space="preserve"> element at the very bottom.</w:t>
      </w:r>
    </w:p>
    <w:p>
      <w:pPr>
        <w:pStyle w:val="ListNumber"/>
      </w:pPr>
      <w:r>
        <w:t xml:space="preserve">Edit → </w:t>
      </w:r>
      <w:r>
        <w:rPr>
          <w:b/>
        </w:rPr>
        <w:t>Redirect to a URL</w:t>
      </w:r>
      <w:r>
        <w:t>.</w:t>
      </w:r>
    </w:p>
    <w:p>
      <w:pPr>
        <w:pStyle w:val="ListNumber"/>
      </w:pPr>
      <w:r>
        <w:t>Paste the CloudResearch completion URL.</w:t>
      </w:r>
    </w:p>
    <w:p>
      <w:pPr>
        <w:pStyle w:val="ListNumber"/>
      </w:pPr>
      <w:r>
        <w:t>Make sure this End of Survey is reached ONLY by respondents who finish (after Block 17), NOT by screen-outs.</w:t>
      </w:r>
    </w:p>
    <w:p>
      <w:r>
        <w:t xml:space="preserve">Add a </w:t>
      </w:r>
      <w:r>
        <w:rPr>
          <w:b/>
        </w:rPr>
        <w:t>second End of Survey</w:t>
      </w:r>
      <w:r>
        <w:t xml:space="preserve"> for screen-outs that shows a polite "Thank you, you are not eligible for this study" message and does NOT redirect (no payment for screen-outs).</w:t>
      </w:r>
    </w:p>
    <w:p>
      <w:r>
        <w:br/>
      </w:r>
    </w:p>
    <w:p>
      <w:pPr>
        <w:pStyle w:val="Heading2"/>
      </w:pPr>
      <w:r>
        <w:t>Pre-publish preview test (Tuesday before launch)</w:t>
      </w:r>
    </w:p>
    <w:p>
      <w:pPr>
        <w:pStyle w:val="ListBullet"/>
      </w:pPr>
      <w:r>
        <w:t xml:space="preserve">[ ] Preview as </w:t>
      </w:r>
      <w:r>
        <w:rPr>
          <w:b/>
        </w:rPr>
        <w:t>eligible</w:t>
      </w:r>
      <w:r>
        <w:t xml:space="preserve"> respondent — full survey flows, lands on CloudResearch redirect.</w:t>
      </w:r>
    </w:p>
    <w:p>
      <w:pPr>
        <w:pStyle w:val="ListBullet"/>
      </w:pPr>
      <w:r>
        <w:t xml:space="preserve">[ ] Preview as </w:t>
      </w:r>
      <w:r>
        <w:rPr>
          <w:b/>
        </w:rPr>
        <w:t>ineligible</w:t>
      </w:r>
      <w:r>
        <w:t xml:space="preserve"> respondent (fail S3 or S4) — gets the polite screen-out message immediately.</w:t>
      </w:r>
    </w:p>
    <w:p>
      <w:pPr>
        <w:pStyle w:val="ListBullet"/>
      </w:pPr>
      <w:r>
        <w:t>[ ] Preview on Pixel mobile browser — matrices render readably.</w:t>
      </w:r>
    </w:p>
    <w:p>
      <w:pPr>
        <w:pStyle w:val="ListBullet"/>
      </w:pPr>
      <w:r>
        <w:t>[ ] Preview on desktop — matrices render as grids.</w:t>
      </w:r>
    </w:p>
    <w:p>
      <w:pPr>
        <w:pStyle w:val="ListBullet"/>
      </w:pPr>
      <w:r>
        <w:t>[ ] Attention checks fire at the right time.</w:t>
      </w:r>
    </w:p>
    <w:p>
      <w:pPr>
        <w:pStyle w:val="ListBullet"/>
      </w:pPr>
      <w:r>
        <w:t>[ ] Both reverse-coded items in TA and RPG read naturally (no double negatives that confuse).</w:t>
      </w:r>
    </w:p>
    <w:p>
      <w:pPr>
        <w:pStyle w:val="ListBullet"/>
      </w:pPr>
      <w:r>
        <w:t>[ ] Anonymous distribution link generated and copied (this is the URL you paste into CloudResearch).</w:t>
      </w:r>
    </w:p>
    <w:p>
      <w:r>
        <w:br/>
      </w:r>
    </w:p>
    <w:p>
      <w:pPr>
        <w:pStyle w:val="Heading2"/>
      </w:pPr>
      <w:r>
        <w:t>Item count summary</w:t>
      </w:r>
    </w:p>
    <w:p>
      <w:r>
        <w:t>| Block group | # questions |</w:t>
      </w:r>
    </w:p>
    <w:p>
      <w:r>
        <w:t>|---|---|</w:t>
      </w:r>
    </w:p>
    <w:p>
      <w:r>
        <w:t>| Consent | 1 |</w:t>
      </w:r>
    </w:p>
    <w:p>
      <w:r>
        <w:t>| Screeners | 5 |</w:t>
      </w:r>
    </w:p>
    <w:p>
      <w:r>
        <w:t>| 8 IV construct matrices (5 items each) | 40 |</w:t>
      </w:r>
    </w:p>
    <w:p>
      <w:r>
        <w:t>| 2 mediator matrices (5 items each) | 10 |</w:t>
      </w:r>
    </w:p>
    <w:p>
      <w:r>
        <w:t>| 1 DV matrix (5 items) | 5 |</w:t>
      </w:r>
    </w:p>
    <w:p>
      <w:r>
        <w:t>| Attention checks | 2 |</w:t>
      </w:r>
    </w:p>
    <w:p>
      <w:r>
        <w:t>| Open-text substantive check | 1 |</w:t>
      </w:r>
    </w:p>
    <w:p>
      <w:r>
        <w:t>| Demographics | 7 |</w:t>
      </w:r>
    </w:p>
    <w:p>
      <w:r>
        <w:t>| Debrief | 1 (display only) |</w:t>
      </w:r>
    </w:p>
    <w:p>
      <w:r>
        <w:t xml:space="preserve">| </w:t>
      </w:r>
      <w:r>
        <w:rPr>
          <w:b/>
        </w:rPr>
        <w:t>Total respondent-facing items</w:t>
      </w:r>
      <w:r>
        <w:t xml:space="preserve"> | </w:t>
      </w:r>
      <w:r>
        <w:rPr>
          <w:b/>
        </w:rPr>
        <w:t>71</w:t>
      </w:r>
      <w:r>
        <w:t xml:space="preserve"> (plus 1 consent + 1 debrief) |</w:t>
      </w:r>
    </w:p>
    <w:p>
      <w:r>
        <w:t>Median completion time at this length is typically 12–18 minutes for an audit professional — well inside the IRB-approved 15–20 minute window.</w:t>
      </w:r>
    </w:p>
    <w:p>
      <w:r>
        <w:br/>
      </w:r>
    </w:p>
    <w:p>
      <w:pPr>
        <w:pStyle w:val="Heading2"/>
      </w:pPr>
      <w:r>
        <w:t>After all 7 steps are done</w:t>
      </w:r>
    </w:p>
    <w:p>
      <w:pPr>
        <w:pStyle w:val="ListNumber"/>
      </w:pPr>
      <w:r>
        <w:t xml:space="preserve">Click </w:t>
      </w:r>
      <w:r>
        <w:rPr>
          <w:b/>
        </w:rPr>
        <w:t>Publish</w:t>
      </w:r>
      <w:r>
        <w:t xml:space="preserve"> in Qualtrics.</w:t>
      </w:r>
    </w:p>
    <w:p>
      <w:pPr>
        <w:pStyle w:val="ListNumber"/>
      </w:pPr>
      <w:r>
        <w:t xml:space="preserve">Copy the </w:t>
      </w:r>
      <w:r>
        <w:rPr>
          <w:b/>
        </w:rPr>
        <w:t>anonymous distribution link</w:t>
      </w:r>
      <w:r>
        <w:t xml:space="preserve"> (under Distributions → Anonymous Link).</w:t>
      </w:r>
    </w:p>
    <w:p>
      <w:pPr>
        <w:pStyle w:val="ListNumber"/>
      </w:pPr>
      <w:r>
        <w:t>That link is what you paste into CloudResearch on Tuesday night (Action Pack page 7).</w:t>
      </w:r>
    </w:p>
    <w:p>
      <w:pPr>
        <w:pStyle w:val="ListNumber"/>
      </w:pPr>
      <w:r>
        <w:t>You're ready for Wednesday's launch.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