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s="Times New Roman" w:eastAsia="Times New Roman"/>
          <w:b/>
          <w:color w:val="000000"/>
          <w:sz w:val="30"/>
        </w:rPr>
        <w:t>Institutions and Culture: The Five Residency Readings</w:t>
      </w:r>
    </w:p>
    <w:p>
      <w:pPr>
        <w:spacing w:after="200"/>
      </w:pPr>
      <w:r>
        <w:rPr>
          <w:rFonts w:ascii="Times New Roman" w:hAnsi="Times New Roman" w:cs="Times New Roman" w:eastAsia="Times New Roman"/>
          <w:i/>
          <w:color w:val="000000"/>
          <w:sz w:val="24"/>
        </w:rPr>
        <w:t>Detailed summaries and what each one changes for my project</w:t>
      </w:r>
    </w:p>
    <w:p>
      <w:pPr>
        <w:spacing w:after="20" w:line="240" w:lineRule="auto"/>
      </w:pPr>
      <w:r>
        <w:rPr>
          <w:rFonts w:ascii="Times New Roman" w:hAnsi="Times New Roman" w:cs="Times New Roman" w:eastAsia="Times New Roman"/>
          <w:color w:val="000000"/>
          <w:sz w:val="21"/>
        </w:rPr>
        <w:t>Yasir A. Malik</w:t>
      </w:r>
    </w:p>
    <w:p>
      <w:pPr>
        <w:spacing w:after="20" w:line="240" w:lineRule="auto"/>
      </w:pPr>
      <w:r>
        <w:rPr>
          <w:rFonts w:ascii="Times New Roman" w:hAnsi="Times New Roman" w:cs="Times New Roman" w:eastAsia="Times New Roman"/>
          <w:color w:val="000000"/>
          <w:sz w:val="21"/>
        </w:rPr>
        <w:t>Florida International University · College of Business</w:t>
      </w:r>
    </w:p>
    <w:p>
      <w:pPr>
        <w:spacing w:after="20" w:line="240" w:lineRule="auto"/>
      </w:pPr>
      <w:r>
        <w:rPr>
          <w:rFonts w:ascii="Times New Roman" w:hAnsi="Times New Roman" w:cs="Times New Roman" w:eastAsia="Times New Roman"/>
          <w:color w:val="000000"/>
          <w:sz w:val="21"/>
        </w:rPr>
        <w:t>Doctor of Business Administration · Cohort 8.14</w:t>
      </w:r>
    </w:p>
    <w:p>
      <w:pPr>
        <w:spacing w:after="20" w:line="240" w:lineRule="auto"/>
      </w:pPr>
      <w:r>
        <w:rPr>
          <w:rFonts w:ascii="Times New Roman" w:hAnsi="Times New Roman" w:cs="Times New Roman" w:eastAsia="Times New Roman"/>
          <w:color w:val="000000"/>
          <w:sz w:val="21"/>
        </w:rPr>
        <w:t>GEB 7365 · International Business Theory and Practice · Prof. William Newburry</w:t>
      </w:r>
    </w:p>
    <w:p>
      <w:pPr>
        <w:spacing w:after="20" w:line="240" w:lineRule="auto"/>
      </w:pPr>
      <w:r>
        <w:rPr>
          <w:rFonts w:ascii="Times New Roman" w:hAnsi="Times New Roman" w:cs="Times New Roman" w:eastAsia="Times New Roman"/>
          <w:color w:val="000000"/>
          <w:sz w:val="21"/>
        </w:rPr>
        <w:t>September 19, 2026</w:t>
      </w:r>
    </w:p>
    <w:p>
      <w:pPr>
        <w:spacing w:after="80"/>
      </w:pPr>
    </w:p>
    <w:p>
      <w:pPr>
        <w:spacing w:line="276" w:lineRule="auto" w:after="160"/>
        <w:jc w:val="both"/>
      </w:pPr>
      <w:r>
        <w:rPr>
          <w:rFonts w:ascii="Times New Roman" w:hAnsi="Times New Roman" w:cs="Times New Roman" w:eastAsia="Times New Roman"/>
          <w:color w:val="000000"/>
          <w:sz w:val="22"/>
        </w:rPr>
        <w:t>Five papers, read in full. The order below is by usefulness to me, not by the reading list. Page and figure references are to the published articles.</w:t>
      </w:r>
    </w:p>
    <w:p>
      <w:pPr>
        <w:pStyle w:val="Heading1"/>
      </w:pPr>
      <w:r>
        <w:rPr>
          <w:rFonts w:ascii="Times New Roman" w:hAnsi="Times New Roman" w:cs="Times New Roman" w:eastAsia="Times New Roman"/>
          <w:b/>
          <w:color w:val="000000"/>
          <w:sz w:val="28"/>
        </w:rPr>
        <w:t>The through line</w:t>
      </w:r>
    </w:p>
    <w:p>
      <w:pPr>
        <w:spacing w:line="276" w:lineRule="auto" w:after="160"/>
        <w:jc w:val="both"/>
      </w:pPr>
      <w:r>
        <w:rPr>
          <w:rFonts w:ascii="Times New Roman" w:hAnsi="Times New Roman" w:cs="Times New Roman" w:eastAsia="Times New Roman"/>
          <w:color w:val="000000"/>
          <w:sz w:val="22"/>
        </w:rPr>
        <w:t xml:space="preserve">Most international business research treats institutions and culture as a stable backdrop against which firms act. </w:t>
      </w:r>
      <w:r>
        <w:rPr>
          <w:rFonts w:ascii="Times New Roman" w:hAnsi="Times New Roman" w:cs="Times New Roman" w:eastAsia="Times New Roman"/>
          <w:b/>
          <w:i w:val="0"/>
          <w:color w:val="000000"/>
          <w:sz w:val="22"/>
        </w:rPr>
        <w:t>All five of these papers deny that</w:t>
      </w:r>
      <w:r>
        <w:rPr>
          <w:rFonts w:ascii="Times New Roman" w:hAnsi="Times New Roman" w:cs="Times New Roman" w:eastAsia="Times New Roman"/>
          <w:color w:val="000000"/>
          <w:sz w:val="22"/>
        </w:rPr>
        <w:t>, in five different ways. Fainshmidt says there are seven kinds of institutional system, not two. Cuervo-Cazurra says institutions swing back and forth rather than progressing. House and colleagues say culture is nine-dimensional rather than one thing. Deephouse and colleagues show the same firm earns a different reputation depending where it sits. Samiee and colleagues report that after sixty years the field still cannot agree what country of origin actually does.</w:t>
      </w:r>
    </w:p>
    <w:p>
      <w:pPr>
        <w:spacing w:line="276" w:lineRule="auto" w:after="160"/>
        <w:jc w:val="both"/>
      </w:pPr>
      <w:r>
        <w:rPr>
          <w:rFonts w:ascii="Times New Roman" w:hAnsi="Times New Roman" w:cs="Times New Roman" w:eastAsia="Times New Roman"/>
          <w:color w:val="000000"/>
          <w:sz w:val="22"/>
        </w:rPr>
        <w:t>Read that way, the session is not about institutions. It is about what happens to a comparative claim when the thing you were holding constant turns out to vary.</w:t>
      </w:r>
    </w:p>
    <w:p>
      <w:pPr>
        <w:pStyle w:val="Heading1"/>
      </w:pPr>
      <w:r>
        <w:rPr>
          <w:rFonts w:ascii="Times New Roman" w:hAnsi="Times New Roman" w:cs="Times New Roman" w:eastAsia="Times New Roman"/>
          <w:b/>
          <w:color w:val="000000"/>
          <w:sz w:val="28"/>
        </w:rPr>
        <w:t>1. Deephouse, Newburry &amp; Soleimani (2016)</w:t>
      </w:r>
    </w:p>
    <w:p>
      <w:pPr>
        <w:spacing w:line="276" w:lineRule="auto" w:after="160"/>
        <w:jc w:val="both"/>
      </w:pPr>
      <w:r>
        <w:rPr>
          <w:rFonts w:ascii="Times New Roman" w:hAnsi="Times New Roman" w:cs="Times New Roman" w:eastAsia="Times New Roman"/>
          <w:color w:val="000000"/>
          <w:sz w:val="22"/>
        </w:rPr>
        <w:t>The effects of institutional development and national culture on cross-national differences in corporate reputation. Journal of World Business, 51(4), 463-473.</w:t>
      </w:r>
    </w:p>
    <w:p>
      <w:pPr>
        <w:spacing w:line="276" w:lineRule="auto" w:after="160"/>
        <w:jc w:val="both"/>
      </w:pPr>
      <w:r>
        <w:rPr>
          <w:rFonts w:ascii="Times New Roman" w:hAnsi="Times New Roman" w:cs="Times New Roman" w:eastAsia="Times New Roman"/>
          <w:b/>
          <w:i w:val="0"/>
          <w:color w:val="000000"/>
          <w:sz w:val="22"/>
        </w:rPr>
        <w:t>Read this one first. Newburry is the second author.</w:t>
      </w:r>
    </w:p>
    <w:p>
      <w:pPr>
        <w:pStyle w:val="Heading2"/>
      </w:pPr>
      <w:r>
        <w:rPr>
          <w:rFonts w:ascii="Times New Roman" w:hAnsi="Times New Roman" w:cs="Times New Roman" w:eastAsia="Times New Roman"/>
          <w:b/>
          <w:color w:val="000000"/>
          <w:sz w:val="24"/>
        </w:rPr>
        <w:t>The gap</w:t>
      </w:r>
    </w:p>
    <w:p>
      <w:pPr>
        <w:spacing w:line="276" w:lineRule="auto" w:after="160"/>
        <w:jc w:val="both"/>
      </w:pPr>
      <w:r>
        <w:rPr>
          <w:rFonts w:ascii="Times New Roman" w:hAnsi="Times New Roman" w:cs="Times New Roman" w:eastAsia="Times New Roman"/>
          <w:color w:val="000000"/>
          <w:sz w:val="22"/>
        </w:rPr>
        <w:t>Corporate reputation had been studied for twenty-five years, almost entirely within single countries and almost entirely through signaling theory. Nobody had developed or tested a theoretical reason for why reputation should differ across countries at all.</w:t>
      </w:r>
    </w:p>
    <w:p>
      <w:pPr>
        <w:pStyle w:val="Heading2"/>
      </w:pPr>
      <w:r>
        <w:rPr>
          <w:rFonts w:ascii="Times New Roman" w:hAnsi="Times New Roman" w:cs="Times New Roman" w:eastAsia="Times New Roman"/>
          <w:b/>
          <w:color w:val="000000"/>
          <w:sz w:val="24"/>
        </w:rPr>
        <w:t>Design</w:t>
      </w:r>
    </w:p>
    <w:p>
      <w:pPr>
        <w:spacing w:line="276" w:lineRule="auto" w:after="160"/>
        <w:jc w:val="both"/>
      </w:pPr>
      <w:r>
        <w:rPr>
          <w:rFonts w:ascii="Times New Roman" w:hAnsi="Times New Roman" w:cs="Times New Roman" w:eastAsia="Times New Roman"/>
          <w:color w:val="000000"/>
          <w:sz w:val="22"/>
        </w:rPr>
        <w:t>401 corporations across 25 countries, with reputation measured in 2007, 2009 and 2011, and independent variables lagged to 2005, 2007 and 2009 so that respondents could plausibly have known them. Institutional development is measured by the Global Competitiveness Index. Culture uses four Hofstede dimensions; long-term orientation is deliberately excluded because it covers a third of the countries and would have cut the sample.</w:t>
      </w:r>
    </w:p>
    <w:p>
      <w:pPr>
        <w:pStyle w:val="Heading2"/>
      </w:pPr>
      <w:r>
        <w:rPr>
          <w:rFonts w:ascii="Times New Roman" w:hAnsi="Times New Roman" w:cs="Times New Roman" w:eastAsia="Times New Roman"/>
          <w:b/>
          <w:color w:val="000000"/>
          <w:sz w:val="24"/>
        </w:rPr>
        <w:t>Findings</w:t>
      </w:r>
    </w:p>
    <w:p>
      <w:pPr>
        <w:spacing w:line="276" w:lineRule="auto" w:after="160"/>
        <w:jc w:val="both"/>
      </w:pPr>
      <w:r>
        <w:rPr>
          <w:rFonts w:ascii="Times New Roman" w:hAnsi="Times New Roman" w:cs="Times New Roman" w:eastAsia="Times New Roman"/>
          <w:color w:val="000000"/>
          <w:sz w:val="22"/>
        </w:rPr>
        <w:t xml:space="preserve">Reputation is </w:t>
      </w:r>
      <w:r>
        <w:rPr>
          <w:rFonts w:ascii="Times New Roman" w:hAnsi="Times New Roman" w:cs="Times New Roman" w:eastAsia="Times New Roman"/>
          <w:b/>
          <w:i w:val="0"/>
          <w:color w:val="000000"/>
          <w:sz w:val="22"/>
        </w:rPr>
        <w:t>negatively</w:t>
      </w:r>
      <w:r>
        <w:rPr>
          <w:rFonts w:ascii="Times New Roman" w:hAnsi="Times New Roman" w:cs="Times New Roman" w:eastAsia="Times New Roman"/>
          <w:color w:val="000000"/>
          <w:sz w:val="22"/>
        </w:rPr>
        <w:t xml:space="preserve"> related to institutional development, significant at p &lt; 0.001. It is </w:t>
      </w:r>
      <w:r>
        <w:rPr>
          <w:rFonts w:ascii="Times New Roman" w:hAnsi="Times New Roman" w:cs="Times New Roman" w:eastAsia="Times New Roman"/>
          <w:b/>
          <w:i w:val="0"/>
          <w:color w:val="000000"/>
          <w:sz w:val="22"/>
        </w:rPr>
        <w:t>positively</w:t>
      </w:r>
      <w:r>
        <w:rPr>
          <w:rFonts w:ascii="Times New Roman" w:hAnsi="Times New Roman" w:cs="Times New Roman" w:eastAsia="Times New Roman"/>
          <w:color w:val="000000"/>
          <w:sz w:val="22"/>
        </w:rPr>
        <w:t xml:space="preserve"> related to power distance, and </w:t>
      </w:r>
      <w:r>
        <w:rPr>
          <w:rFonts w:ascii="Times New Roman" w:hAnsi="Times New Roman" w:cs="Times New Roman" w:eastAsia="Times New Roman"/>
          <w:b/>
          <w:i w:val="0"/>
          <w:color w:val="000000"/>
          <w:sz w:val="22"/>
        </w:rPr>
        <w:t>negatively</w:t>
      </w:r>
      <w:r>
        <w:rPr>
          <w:rFonts w:ascii="Times New Roman" w:hAnsi="Times New Roman" w:cs="Times New Roman" w:eastAsia="Times New Roman"/>
          <w:color w:val="000000"/>
          <w:sz w:val="22"/>
        </w:rPr>
        <w:t xml:space="preserve"> related to masculinity. Uncertainty avoidance had a positive and significant effect.</w:t>
      </w:r>
    </w:p>
    <w:p>
      <w:pPr>
        <w:pStyle w:val="Heading2"/>
      </w:pPr>
      <w:r>
        <w:rPr>
          <w:rFonts w:ascii="Times New Roman" w:hAnsi="Times New Roman" w:cs="Times New Roman" w:eastAsia="Times New Roman"/>
          <w:b/>
          <w:color w:val="000000"/>
          <w:sz w:val="24"/>
        </w:rPr>
        <w:t>Why the negative result is the interesting one</w:t>
      </w:r>
    </w:p>
    <w:p>
      <w:pPr>
        <w:spacing w:line="276" w:lineRule="auto" w:after="160"/>
        <w:jc w:val="both"/>
      </w:pPr>
      <w:r>
        <w:rPr>
          <w:rFonts w:ascii="Times New Roman" w:hAnsi="Times New Roman" w:cs="Times New Roman" w:eastAsia="Times New Roman"/>
          <w:color w:val="000000"/>
          <w:sz w:val="22"/>
        </w:rPr>
        <w:t>Their reasoning: in less economically developed countries the corporate sector's contribution to people's livelihoods is visible and recent, and large corporations and business groups fill institutional voids, providing infrastructure that benefits many stakeholders. So people hold them in greater esteem. In developed economies, expectations of corporations are higher and harder to meet. The comparison is not between firms but between large corporations as a societal sector and other sectors within the same country.</w:t>
      </w:r>
    </w:p>
    <w:p>
      <w:pPr>
        <w:spacing w:line="276" w:lineRule="auto" w:after="160"/>
        <w:jc w:val="both"/>
      </w:pPr>
      <w:r>
        <w:rPr>
          <w:rFonts w:ascii="Times New Roman" w:hAnsi="Times New Roman" w:cs="Times New Roman" w:eastAsia="Times New Roman"/>
          <w:color w:val="000000"/>
          <w:sz w:val="22"/>
        </w:rPr>
        <w:t>They ran a sensitivity check that is worth noting as method: they re-ran the model excluding the industry with the highest average reputation and again excluding the industry closest to the sample average. Results held both times.</w:t>
      </w:r>
    </w:p>
    <w:p>
      <w:pPr>
        <w:pStyle w:val="Heading2"/>
      </w:pPr>
      <w:r>
        <w:rPr>
          <w:rFonts w:ascii="Times New Roman" w:hAnsi="Times New Roman" w:cs="Times New Roman" w:eastAsia="Times New Roman"/>
          <w:b/>
          <w:color w:val="000000"/>
          <w:sz w:val="24"/>
        </w:rPr>
        <w:t>What I take from it</w:t>
      </w:r>
    </w:p>
    <w:p>
      <w:pPr>
        <w:spacing w:line="276" w:lineRule="auto" w:after="160"/>
        <w:jc w:val="both"/>
      </w:pPr>
      <w:r>
        <w:rPr>
          <w:rFonts w:ascii="Times New Roman" w:hAnsi="Times New Roman" w:cs="Times New Roman" w:eastAsia="Times New Roman"/>
          <w:color w:val="000000"/>
          <w:sz w:val="22"/>
        </w:rPr>
        <w:t xml:space="preserve">The headline contribution is that </w:t>
      </w:r>
      <w:r>
        <w:rPr>
          <w:rFonts w:ascii="Times New Roman" w:hAnsi="Times New Roman" w:cs="Times New Roman" w:eastAsia="Times New Roman"/>
          <w:b/>
          <w:i w:val="0"/>
          <w:color w:val="000000"/>
          <w:sz w:val="22"/>
        </w:rPr>
        <w:t>institutional theory should complement signaling theory</w:t>
      </w:r>
      <w:r>
        <w:rPr>
          <w:rFonts w:ascii="Times New Roman" w:hAnsi="Times New Roman" w:cs="Times New Roman" w:eastAsia="Times New Roman"/>
          <w:color w:val="000000"/>
          <w:sz w:val="22"/>
        </w:rPr>
        <w:t xml:space="preserve"> in cross-national reputation work. The transferable move is smaller and more useful to me: they argue that in a cross-national study the relevant comparison group is not the same in every country. That is precisely the problem in my own feasibility argument, where a panel's coverage of a specialist population is being compared across frames that are not equivalent.</w:t>
      </w:r>
    </w:p>
    <w:p>
      <w:pPr>
        <w:pStyle w:val="Heading1"/>
      </w:pPr>
      <w:r>
        <w:rPr>
          <w:rFonts w:ascii="Times New Roman" w:hAnsi="Times New Roman" w:cs="Times New Roman" w:eastAsia="Times New Roman"/>
          <w:b/>
          <w:color w:val="000000"/>
          <w:sz w:val="28"/>
        </w:rPr>
        <w:t>2. Fainshmidt, Judge, Aguilera &amp; Smith (2018)</w:t>
      </w:r>
    </w:p>
    <w:p>
      <w:pPr>
        <w:spacing w:line="276" w:lineRule="auto" w:after="160"/>
        <w:jc w:val="both"/>
      </w:pPr>
      <w:r>
        <w:rPr>
          <w:rFonts w:ascii="Times New Roman" w:hAnsi="Times New Roman" w:cs="Times New Roman" w:eastAsia="Times New Roman"/>
          <w:color w:val="000000"/>
          <w:sz w:val="22"/>
        </w:rPr>
        <w:t>Varieties of institutional systems: A contextual taxonomy of understudied countries. Journal of World Business, 53(3), 307-322.</w:t>
      </w:r>
    </w:p>
    <w:p>
      <w:pPr>
        <w:spacing w:line="276" w:lineRule="auto" w:after="160"/>
        <w:jc w:val="both"/>
      </w:pPr>
      <w:r>
        <w:rPr>
          <w:rFonts w:ascii="Times New Roman" w:hAnsi="Times New Roman" w:cs="Times New Roman" w:eastAsia="Times New Roman"/>
          <w:b/>
          <w:i w:val="0"/>
          <w:color w:val="000000"/>
          <w:sz w:val="22"/>
        </w:rPr>
        <w:t>Fainshmidt is at FIU. This is the paper that changes my H2.</w:t>
      </w:r>
    </w:p>
    <w:p>
      <w:pPr>
        <w:pStyle w:val="Heading2"/>
      </w:pPr>
      <w:r>
        <w:rPr>
          <w:rFonts w:ascii="Times New Roman" w:hAnsi="Times New Roman" w:cs="Times New Roman" w:eastAsia="Times New Roman"/>
          <w:b/>
          <w:color w:val="000000"/>
          <w:sz w:val="24"/>
        </w:rPr>
        <w:t>The gap</w:t>
      </w:r>
    </w:p>
    <w:p>
      <w:pPr>
        <w:spacing w:line="276" w:lineRule="auto" w:after="160"/>
        <w:jc w:val="both"/>
      </w:pPr>
      <w:r>
        <w:rPr>
          <w:rFonts w:ascii="Times New Roman" w:hAnsi="Times New Roman" w:cs="Times New Roman" w:eastAsia="Times New Roman"/>
          <w:color w:val="000000"/>
          <w:sz w:val="22"/>
        </w:rPr>
        <w:t>The two dominant frameworks are Varieties of Capitalism, which sorts advanced economies into liberal and coordinated market economies, and National Business Systems. Between them they leave most of Africa, the Middle East, Eastern Europe, Latin America and Asia unclassified.</w:t>
      </w:r>
    </w:p>
    <w:p>
      <w:pPr>
        <w:pStyle w:val="Heading2"/>
      </w:pPr>
      <w:r>
        <w:rPr>
          <w:rFonts w:ascii="Times New Roman" w:hAnsi="Times New Roman" w:cs="Times New Roman" w:eastAsia="Times New Roman"/>
          <w:b/>
          <w:color w:val="000000"/>
          <w:sz w:val="24"/>
        </w:rPr>
        <w:t>Design</w:t>
      </w:r>
    </w:p>
    <w:p>
      <w:pPr>
        <w:spacing w:line="276" w:lineRule="auto" w:after="160"/>
        <w:jc w:val="both"/>
      </w:pPr>
      <w:r>
        <w:rPr>
          <w:rFonts w:ascii="Times New Roman" w:hAnsi="Times New Roman" w:cs="Times New Roman" w:eastAsia="Times New Roman"/>
          <w:color w:val="000000"/>
          <w:sz w:val="22"/>
        </w:rPr>
        <w:t xml:space="preserve">Qualitative data solicited from country experts to build institutional profiles of </w:t>
      </w:r>
      <w:r>
        <w:rPr>
          <w:rFonts w:ascii="Times New Roman" w:hAnsi="Times New Roman" w:cs="Times New Roman" w:eastAsia="Times New Roman"/>
          <w:b/>
          <w:i w:val="0"/>
          <w:color w:val="000000"/>
          <w:sz w:val="22"/>
        </w:rPr>
        <w:t>68 economies</w:t>
      </w:r>
      <w:r>
        <w:rPr>
          <w:rFonts w:ascii="Times New Roman" w:hAnsi="Times New Roman" w:cs="Times New Roman" w:eastAsia="Times New Roman"/>
          <w:color w:val="000000"/>
          <w:sz w:val="22"/>
        </w:rPr>
        <w:t xml:space="preserve"> across </w:t>
      </w:r>
      <w:r>
        <w:rPr>
          <w:rFonts w:ascii="Times New Roman" w:hAnsi="Times New Roman" w:cs="Times New Roman" w:eastAsia="Times New Roman"/>
          <w:b/>
          <w:i w:val="0"/>
          <w:color w:val="000000"/>
          <w:sz w:val="22"/>
        </w:rPr>
        <w:t>13 institutional elements</w:t>
      </w:r>
      <w:r>
        <w:rPr>
          <w:rFonts w:ascii="Times New Roman" w:hAnsi="Times New Roman" w:cs="Times New Roman" w:eastAsia="Times New Roman"/>
          <w:color w:val="000000"/>
          <w:sz w:val="22"/>
        </w:rPr>
        <w:t>, organised under five dimensions: the state, financial markets, human capital, social capital, and corporate governance. Profiles were then submitted to a two-step cluster analysis.</w:t>
      </w:r>
    </w:p>
    <w:p>
      <w:pPr>
        <w:pStyle w:val="Heading2"/>
      </w:pPr>
      <w:r>
        <w:rPr>
          <w:rFonts w:ascii="Times New Roman" w:hAnsi="Times New Roman" w:cs="Times New Roman" w:eastAsia="Times New Roman"/>
          <w:b/>
          <w:color w:val="000000"/>
          <w:sz w:val="24"/>
        </w:rPr>
        <w:t>The seven types</w:t>
      </w:r>
    </w:p>
    <w:p>
      <w:pPr>
        <w:spacing w:line="276" w:lineRule="auto" w:after="160"/>
        <w:jc w:val="both"/>
      </w:pPr>
      <w:r>
        <w:rPr>
          <w:rFonts w:ascii="Times New Roman" w:hAnsi="Times New Roman" w:cs="Times New Roman" w:eastAsia="Times New Roman"/>
          <w:color w:val="000000"/>
          <w:sz w:val="22"/>
        </w:rPr>
        <w:t xml:space="preserve">State-Led · Fragmented with a Fragile State · Family-Led · Centralized Tribe · Emergent LME · Collaborative Agglomerations · Hierarchically Coordinated. They label the taxonomy </w:t>
      </w:r>
      <w:r>
        <w:rPr>
          <w:rFonts w:ascii="Times New Roman" w:hAnsi="Times New Roman" w:cs="Times New Roman" w:eastAsia="Times New Roman"/>
          <w:b/>
          <w:i w:val="0"/>
          <w:color w:val="000000"/>
          <w:sz w:val="22"/>
        </w:rPr>
        <w:t>Varieties of Institutional Systems</w:t>
      </w:r>
      <w:r>
        <w:rPr>
          <w:rFonts w:ascii="Times New Roman" w:hAnsi="Times New Roman" w:cs="Times New Roman" w:eastAsia="Times New Roman"/>
          <w:color w:val="000000"/>
          <w:sz w:val="22"/>
        </w:rPr>
        <w:t>.</w:t>
      </w:r>
    </w:p>
    <w:p>
      <w:pPr>
        <w:spacing w:line="276" w:lineRule="auto" w:after="160"/>
        <w:jc w:val="both"/>
      </w:pPr>
      <w:r>
        <w:rPr>
          <w:rFonts w:ascii="Times New Roman" w:hAnsi="Times New Roman" w:cs="Times New Roman" w:eastAsia="Times New Roman"/>
          <w:color w:val="000000"/>
          <w:sz w:val="22"/>
        </w:rPr>
        <w:t xml:space="preserve">The state is coded on more than presence or absence. Each type carries a state character: </w:t>
      </w:r>
      <w:r>
        <w:rPr>
          <w:rFonts w:ascii="Times New Roman" w:hAnsi="Times New Roman" w:cs="Times New Roman" w:eastAsia="Times New Roman"/>
          <w:b/>
          <w:i w:val="0"/>
          <w:color w:val="000000"/>
          <w:sz w:val="22"/>
        </w:rPr>
        <w:t>predatory, developmental, welfare, or regulatory</w:t>
      </w:r>
      <w:r>
        <w:rPr>
          <w:rFonts w:ascii="Times New Roman" w:hAnsi="Times New Roman" w:cs="Times New Roman" w:eastAsia="Times New Roman"/>
          <w:color w:val="000000"/>
          <w:sz w:val="22"/>
        </w:rPr>
        <w:t>, alongside separate measures of direct dominance and indirect intervention. Countries can and do exhibit more than one.</w:t>
      </w:r>
    </w:p>
    <w:p>
      <w:pPr>
        <w:pStyle w:val="Heading2"/>
      </w:pPr>
      <w:r>
        <w:rPr>
          <w:rFonts w:ascii="Times New Roman" w:hAnsi="Times New Roman" w:cs="Times New Roman" w:eastAsia="Times New Roman"/>
          <w:b/>
          <w:color w:val="000000"/>
          <w:sz w:val="24"/>
        </w:rPr>
        <w:t>What I take from it, and it is the most useful thing in the set</w:t>
      </w:r>
    </w:p>
    <w:p>
      <w:pPr>
        <w:spacing w:line="276" w:lineRule="auto" w:after="160"/>
        <w:jc w:val="both"/>
      </w:pPr>
      <w:r>
        <w:rPr>
          <w:rFonts w:ascii="Times New Roman" w:hAnsi="Times New Roman" w:cs="Times New Roman" w:eastAsia="Times New Roman"/>
          <w:color w:val="000000"/>
          <w:sz w:val="22"/>
        </w:rPr>
        <w:t>My GEB 7365 hypothesis H2 says a commercial research panel should be home-region bound, because its entire product is a downstream asset and downstream advantages are location-bound. I have been operationalising region on the triad classification Rugman and Verbeke use.</w:t>
      </w:r>
    </w:p>
    <w:p>
      <w:pPr>
        <w:spacing w:line="276" w:lineRule="auto" w:after="160"/>
        <w:jc w:val="both"/>
      </w:pPr>
      <w:r>
        <w:rPr>
          <w:rFonts w:ascii="Times New Roman" w:hAnsi="Times New Roman" w:cs="Times New Roman" w:eastAsia="Times New Roman"/>
          <w:b/>
          <w:i w:val="0"/>
          <w:color w:val="000000"/>
          <w:sz w:val="22"/>
        </w:rPr>
        <w:t>Fainshmidt suggests the triad may be the wrong unit.</w:t>
      </w:r>
      <w:r>
        <w:rPr>
          <w:rFonts w:ascii="Times New Roman" w:hAnsi="Times New Roman" w:cs="Times New Roman" w:eastAsia="Times New Roman"/>
          <w:color w:val="000000"/>
          <w:sz w:val="22"/>
        </w:rPr>
        <w:t xml:space="preserve"> If what actually determines whether a panel can recruit a specialist professional population is the configuration of human capital institutions, social capital and the character of the state, then two countries in the same triad region can differ more than two countries across regions. Testing H2 against seven institutional system types rather than three geographic regions is a sharper design, and it is defensible rather than convenient because the taxonomy already exists and was built for exactly the economies a panel is least likely to cover.</w:t>
      </w:r>
    </w:p>
    <w:p>
      <w:pPr>
        <w:pStyle w:val="Heading1"/>
      </w:pPr>
      <w:r>
        <w:rPr>
          <w:rFonts w:ascii="Times New Roman" w:hAnsi="Times New Roman" w:cs="Times New Roman" w:eastAsia="Times New Roman"/>
          <w:b/>
          <w:color w:val="000000"/>
          <w:sz w:val="28"/>
        </w:rPr>
        <w:t>3. Cuervo-Cazurra, Gaur &amp; Singh (2019)</w:t>
      </w:r>
    </w:p>
    <w:p>
      <w:pPr>
        <w:spacing w:line="276" w:lineRule="auto" w:after="160"/>
        <w:jc w:val="both"/>
      </w:pPr>
      <w:r>
        <w:rPr>
          <w:rFonts w:ascii="Times New Roman" w:hAnsi="Times New Roman" w:cs="Times New Roman" w:eastAsia="Times New Roman"/>
          <w:color w:val="000000"/>
          <w:sz w:val="22"/>
        </w:rPr>
        <w:t>Pro-market institutions and global strategy: The pendulum of pro-market reforms and reversals. Journal of International Business Studies, 50(4), 598-632.</w:t>
      </w:r>
    </w:p>
    <w:p>
      <w:pPr>
        <w:pStyle w:val="Heading2"/>
      </w:pPr>
      <w:r>
        <w:rPr>
          <w:rFonts w:ascii="Times New Roman" w:hAnsi="Times New Roman" w:cs="Times New Roman" w:eastAsia="Times New Roman"/>
          <w:b/>
          <w:color w:val="000000"/>
          <w:sz w:val="24"/>
        </w:rPr>
        <w:t>The argument</w:t>
      </w:r>
    </w:p>
    <w:p>
      <w:pPr>
        <w:spacing w:line="276" w:lineRule="auto" w:after="160"/>
        <w:jc w:val="both"/>
      </w:pPr>
      <w:r>
        <w:rPr>
          <w:rFonts w:ascii="Times New Roman" w:hAnsi="Times New Roman" w:cs="Times New Roman" w:eastAsia="Times New Roman"/>
          <w:color w:val="000000"/>
          <w:sz w:val="22"/>
        </w:rPr>
        <w:t xml:space="preserve">A review of how pro-market institutions affect firms' global strategy. Their organising idea is that the ideological tension over whether the government or the market should drive economic development produces a </w:t>
      </w:r>
      <w:r>
        <w:rPr>
          <w:rFonts w:ascii="Times New Roman" w:hAnsi="Times New Roman" w:cs="Times New Roman" w:eastAsia="Times New Roman"/>
          <w:b/>
          <w:i w:val="0"/>
          <w:color w:val="000000"/>
          <w:sz w:val="22"/>
        </w:rPr>
        <w:t>pendulum</w:t>
      </w:r>
      <w:r>
        <w:rPr>
          <w:rFonts w:ascii="Times New Roman" w:hAnsi="Times New Roman" w:cs="Times New Roman" w:eastAsia="Times New Roman"/>
          <w:color w:val="000000"/>
          <w:sz w:val="22"/>
        </w:rPr>
        <w:t>: pro-market reforms, and then reversals. Institutional change is not a ratchet that only tightens in one direction, which is how much of the literature has implicitly treated it.</w:t>
      </w:r>
    </w:p>
    <w:p>
      <w:pPr>
        <w:pStyle w:val="Heading2"/>
      </w:pPr>
      <w:r>
        <w:rPr>
          <w:rFonts w:ascii="Times New Roman" w:hAnsi="Times New Roman" w:cs="Times New Roman" w:eastAsia="Times New Roman"/>
          <w:b/>
          <w:color w:val="000000"/>
          <w:sz w:val="24"/>
        </w:rPr>
        <w:t>The four gaps they name</w:t>
      </w:r>
    </w:p>
    <w:p>
      <w:pPr>
        <w:pStyle w:val="ListBullet"/>
        <w:spacing w:line="276" w:lineRule="auto"/>
      </w:pPr>
      <w:r>
        <w:rPr>
          <w:rFonts w:ascii="Times New Roman" w:hAnsi="Times New Roman" w:cs="Times New Roman" w:eastAsia="Times New Roman"/>
          <w:color w:val="000000"/>
          <w:sz w:val="22"/>
        </w:rPr>
        <w:t>The concept of pro-market institutions itself: the variety of institutional dimensions, how they are measured, and the influence of informal institutions on firm strategy.</w:t>
      </w:r>
    </w:p>
    <w:p>
      <w:pPr>
        <w:pStyle w:val="ListBullet"/>
        <w:spacing w:line="276" w:lineRule="auto"/>
      </w:pPr>
      <w:r>
        <w:rPr>
          <w:rFonts w:ascii="Times New Roman" w:hAnsi="Times New Roman" w:cs="Times New Roman" w:eastAsia="Times New Roman"/>
          <w:color w:val="000000"/>
          <w:sz w:val="22"/>
        </w:rPr>
        <w:t>What drives institutional change, especially firms' own influence on it and the co-evolution of firm strategies with institutions.</w:t>
      </w:r>
    </w:p>
    <w:p>
      <w:pPr>
        <w:pStyle w:val="ListBullet"/>
        <w:spacing w:line="276" w:lineRule="auto"/>
      </w:pPr>
      <w:r>
        <w:rPr>
          <w:rFonts w:ascii="Times New Roman" w:hAnsi="Times New Roman" w:cs="Times New Roman" w:eastAsia="Times New Roman"/>
          <w:color w:val="000000"/>
          <w:sz w:val="22"/>
        </w:rPr>
        <w:t>How changes in reform interact with integration, diversification and internationalization strategies, the causality chains involved, and the global reconfiguration of activities.</w:t>
      </w:r>
    </w:p>
    <w:p>
      <w:pPr>
        <w:pStyle w:val="ListBullet"/>
        <w:spacing w:line="276" w:lineRule="auto"/>
      </w:pPr>
      <w:r>
        <w:rPr>
          <w:rFonts w:ascii="Times New Roman" w:hAnsi="Times New Roman" w:cs="Times New Roman" w:eastAsia="Times New Roman"/>
          <w:color w:val="000000"/>
          <w:sz w:val="22"/>
        </w:rPr>
        <w:t>Non-traditional moderators that alter the impact of pro-market institutional change.</w:t>
      </w:r>
    </w:p>
    <w:p>
      <w:pPr>
        <w:pStyle w:val="Heading2"/>
      </w:pPr>
      <w:r>
        <w:rPr>
          <w:rFonts w:ascii="Times New Roman" w:hAnsi="Times New Roman" w:cs="Times New Roman" w:eastAsia="Times New Roman"/>
          <w:b/>
          <w:color w:val="000000"/>
          <w:sz w:val="24"/>
        </w:rPr>
        <w:t>What I take from it</w:t>
      </w:r>
    </w:p>
    <w:p>
      <w:pPr>
        <w:spacing w:line="276" w:lineRule="auto" w:after="160"/>
        <w:jc w:val="both"/>
      </w:pPr>
      <w:r>
        <w:rPr>
          <w:rFonts w:ascii="Times New Roman" w:hAnsi="Times New Roman" w:cs="Times New Roman" w:eastAsia="Times New Roman"/>
          <w:color w:val="000000"/>
          <w:sz w:val="22"/>
        </w:rPr>
        <w:t>The reversal point has a direct methodological consequence that they do not draw. If institutions swing, then a cross-national dataset assembled over several years is not measuring a stable context; it is measuring several. Harzing's response rates are from one period. Treating them as a country characteristic rather than a period characteristic is the level-of-analysis error my own H4 exists to test.</w:t>
      </w:r>
    </w:p>
    <w:p>
      <w:pPr>
        <w:pStyle w:val="Heading1"/>
      </w:pPr>
      <w:r>
        <w:rPr>
          <w:rFonts w:ascii="Times New Roman" w:hAnsi="Times New Roman" w:cs="Times New Roman" w:eastAsia="Times New Roman"/>
          <w:b/>
          <w:color w:val="000000"/>
          <w:sz w:val="28"/>
        </w:rPr>
        <w:t>4. House, Javidan, Hanges &amp; Dorfman (2002)</w:t>
      </w:r>
    </w:p>
    <w:p>
      <w:pPr>
        <w:spacing w:line="276" w:lineRule="auto" w:after="160"/>
        <w:jc w:val="both"/>
      </w:pPr>
      <w:r>
        <w:rPr>
          <w:rFonts w:ascii="Times New Roman" w:hAnsi="Times New Roman" w:cs="Times New Roman" w:eastAsia="Times New Roman"/>
          <w:color w:val="000000"/>
          <w:sz w:val="22"/>
        </w:rPr>
        <w:t>Understanding cultures and implicit leadership theories across the globe: an introduction to project GLOBE. Journal of World Business, 37(1), 3-10.</w:t>
      </w:r>
    </w:p>
    <w:p>
      <w:pPr>
        <w:pStyle w:val="Heading2"/>
      </w:pPr>
      <w:r>
        <w:rPr>
          <w:rFonts w:ascii="Times New Roman" w:hAnsi="Times New Roman" w:cs="Times New Roman" w:eastAsia="Times New Roman"/>
          <w:b/>
          <w:color w:val="000000"/>
          <w:sz w:val="24"/>
        </w:rPr>
        <w:t>Scale</w:t>
      </w:r>
    </w:p>
    <w:p>
      <w:pPr>
        <w:spacing w:line="276" w:lineRule="auto" w:after="160"/>
        <w:jc w:val="both"/>
      </w:pPr>
      <w:r>
        <w:rPr>
          <w:rFonts w:ascii="Times New Roman" w:hAnsi="Times New Roman" w:cs="Times New Roman" w:eastAsia="Times New Roman"/>
          <w:b/>
          <w:i w:val="0"/>
          <w:color w:val="000000"/>
          <w:sz w:val="22"/>
        </w:rPr>
        <w:t>61 nations.</w:t>
      </w:r>
      <w:r>
        <w:rPr>
          <w:rFonts w:ascii="Times New Roman" w:hAnsi="Times New Roman" w:cs="Times New Roman" w:eastAsia="Times New Roman"/>
          <w:color w:val="000000"/>
          <w:sz w:val="22"/>
        </w:rPr>
        <w:t xml:space="preserve"> Thousands of middle managers surveyed, in three industries chosen for comparability: food processing, finance, and telecommunications.</w:t>
      </w:r>
    </w:p>
    <w:p>
      <w:pPr>
        <w:pStyle w:val="Heading2"/>
      </w:pPr>
      <w:r>
        <w:rPr>
          <w:rFonts w:ascii="Times New Roman" w:hAnsi="Times New Roman" w:cs="Times New Roman" w:eastAsia="Times New Roman"/>
          <w:b/>
          <w:color w:val="000000"/>
          <w:sz w:val="24"/>
        </w:rPr>
        <w:t>Nine cultural dimensions</w:t>
      </w:r>
    </w:p>
    <w:p>
      <w:pPr>
        <w:spacing w:line="276" w:lineRule="auto" w:after="160"/>
        <w:jc w:val="both"/>
      </w:pPr>
      <w:r>
        <w:rPr>
          <w:rFonts w:ascii="Times New Roman" w:hAnsi="Times New Roman" w:cs="Times New Roman" w:eastAsia="Times New Roman"/>
          <w:color w:val="000000"/>
          <w:sz w:val="22"/>
        </w:rPr>
        <w:t>Performance orientation · future orientation · assertiveness · power distance · humane orientation · institutional collectivism · in-group collectivism · uncertainty avoidance · gender egalitarianism.</w:t>
      </w:r>
    </w:p>
    <w:p>
      <w:pPr>
        <w:pStyle w:val="Heading2"/>
      </w:pPr>
      <w:r>
        <w:rPr>
          <w:rFonts w:ascii="Times New Roman" w:hAnsi="Times New Roman" w:cs="Times New Roman" w:eastAsia="Times New Roman"/>
          <w:b/>
          <w:color w:val="000000"/>
          <w:sz w:val="24"/>
        </w:rPr>
        <w:t>Six leadership dimensions, and the split that matters</w:t>
      </w:r>
    </w:p>
    <w:p>
      <w:pPr>
        <w:spacing w:line="276" w:lineRule="auto" w:after="160"/>
        <w:jc w:val="both"/>
      </w:pPr>
      <w:r>
        <w:rPr>
          <w:rFonts w:ascii="Times New Roman" w:hAnsi="Times New Roman" w:cs="Times New Roman" w:eastAsia="Times New Roman"/>
          <w:color w:val="000000"/>
          <w:sz w:val="22"/>
        </w:rPr>
        <w:t xml:space="preserve">They identify six global leader behaviour dimensions, empirically derived from a large pool of items rather than from a priori scales, and report that respondents in every culture could complete them. The distribution of endorsement is the finding: </w:t>
      </w:r>
      <w:r>
        <w:rPr>
          <w:rFonts w:ascii="Times New Roman" w:hAnsi="Times New Roman" w:cs="Times New Roman" w:eastAsia="Times New Roman"/>
          <w:b/>
          <w:i w:val="0"/>
          <w:color w:val="000000"/>
          <w:sz w:val="22"/>
        </w:rPr>
        <w:t>two are universally seen as contributing to effective leadership, one is nearly universally endorsed, one is nearly universally seen as an impediment, and the remaining two vary by culture.</w:t>
      </w:r>
    </w:p>
    <w:p>
      <w:pPr>
        <w:spacing w:line="276" w:lineRule="auto" w:after="160"/>
        <w:jc w:val="both"/>
      </w:pPr>
      <w:r>
        <w:rPr>
          <w:rFonts w:ascii="Times New Roman" w:hAnsi="Times New Roman" w:cs="Times New Roman" w:eastAsia="Times New Roman"/>
          <w:color w:val="000000"/>
          <w:sz w:val="22"/>
        </w:rPr>
        <w:t>The construct underneath is the culturally endorsed implicit leadership theory, or CLT. Items ask whether an attribute impedes or facilitates outstanding leadership on a seven-point scale.</w:t>
      </w:r>
    </w:p>
    <w:p>
      <w:pPr>
        <w:pStyle w:val="Heading2"/>
      </w:pPr>
      <w:r>
        <w:rPr>
          <w:rFonts w:ascii="Times New Roman" w:hAnsi="Times New Roman" w:cs="Times New Roman" w:eastAsia="Times New Roman"/>
          <w:b/>
          <w:color w:val="000000"/>
          <w:sz w:val="24"/>
        </w:rPr>
        <w:t>The theoretical base</w:t>
      </w:r>
    </w:p>
    <w:p>
      <w:pPr>
        <w:spacing w:line="276" w:lineRule="auto" w:after="160"/>
        <w:jc w:val="both"/>
      </w:pPr>
      <w:r>
        <w:rPr>
          <w:rFonts w:ascii="Times New Roman" w:hAnsi="Times New Roman" w:cs="Times New Roman" w:eastAsia="Times New Roman"/>
          <w:color w:val="000000"/>
          <w:sz w:val="22"/>
        </w:rPr>
        <w:t>An integration of implicit leadership theory, Hofstede's value and belief theory of culture, implicit motivation theory, and structural contingency theory. The central proposition is that the attributes distinguishing a culture predict the organizational practices and the leader attributes most frequently enacted, acceptable and effective in that culture.</w:t>
      </w:r>
    </w:p>
    <w:p>
      <w:pPr>
        <w:pStyle w:val="Heading2"/>
      </w:pPr>
      <w:r>
        <w:rPr>
          <w:rFonts w:ascii="Times New Roman" w:hAnsi="Times New Roman" w:cs="Times New Roman" w:eastAsia="Times New Roman"/>
          <w:b/>
          <w:color w:val="000000"/>
          <w:sz w:val="24"/>
        </w:rPr>
        <w:t>What I take from it</w:t>
      </w:r>
    </w:p>
    <w:p>
      <w:pPr>
        <w:spacing w:line="276" w:lineRule="auto" w:after="160"/>
        <w:jc w:val="both"/>
      </w:pPr>
      <w:r>
        <w:rPr>
          <w:rFonts w:ascii="Times New Roman" w:hAnsi="Times New Roman" w:cs="Times New Roman" w:eastAsia="Times New Roman"/>
          <w:color w:val="000000"/>
          <w:sz w:val="22"/>
        </w:rPr>
        <w:t>Mostly a caution. Four of six leadership dimensions are near-universal, which means culture explains less of leadership than the framing suggests. A nine-dimensional instrument that returns mostly universals is a useful reminder that measuring more dimensions is not the same as finding more variation.</w:t>
      </w:r>
    </w:p>
    <w:p>
      <w:pPr>
        <w:pStyle w:val="Heading1"/>
      </w:pPr>
      <w:r>
        <w:rPr>
          <w:rFonts w:ascii="Times New Roman" w:hAnsi="Times New Roman" w:cs="Times New Roman" w:eastAsia="Times New Roman"/>
          <w:b/>
          <w:color w:val="000000"/>
          <w:sz w:val="28"/>
        </w:rPr>
        <w:t>5. Samiee, Leonidou, Katsikeas &amp; Aykol (2024)</w:t>
      </w:r>
    </w:p>
    <w:p>
      <w:pPr>
        <w:spacing w:line="276" w:lineRule="auto" w:after="160"/>
        <w:jc w:val="both"/>
      </w:pPr>
      <w:r>
        <w:rPr>
          <w:rFonts w:ascii="Times New Roman" w:hAnsi="Times New Roman" w:cs="Times New Roman" w:eastAsia="Times New Roman"/>
          <w:color w:val="000000"/>
          <w:sz w:val="22"/>
        </w:rPr>
        <w:t>Research on country-of-origin perceptions: review, critical assessment, and the path forward. Journal of International Business Studies, 55(3), 285-302.</w:t>
      </w:r>
    </w:p>
    <w:p>
      <w:pPr>
        <w:pStyle w:val="Heading2"/>
      </w:pPr>
      <w:r>
        <w:rPr>
          <w:rFonts w:ascii="Times New Roman" w:hAnsi="Times New Roman" w:cs="Times New Roman" w:eastAsia="Times New Roman"/>
          <w:b/>
          <w:color w:val="000000"/>
          <w:sz w:val="24"/>
        </w:rPr>
        <w:t>Scope</w:t>
      </w:r>
    </w:p>
    <w:p>
      <w:pPr>
        <w:spacing w:line="276" w:lineRule="auto" w:after="160"/>
        <w:jc w:val="both"/>
      </w:pPr>
      <w:r>
        <w:rPr>
          <w:rFonts w:ascii="Times New Roman" w:hAnsi="Times New Roman" w:cs="Times New Roman" w:eastAsia="Times New Roman"/>
          <w:b/>
          <w:i w:val="0"/>
          <w:color w:val="000000"/>
          <w:sz w:val="22"/>
        </w:rPr>
        <w:t>417 journal articles reporting 551 studies, published between 1962 and 2022</w:t>
      </w:r>
      <w:r>
        <w:rPr>
          <w:rFonts w:ascii="Times New Roman" w:hAnsi="Times New Roman" w:cs="Times New Roman" w:eastAsia="Times New Roman"/>
          <w:color w:val="000000"/>
          <w:sz w:val="22"/>
        </w:rPr>
        <w:t>, with the substantive contributions of the 50 most influential publications summarised. Business-to-consumer country-of-origin literature only.</w:t>
      </w:r>
    </w:p>
    <w:p>
      <w:pPr>
        <w:pStyle w:val="Heading2"/>
      </w:pPr>
      <w:r>
        <w:rPr>
          <w:rFonts w:ascii="Times New Roman" w:hAnsi="Times New Roman" w:cs="Times New Roman" w:eastAsia="Times New Roman"/>
          <w:b/>
          <w:color w:val="000000"/>
          <w:sz w:val="24"/>
        </w:rPr>
        <w:t>The two problems they name</w:t>
      </w:r>
    </w:p>
    <w:p>
      <w:pPr>
        <w:spacing w:line="276" w:lineRule="auto" w:after="160"/>
        <w:jc w:val="both"/>
      </w:pPr>
      <w:r>
        <w:rPr>
          <w:rFonts w:ascii="Times New Roman" w:hAnsi="Times New Roman" w:cs="Times New Roman" w:eastAsia="Times New Roman"/>
          <w:color w:val="000000"/>
          <w:sz w:val="22"/>
        </w:rPr>
        <w:t xml:space="preserve">First, the area carries persistent </w:t>
      </w:r>
      <w:r>
        <w:rPr>
          <w:rFonts w:ascii="Times New Roman" w:hAnsi="Times New Roman" w:cs="Times New Roman" w:eastAsia="Times New Roman"/>
          <w:b/>
          <w:i w:val="0"/>
          <w:color w:val="000000"/>
          <w:sz w:val="22"/>
        </w:rPr>
        <w:t>tensions and contradictions</w:t>
      </w:r>
      <w:r>
        <w:rPr>
          <w:rFonts w:ascii="Times New Roman" w:hAnsi="Times New Roman" w:cs="Times New Roman" w:eastAsia="Times New Roman"/>
          <w:color w:val="000000"/>
          <w:sz w:val="22"/>
        </w:rPr>
        <w:t>. Second, it over-relies on relatively narrow theories that can neither explain the disparities nor capture the range of considerations in what they call the country-of-origin ecosystem.</w:t>
      </w:r>
    </w:p>
    <w:p>
      <w:pPr>
        <w:pStyle w:val="Heading2"/>
      </w:pPr>
      <w:r>
        <w:rPr>
          <w:rFonts w:ascii="Times New Roman" w:hAnsi="Times New Roman" w:cs="Times New Roman" w:eastAsia="Times New Roman"/>
          <w:b/>
          <w:color w:val="000000"/>
          <w:sz w:val="24"/>
        </w:rPr>
        <w:t>The unusual move</w:t>
      </w:r>
    </w:p>
    <w:p>
      <w:pPr>
        <w:spacing w:line="276" w:lineRule="auto" w:after="160"/>
        <w:jc w:val="both"/>
      </w:pPr>
      <w:r>
        <w:rPr>
          <w:rFonts w:ascii="Times New Roman" w:hAnsi="Times New Roman" w:cs="Times New Roman" w:eastAsia="Times New Roman"/>
          <w:color w:val="000000"/>
          <w:sz w:val="22"/>
        </w:rPr>
        <w:t xml:space="preserve">They ran </w:t>
      </w:r>
      <w:r>
        <w:rPr>
          <w:rFonts w:ascii="Times New Roman" w:hAnsi="Times New Roman" w:cs="Times New Roman" w:eastAsia="Times New Roman"/>
          <w:b/>
          <w:i w:val="0"/>
          <w:color w:val="000000"/>
          <w:sz w:val="22"/>
        </w:rPr>
        <w:t>two surveys</w:t>
      </w:r>
      <w:r>
        <w:rPr>
          <w:rFonts w:ascii="Times New Roman" w:hAnsi="Times New Roman" w:cs="Times New Roman" w:eastAsia="Times New Roman"/>
          <w:color w:val="000000"/>
          <w:sz w:val="22"/>
        </w:rPr>
        <w:t>, one of academic researchers and one of US exporters and importers, explicitly comparing what country of origin is taken to do in research against what practitioners believe it does. Reviewing a literature against the practitioners it claims to describe is uncommon and worth borrowing.</w:t>
      </w:r>
    </w:p>
    <w:p>
      <w:pPr>
        <w:pStyle w:val="Heading2"/>
      </w:pPr>
      <w:r>
        <w:rPr>
          <w:rFonts w:ascii="Times New Roman" w:hAnsi="Times New Roman" w:cs="Times New Roman" w:eastAsia="Times New Roman"/>
          <w:b/>
          <w:color w:val="000000"/>
          <w:sz w:val="24"/>
        </w:rPr>
        <w:t>The prescription</w:t>
      </w:r>
    </w:p>
    <w:p>
      <w:pPr>
        <w:spacing w:line="276" w:lineRule="auto" w:after="160"/>
        <w:jc w:val="both"/>
      </w:pPr>
      <w:r>
        <w:rPr>
          <w:rFonts w:ascii="Times New Roman" w:hAnsi="Times New Roman" w:cs="Times New Roman" w:eastAsia="Times New Roman"/>
          <w:color w:val="000000"/>
          <w:sz w:val="22"/>
        </w:rPr>
        <w:t xml:space="preserve">They propose </w:t>
      </w:r>
      <w:r>
        <w:rPr>
          <w:rFonts w:ascii="Times New Roman" w:hAnsi="Times New Roman" w:cs="Times New Roman" w:eastAsia="Times New Roman"/>
          <w:b/>
          <w:i w:val="0"/>
          <w:color w:val="000000"/>
          <w:sz w:val="22"/>
        </w:rPr>
        <w:t>paradox theory</w:t>
      </w:r>
      <w:r>
        <w:rPr>
          <w:rFonts w:ascii="Times New Roman" w:hAnsi="Times New Roman" w:cs="Times New Roman" w:eastAsia="Times New Roman"/>
          <w:color w:val="000000"/>
          <w:sz w:val="22"/>
        </w:rPr>
        <w:t xml:space="preserve"> as a lens capable of holding competing aspects of the ecosystem together rather than resolving them, and </w:t>
      </w:r>
      <w:r>
        <w:rPr>
          <w:rFonts w:ascii="Times New Roman" w:hAnsi="Times New Roman" w:cs="Times New Roman" w:eastAsia="Times New Roman"/>
          <w:b/>
          <w:i w:val="0"/>
          <w:color w:val="000000"/>
          <w:sz w:val="22"/>
        </w:rPr>
        <w:t>multilevel modelling</w:t>
      </w:r>
      <w:r>
        <w:rPr>
          <w:rFonts w:ascii="Times New Roman" w:hAnsi="Times New Roman" w:cs="Times New Roman" w:eastAsia="Times New Roman"/>
          <w:color w:val="000000"/>
          <w:sz w:val="22"/>
        </w:rPr>
        <w:t xml:space="preserve"> to connect studies to marketing strategy and performance outcomes.</w:t>
      </w:r>
    </w:p>
    <w:p>
      <w:pPr>
        <w:pStyle w:val="Heading2"/>
      </w:pPr>
      <w:r>
        <w:rPr>
          <w:rFonts w:ascii="Times New Roman" w:hAnsi="Times New Roman" w:cs="Times New Roman" w:eastAsia="Times New Roman"/>
          <w:b/>
          <w:color w:val="000000"/>
          <w:sz w:val="24"/>
        </w:rPr>
        <w:t>What I take from it</w:t>
      </w:r>
    </w:p>
    <w:p>
      <w:pPr>
        <w:spacing w:line="276" w:lineRule="auto" w:after="160"/>
        <w:jc w:val="both"/>
      </w:pPr>
      <w:r>
        <w:rPr>
          <w:rFonts w:ascii="Times New Roman" w:hAnsi="Times New Roman" w:cs="Times New Roman" w:eastAsia="Times New Roman"/>
          <w:color w:val="000000"/>
          <w:sz w:val="22"/>
        </w:rPr>
        <w:t>This is the same diagnosis Contractor, Kundu and Hsu made of the multinationality and performance literature, and the same one Lopez, Kundu and Ciravegna made of born globals: sixty years of work, contradictory findings, and a measurement problem underneath. The recurring shape across this course is that contradictory results usually indicate a construct doing work it cannot support, not a phenomenon that is genuinely inconsistent.</w:t>
      </w:r>
    </w:p>
    <w:p>
      <w:pPr>
        <w:pStyle w:val="Heading1"/>
      </w:pPr>
      <w:r>
        <w:rPr>
          <w:rFonts w:ascii="Times New Roman" w:hAnsi="Times New Roman" w:cs="Times New Roman" w:eastAsia="Times New Roman"/>
          <w:b/>
          <w:color w:val="000000"/>
          <w:sz w:val="28"/>
        </w:rPr>
        <w:t>What changes in my project</w:t>
      </w:r>
    </w:p>
    <w:p>
      <w:pPr>
        <w:spacing w:line="276" w:lineRule="auto" w:after="160"/>
        <w:jc w:val="both"/>
      </w:pPr>
      <w:r>
        <w:rPr>
          <w:rFonts w:ascii="Times New Roman" w:hAnsi="Times New Roman" w:cs="Times New Roman" w:eastAsia="Times New Roman"/>
          <w:b/>
          <w:i w:val="0"/>
          <w:color w:val="000000"/>
          <w:sz w:val="22"/>
        </w:rPr>
        <w:t>One substantive change and two smaller ones.</w:t>
      </w:r>
    </w:p>
    <w:p>
      <w:pPr>
        <w:spacing w:line="276" w:lineRule="auto" w:after="160"/>
        <w:jc w:val="both"/>
      </w:pPr>
      <w:r>
        <w:rPr>
          <w:rFonts w:ascii="Times New Roman" w:hAnsi="Times New Roman" w:cs="Times New Roman" w:eastAsia="Times New Roman"/>
          <w:b/>
          <w:i w:val="0"/>
          <w:color w:val="000000"/>
          <w:sz w:val="22"/>
        </w:rPr>
        <w:t>Substantive.</w:t>
      </w:r>
      <w:r>
        <w:rPr>
          <w:rFonts w:ascii="Times New Roman" w:hAnsi="Times New Roman" w:cs="Times New Roman" w:eastAsia="Times New Roman"/>
          <w:color w:val="000000"/>
          <w:sz w:val="22"/>
        </w:rPr>
        <w:t xml:space="preserve"> Test H2 against Fainshmidt's seven institutional system types as well as the triad. If panel coverage tracks institutional configuration rather than geography, that is a better finding than the one I set out to get, and the taxonomy needed to test it already exists.</w:t>
      </w:r>
    </w:p>
    <w:p>
      <w:pPr>
        <w:spacing w:line="276" w:lineRule="auto" w:after="160"/>
        <w:jc w:val="both"/>
      </w:pPr>
      <w:r>
        <w:rPr>
          <w:rFonts w:ascii="Times New Roman" w:hAnsi="Times New Roman" w:cs="Times New Roman" w:eastAsia="Times New Roman"/>
          <w:b/>
          <w:i w:val="0"/>
          <w:color w:val="000000"/>
          <w:sz w:val="22"/>
        </w:rPr>
        <w:t>Smaller.</w:t>
      </w:r>
      <w:r>
        <w:rPr>
          <w:rFonts w:ascii="Times New Roman" w:hAnsi="Times New Roman" w:cs="Times New Roman" w:eastAsia="Times New Roman"/>
          <w:color w:val="000000"/>
          <w:sz w:val="22"/>
        </w:rPr>
        <w:t xml:space="preserve"> Cuervo-Cazurra's pendulum means response rates should be dated as period observations, not country characteristics, which strengthens the caveat already in my limitations. And Deephouse's argument that the relevant comparison group differs by country is the cleanest statement I have found of why a single cross-national average conceals more than it reports, which is the same claim I make about overall response rates.</w:t>
      </w:r>
    </w:p>
    <w:p>
      <w:pPr>
        <w:pStyle w:val="Heading1"/>
      </w:pPr>
      <w:r>
        <w:rPr>
          <w:rFonts w:ascii="Times New Roman" w:hAnsi="Times New Roman" w:cs="Times New Roman" w:eastAsia="Times New Roman"/>
          <w:b/>
          <w:color w:val="000000"/>
          <w:sz w:val="28"/>
        </w:rPr>
        <w:t>References</w:t>
      </w:r>
    </w:p>
    <w:p>
      <w:pPr>
        <w:spacing w:line="276" w:lineRule="auto" w:after="160"/>
        <w:ind w:left="720" w:hanging="720"/>
        <w:jc w:val="both"/>
      </w:pPr>
      <w:r>
        <w:rPr>
          <w:rFonts w:ascii="Times New Roman" w:hAnsi="Times New Roman" w:cs="Times New Roman" w:eastAsia="Times New Roman"/>
          <w:color w:val="000000"/>
          <w:sz w:val="22"/>
        </w:rPr>
        <w:t>Cuervo-Cazurra, A., Gaur, A., &amp; Singh, D. (2019). Pro-market institutions and global strategy: The pendulum of pro-market reforms and reversals. Journal of International Business Studies, 50(4), 598-632.</w:t>
      </w:r>
    </w:p>
    <w:p>
      <w:pPr>
        <w:spacing w:line="276" w:lineRule="auto" w:after="160"/>
        <w:ind w:left="720" w:hanging="720"/>
        <w:jc w:val="both"/>
      </w:pPr>
      <w:r>
        <w:rPr>
          <w:rFonts w:ascii="Times New Roman" w:hAnsi="Times New Roman" w:cs="Times New Roman" w:eastAsia="Times New Roman"/>
          <w:color w:val="000000"/>
          <w:sz w:val="22"/>
        </w:rPr>
        <w:t>Deephouse, D. L., Newburry, W., &amp; Soleimani, A. (2016). The effects of institutional development and national culture on cross-national differences in corporate reputation. Journal of World Business, 51(4), 463-473.</w:t>
      </w:r>
    </w:p>
    <w:p>
      <w:pPr>
        <w:spacing w:line="276" w:lineRule="auto" w:after="160"/>
        <w:ind w:left="720" w:hanging="720"/>
        <w:jc w:val="both"/>
      </w:pPr>
      <w:r>
        <w:rPr>
          <w:rFonts w:ascii="Times New Roman" w:hAnsi="Times New Roman" w:cs="Times New Roman" w:eastAsia="Times New Roman"/>
          <w:color w:val="000000"/>
          <w:sz w:val="22"/>
        </w:rPr>
        <w:t>Fainshmidt, S., Judge, W. Q., Aguilera, R. V., &amp; Smith, A. (2018). Varieties of institutional systems: A contextual taxonomy of understudied countries. Journal of World Business, 53(3), 307-322.</w:t>
      </w:r>
    </w:p>
    <w:p>
      <w:pPr>
        <w:spacing w:line="276" w:lineRule="auto" w:after="160"/>
        <w:ind w:left="720" w:hanging="720"/>
        <w:jc w:val="both"/>
      </w:pPr>
      <w:r>
        <w:rPr>
          <w:rFonts w:ascii="Times New Roman" w:hAnsi="Times New Roman" w:cs="Times New Roman" w:eastAsia="Times New Roman"/>
          <w:color w:val="000000"/>
          <w:sz w:val="22"/>
        </w:rPr>
        <w:t>House, R., Javidan, M., Hanges, P., &amp; Dorfman, P. (2002). Understanding cultures and implicit leadership theories across the globe: an introduction to project GLOBE. Journal of World Business, 37(1), 3-10.</w:t>
      </w:r>
    </w:p>
    <w:p>
      <w:pPr>
        <w:spacing w:line="276" w:lineRule="auto" w:after="160"/>
        <w:ind w:left="720" w:hanging="720"/>
        <w:jc w:val="both"/>
      </w:pPr>
      <w:r>
        <w:rPr>
          <w:rFonts w:ascii="Times New Roman" w:hAnsi="Times New Roman" w:cs="Times New Roman" w:eastAsia="Times New Roman"/>
          <w:color w:val="000000"/>
          <w:sz w:val="22"/>
        </w:rPr>
        <w:t>Samiee, S., Leonidou, L. C., Katsikeas, C. S., &amp; Aykol, B. (2024). Research on country-of-origin perceptions: review, critical assessment, and the path forward. Journal of International Business Studies, 55(3), 285-302.</w:t>
      </w:r>
    </w:p>
    <w:p>
      <w:pPr>
        <w:pStyle w:val="Heading1"/>
      </w:pPr>
      <w:r>
        <w:rPr>
          <w:rFonts w:ascii="Times New Roman" w:hAnsi="Times New Roman" w:cs="Times New Roman" w:eastAsia="Times New Roman"/>
          <w:b/>
          <w:color w:val="000000"/>
          <w:sz w:val="28"/>
        </w:rPr>
        <w:t>Disclosure of Artificial Intelligence Use</w:t>
      </w:r>
    </w:p>
    <w:p>
      <w:pPr>
        <w:spacing w:line="276" w:lineRule="auto" w:after="160"/>
        <w:jc w:val="both"/>
      </w:pPr>
      <w:r>
        <w:rPr>
          <w:rFonts w:ascii="Times New Roman" w:hAnsi="Times New Roman" w:cs="Times New Roman" w:eastAsia="Times New Roman"/>
          <w:color w:val="000000"/>
          <w:sz w:val="22"/>
        </w:rPr>
        <w:t>Generative artificial intelligence (Claude, Anthropic) was used to extract and organise the summaries above from the five articles and to format this document. The selection of what mattered, the connections drawn to my own project, and the judgement about what changes in my design are my own. No confidential, identifiable, or restricted data was provided to any artificial intelligence system.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pPr>
    <w:rPr>
      <w:rFonts w:ascii="Times New Roman" w:hAnsi="Times New Roman" w:cs="Times New Roman" w:eastAsia="Times New Roman"/>
      <w:color w:val="000000"/>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Times New Roman" w:hAnsi="Times New Roman" w:cs="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Times New Roman" w:hAnsi="Times New Roman" w:cs="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cs="Times New Roman" w:eastAsia="Times New Roman"/>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Institutions and Culture: The Five Residency Readings</dc:title>
  <dc:subject>Detailed summaries and what each one changes for my project</dc:subject>
  <dc:creator>Yasir A. Malik</dc:creator>
  <cp:keywords/>
  <dc:description>generated by python-docx</dc:description>
  <cp:lastModifiedBy/>
  <cp:revision>1</cp:revision>
  <dcterms:created xsi:type="dcterms:W3CDTF">2013-12-23T23:15:00Z</dcterms:created>
  <dcterms:modified xsi:type="dcterms:W3CDTF">2013-12-23T23:15:00Z</dcterms:modified>
  <cp:category/>
</cp:coreProperties>
</file>