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6C52A6" w:rsidRDefault="00657883" w:rsidP="00D02999">
      <w:pPr>
        <w:jc w:val="both"/>
        <w:rPr>
          <w:rFonts w:asciiTheme="minorHAnsi" w:hAnsiTheme="minorHAnsi" w:cstheme="minorHAnsi"/>
        </w:rPr>
      </w:pPr>
    </w:p>
    <w:p w14:paraId="7415A3EE" w14:textId="703C2B27" w:rsidR="001705EC" w:rsidRPr="006C52A6" w:rsidRDefault="001705EC" w:rsidP="00D02999">
      <w:pPr>
        <w:jc w:val="both"/>
        <w:rPr>
          <w:rFonts w:asciiTheme="minorHAnsi" w:hAnsiTheme="minorHAnsi" w:cstheme="minorHAnsi"/>
          <w:sz w:val="44"/>
          <w:szCs w:val="44"/>
        </w:rPr>
      </w:pPr>
    </w:p>
    <w:p w14:paraId="7D3EE362" w14:textId="77777777" w:rsidR="001705EC" w:rsidRPr="006C52A6" w:rsidRDefault="001705EC" w:rsidP="00D02999">
      <w:pPr>
        <w:jc w:val="both"/>
        <w:rPr>
          <w:rFonts w:asciiTheme="minorHAnsi" w:hAnsiTheme="minorHAnsi" w:cstheme="minorHAnsi"/>
          <w:sz w:val="44"/>
          <w:szCs w:val="44"/>
        </w:rPr>
      </w:pPr>
    </w:p>
    <w:p w14:paraId="3D15C9EA" w14:textId="0F227E75" w:rsidR="006C52A6" w:rsidRPr="006C52A6" w:rsidRDefault="00452E7F" w:rsidP="006C52A6">
      <w:pPr>
        <w:spacing w:after="0"/>
        <w:ind w:left="1900" w:firstLine="380"/>
        <w:jc w:val="both"/>
        <w:rPr>
          <w:rFonts w:asciiTheme="minorHAnsi" w:hAnsiTheme="minorHAnsi" w:cstheme="minorHAnsi"/>
          <w:b/>
          <w:bCs/>
        </w:rPr>
      </w:pPr>
      <w:r w:rsidRPr="006C52A6">
        <w:rPr>
          <w:rFonts w:ascii="Calibri" w:hAnsi="Calibri" w:cs="Calibri"/>
          <w:szCs w:val="22"/>
        </w:rPr>
        <w:t>Anexo A.</w:t>
      </w:r>
      <w:r w:rsidR="006C52A6" w:rsidRPr="006C52A6">
        <w:rPr>
          <w:rFonts w:ascii="Calibri" w:hAnsi="Calibri" w:cs="Calibri"/>
          <w:szCs w:val="22"/>
        </w:rPr>
        <w:t>17</w:t>
      </w:r>
      <w:r w:rsidRPr="006C52A6">
        <w:rPr>
          <w:rFonts w:ascii="Calibri" w:hAnsi="Calibri" w:cs="Calibri"/>
          <w:szCs w:val="22"/>
        </w:rPr>
        <w:t xml:space="preserve">   </w:t>
      </w:r>
      <w:r w:rsidR="006C52A6" w:rsidRPr="006C52A6">
        <w:rPr>
          <w:rFonts w:asciiTheme="minorHAnsi" w:hAnsiTheme="minorHAnsi" w:cstheme="minorHAnsi"/>
          <w:b/>
          <w:bCs/>
        </w:rPr>
        <w:t>Política de Gestión de Continuidad del Negocio</w:t>
      </w:r>
    </w:p>
    <w:p w14:paraId="0AC9AFE7" w14:textId="07EFF625" w:rsidR="00452E7F" w:rsidRPr="006C52A6" w:rsidRDefault="00452E7F" w:rsidP="00452E7F">
      <w:pPr>
        <w:spacing w:after="0"/>
        <w:ind w:left="1900" w:firstLine="380"/>
        <w:jc w:val="both"/>
        <w:rPr>
          <w:rFonts w:asciiTheme="minorHAnsi" w:hAnsiTheme="minorHAnsi" w:cstheme="minorHAnsi"/>
          <w:b/>
          <w:bCs/>
          <w:sz w:val="24"/>
          <w:szCs w:val="24"/>
        </w:rPr>
      </w:pPr>
    </w:p>
    <w:p w14:paraId="30FD80A7" w14:textId="44D655F8" w:rsidR="006533BC" w:rsidRPr="006C52A6" w:rsidRDefault="006533BC" w:rsidP="00D02999">
      <w:pPr>
        <w:spacing w:after="0"/>
        <w:ind w:left="1900" w:firstLine="380"/>
        <w:jc w:val="both"/>
        <w:rPr>
          <w:rFonts w:asciiTheme="minorHAnsi" w:hAnsiTheme="minorHAnsi" w:cstheme="minorHAnsi"/>
          <w:b/>
          <w:bCs/>
          <w:sz w:val="40"/>
          <w:szCs w:val="40"/>
        </w:rPr>
      </w:pPr>
    </w:p>
    <w:tbl>
      <w:tblPr>
        <w:tblStyle w:val="Tablaconcuadrcula"/>
        <w:tblW w:w="10368" w:type="dxa"/>
        <w:tblInd w:w="-342" w:type="dxa"/>
        <w:tblLook w:val="04A0" w:firstRow="1" w:lastRow="0" w:firstColumn="1" w:lastColumn="0" w:noHBand="0" w:noVBand="1"/>
      </w:tblPr>
      <w:tblGrid>
        <w:gridCol w:w="1825"/>
        <w:gridCol w:w="1513"/>
        <w:gridCol w:w="1716"/>
        <w:gridCol w:w="2196"/>
        <w:gridCol w:w="986"/>
        <w:gridCol w:w="2132"/>
      </w:tblGrid>
      <w:tr w:rsidR="00452E7F" w:rsidRPr="006C52A6" w14:paraId="273B0C4B" w14:textId="77777777" w:rsidTr="00D02A7F">
        <w:tc>
          <w:tcPr>
            <w:tcW w:w="1908" w:type="dxa"/>
            <w:shd w:val="clear" w:color="auto" w:fill="D9D9D9" w:themeFill="background1" w:themeFillShade="D9"/>
          </w:tcPr>
          <w:p w14:paraId="083D5C51"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939C268"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6C52A6" w:rsidRDefault="001705EC" w:rsidP="00D02999">
            <w:pPr>
              <w:jc w:val="both"/>
              <w:rPr>
                <w:rFonts w:asciiTheme="minorHAnsi" w:hAnsiTheme="minorHAnsi" w:cstheme="minorHAnsi"/>
                <w:b/>
                <w:bCs/>
                <w:sz w:val="24"/>
                <w:szCs w:val="24"/>
              </w:rPr>
            </w:pPr>
            <w:r w:rsidRPr="006C52A6">
              <w:rPr>
                <w:rFonts w:asciiTheme="minorHAnsi" w:hAnsiTheme="minorHAnsi" w:cstheme="minorHAnsi"/>
                <w:b/>
                <w:bCs/>
                <w:sz w:val="24"/>
                <w:szCs w:val="24"/>
              </w:rPr>
              <w:t>Descripción</w:t>
            </w:r>
          </w:p>
        </w:tc>
      </w:tr>
      <w:tr w:rsidR="00452E7F" w:rsidRPr="006C52A6" w14:paraId="23D5C307" w14:textId="77777777" w:rsidTr="00D02A7F">
        <w:tc>
          <w:tcPr>
            <w:tcW w:w="1908" w:type="dxa"/>
          </w:tcPr>
          <w:p w14:paraId="1F536261" w14:textId="77777777" w:rsidR="001705EC" w:rsidRPr="006C52A6" w:rsidRDefault="001705EC" w:rsidP="00D02999">
            <w:pPr>
              <w:jc w:val="both"/>
              <w:rPr>
                <w:rFonts w:asciiTheme="minorHAnsi" w:hAnsiTheme="minorHAnsi" w:cstheme="minorHAnsi"/>
                <w:sz w:val="24"/>
                <w:szCs w:val="24"/>
              </w:rPr>
            </w:pPr>
            <w:bookmarkStart w:id="0" w:name="_Hlk187601937"/>
            <w:r w:rsidRPr="006C52A6">
              <w:rPr>
                <w:rFonts w:asciiTheme="minorHAnsi" w:hAnsiTheme="minorHAnsi" w:cstheme="minorHAnsi"/>
                <w:sz w:val="24"/>
                <w:szCs w:val="24"/>
              </w:rPr>
              <w:t>V1.0</w:t>
            </w:r>
          </w:p>
        </w:tc>
        <w:tc>
          <w:tcPr>
            <w:tcW w:w="1570" w:type="dxa"/>
          </w:tcPr>
          <w:p w14:paraId="5CF1E181" w14:textId="23D50EDA" w:rsidR="001705EC" w:rsidRPr="006C52A6" w:rsidRDefault="001637D6" w:rsidP="00D02999">
            <w:pPr>
              <w:jc w:val="both"/>
              <w:rPr>
                <w:rFonts w:asciiTheme="minorHAnsi" w:hAnsiTheme="minorHAnsi" w:cstheme="minorHAnsi"/>
                <w:sz w:val="24"/>
                <w:szCs w:val="24"/>
              </w:rPr>
            </w:pPr>
            <w:r w:rsidRPr="006C52A6">
              <w:rPr>
                <w:rFonts w:asciiTheme="minorHAnsi" w:hAnsiTheme="minorHAnsi" w:cstheme="minorHAnsi"/>
                <w:sz w:val="24"/>
                <w:szCs w:val="24"/>
              </w:rPr>
              <w:t>Auditorex Chile</w:t>
            </w:r>
          </w:p>
        </w:tc>
        <w:tc>
          <w:tcPr>
            <w:tcW w:w="1810" w:type="dxa"/>
          </w:tcPr>
          <w:p w14:paraId="48DCB9A0" w14:textId="30D8B496" w:rsidR="001637D6" w:rsidRPr="006C52A6" w:rsidRDefault="001637D6" w:rsidP="00D02999">
            <w:pPr>
              <w:jc w:val="both"/>
              <w:rPr>
                <w:rFonts w:asciiTheme="minorHAnsi" w:hAnsiTheme="minorHAnsi" w:cstheme="minorHAnsi"/>
                <w:sz w:val="24"/>
                <w:szCs w:val="24"/>
              </w:rPr>
            </w:pPr>
            <w:r w:rsidRPr="006C52A6">
              <w:rPr>
                <w:rFonts w:asciiTheme="minorHAnsi" w:hAnsiTheme="minorHAnsi" w:cstheme="minorHAnsi"/>
                <w:sz w:val="24"/>
                <w:szCs w:val="24"/>
              </w:rPr>
              <w:t>Mauricio Antonio Colomera Villarroel</w:t>
            </w:r>
          </w:p>
          <w:p w14:paraId="4664E988" w14:textId="77777777" w:rsidR="001705EC" w:rsidRPr="006C52A6" w:rsidRDefault="001705EC" w:rsidP="00D02999">
            <w:pPr>
              <w:jc w:val="both"/>
              <w:rPr>
                <w:rFonts w:asciiTheme="minorHAnsi" w:hAnsiTheme="minorHAnsi" w:cstheme="minorHAnsi"/>
                <w:sz w:val="24"/>
                <w:szCs w:val="24"/>
              </w:rPr>
            </w:pPr>
          </w:p>
        </w:tc>
        <w:tc>
          <w:tcPr>
            <w:tcW w:w="1811" w:type="dxa"/>
          </w:tcPr>
          <w:p w14:paraId="285FCDD1" w14:textId="65FB10B2" w:rsidR="001705EC" w:rsidRPr="006C52A6" w:rsidRDefault="00452E7F" w:rsidP="00D02999">
            <w:pPr>
              <w:jc w:val="both"/>
              <w:rPr>
                <w:rFonts w:asciiTheme="minorHAnsi" w:hAnsiTheme="minorHAnsi" w:cstheme="minorHAnsi"/>
                <w:sz w:val="24"/>
                <w:szCs w:val="24"/>
              </w:rPr>
            </w:pPr>
            <w:r w:rsidRPr="006C52A6">
              <w:rPr>
                <w:rFonts w:asciiTheme="minorHAnsi" w:hAnsiTheme="minorHAnsi" w:cstheme="minorHAnsi"/>
                <w:noProof/>
                <w:sz w:val="24"/>
                <w:szCs w:val="24"/>
              </w:rPr>
              <w:drawing>
                <wp:inline distT="0" distB="0" distL="0" distR="0" wp14:anchorId="3D1D56EF" wp14:editId="3790D385">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6C52A6" w:rsidRDefault="00D02999" w:rsidP="00D02999">
            <w:pPr>
              <w:jc w:val="both"/>
              <w:rPr>
                <w:rFonts w:asciiTheme="minorHAnsi" w:hAnsiTheme="minorHAnsi" w:cstheme="minorHAnsi"/>
                <w:szCs w:val="22"/>
              </w:rPr>
            </w:pPr>
            <w:r w:rsidRPr="006C52A6">
              <w:rPr>
                <w:rFonts w:asciiTheme="minorHAnsi" w:hAnsiTheme="minorHAnsi" w:cstheme="minorHAnsi"/>
                <w:szCs w:val="22"/>
              </w:rPr>
              <w:t>12-01-2024</w:t>
            </w:r>
          </w:p>
        </w:tc>
        <w:tc>
          <w:tcPr>
            <w:tcW w:w="2250" w:type="dxa"/>
          </w:tcPr>
          <w:p w14:paraId="7B6B802C" w14:textId="77777777" w:rsidR="006C52A6" w:rsidRPr="006C52A6" w:rsidRDefault="006C52A6" w:rsidP="006C52A6">
            <w:pPr>
              <w:pStyle w:val="NormalWeb"/>
              <w:rPr>
                <w:rFonts w:asciiTheme="minorHAnsi" w:hAnsiTheme="minorHAnsi" w:cstheme="minorHAnsi"/>
                <w:lang w:val="es-CL"/>
              </w:rPr>
            </w:pPr>
            <w:r w:rsidRPr="006C52A6">
              <w:rPr>
                <w:rFonts w:asciiTheme="minorHAnsi" w:hAnsiTheme="minorHAnsi" w:cstheme="minorHAnsi"/>
                <w:b/>
                <w:bCs/>
                <w:lang w:val="es-CL"/>
              </w:rPr>
              <w:t>Política de Gestión de Continuidad del Negocio</w:t>
            </w:r>
          </w:p>
          <w:p w14:paraId="6401603C" w14:textId="33DFF191" w:rsidR="001705EC" w:rsidRPr="006C52A6" w:rsidRDefault="001705EC" w:rsidP="00A80114">
            <w:pPr>
              <w:pStyle w:val="NormalWeb"/>
              <w:rPr>
                <w:rFonts w:asciiTheme="minorHAnsi" w:hAnsiTheme="minorHAnsi" w:cstheme="minorHAnsi"/>
                <w:lang w:val="es-CL"/>
              </w:rPr>
            </w:pPr>
          </w:p>
        </w:tc>
      </w:tr>
      <w:bookmarkEnd w:id="0"/>
      <w:tr w:rsidR="00452E7F" w:rsidRPr="006C52A6" w14:paraId="2A38A0FB" w14:textId="77777777" w:rsidTr="00D02A7F">
        <w:tc>
          <w:tcPr>
            <w:tcW w:w="1908" w:type="dxa"/>
          </w:tcPr>
          <w:p w14:paraId="5AA7A63A" w14:textId="77777777" w:rsidR="001705EC" w:rsidRPr="006C52A6" w:rsidRDefault="001705EC" w:rsidP="00D02999">
            <w:pPr>
              <w:jc w:val="both"/>
              <w:rPr>
                <w:rFonts w:asciiTheme="minorHAnsi" w:hAnsiTheme="minorHAnsi" w:cstheme="minorHAnsi"/>
                <w:sz w:val="24"/>
                <w:szCs w:val="24"/>
              </w:rPr>
            </w:pPr>
          </w:p>
        </w:tc>
        <w:tc>
          <w:tcPr>
            <w:tcW w:w="1570" w:type="dxa"/>
          </w:tcPr>
          <w:p w14:paraId="6CA0F23C" w14:textId="77777777" w:rsidR="001705EC" w:rsidRPr="006C52A6" w:rsidRDefault="001705EC" w:rsidP="00D02999">
            <w:pPr>
              <w:jc w:val="both"/>
              <w:rPr>
                <w:rFonts w:asciiTheme="minorHAnsi" w:hAnsiTheme="minorHAnsi" w:cstheme="minorHAnsi"/>
                <w:sz w:val="24"/>
                <w:szCs w:val="24"/>
              </w:rPr>
            </w:pPr>
          </w:p>
        </w:tc>
        <w:tc>
          <w:tcPr>
            <w:tcW w:w="1810" w:type="dxa"/>
          </w:tcPr>
          <w:p w14:paraId="7579C89A" w14:textId="77777777" w:rsidR="001705EC" w:rsidRPr="006C52A6" w:rsidRDefault="001705EC" w:rsidP="00D02999">
            <w:pPr>
              <w:jc w:val="both"/>
              <w:rPr>
                <w:rFonts w:asciiTheme="minorHAnsi" w:hAnsiTheme="minorHAnsi" w:cstheme="minorHAnsi"/>
                <w:sz w:val="24"/>
                <w:szCs w:val="24"/>
              </w:rPr>
            </w:pPr>
          </w:p>
        </w:tc>
        <w:tc>
          <w:tcPr>
            <w:tcW w:w="1811" w:type="dxa"/>
          </w:tcPr>
          <w:p w14:paraId="5C11AFDC" w14:textId="32DE9CC1" w:rsidR="001705EC" w:rsidRPr="006C52A6" w:rsidRDefault="001705EC" w:rsidP="00D02999">
            <w:pPr>
              <w:jc w:val="both"/>
              <w:rPr>
                <w:rFonts w:asciiTheme="minorHAnsi" w:hAnsiTheme="minorHAnsi" w:cstheme="minorHAnsi"/>
                <w:sz w:val="24"/>
                <w:szCs w:val="24"/>
              </w:rPr>
            </w:pPr>
          </w:p>
        </w:tc>
        <w:tc>
          <w:tcPr>
            <w:tcW w:w="1019" w:type="dxa"/>
          </w:tcPr>
          <w:p w14:paraId="2D9464C3" w14:textId="77777777" w:rsidR="001705EC" w:rsidRPr="006C52A6" w:rsidRDefault="001705EC" w:rsidP="00D02999">
            <w:pPr>
              <w:jc w:val="both"/>
              <w:rPr>
                <w:rFonts w:asciiTheme="minorHAnsi" w:hAnsiTheme="minorHAnsi" w:cstheme="minorHAnsi"/>
                <w:sz w:val="24"/>
                <w:szCs w:val="24"/>
              </w:rPr>
            </w:pPr>
          </w:p>
        </w:tc>
        <w:tc>
          <w:tcPr>
            <w:tcW w:w="2250" w:type="dxa"/>
          </w:tcPr>
          <w:p w14:paraId="30EA5E83" w14:textId="77777777" w:rsidR="001705EC" w:rsidRPr="006C52A6" w:rsidRDefault="001705EC" w:rsidP="00D02999">
            <w:pPr>
              <w:jc w:val="both"/>
              <w:rPr>
                <w:rFonts w:asciiTheme="minorHAnsi" w:hAnsiTheme="minorHAnsi" w:cstheme="minorHAnsi"/>
                <w:sz w:val="24"/>
                <w:szCs w:val="24"/>
              </w:rPr>
            </w:pPr>
          </w:p>
        </w:tc>
      </w:tr>
      <w:tr w:rsidR="00452E7F" w:rsidRPr="006C52A6" w14:paraId="5D084FF7" w14:textId="77777777" w:rsidTr="00D02A7F">
        <w:tc>
          <w:tcPr>
            <w:tcW w:w="1908" w:type="dxa"/>
          </w:tcPr>
          <w:p w14:paraId="59848B68" w14:textId="77777777" w:rsidR="001705EC" w:rsidRPr="006C52A6" w:rsidRDefault="001705EC" w:rsidP="00D02999">
            <w:pPr>
              <w:jc w:val="both"/>
              <w:rPr>
                <w:rFonts w:asciiTheme="minorHAnsi" w:hAnsiTheme="minorHAnsi" w:cstheme="minorHAnsi"/>
                <w:sz w:val="24"/>
                <w:szCs w:val="24"/>
              </w:rPr>
            </w:pPr>
          </w:p>
        </w:tc>
        <w:tc>
          <w:tcPr>
            <w:tcW w:w="1570" w:type="dxa"/>
          </w:tcPr>
          <w:p w14:paraId="4CE506E6" w14:textId="77777777" w:rsidR="001705EC" w:rsidRPr="006C52A6" w:rsidRDefault="001705EC" w:rsidP="00D02999">
            <w:pPr>
              <w:jc w:val="both"/>
              <w:rPr>
                <w:rFonts w:asciiTheme="minorHAnsi" w:hAnsiTheme="minorHAnsi" w:cstheme="minorHAnsi"/>
                <w:sz w:val="24"/>
                <w:szCs w:val="24"/>
              </w:rPr>
            </w:pPr>
          </w:p>
        </w:tc>
        <w:tc>
          <w:tcPr>
            <w:tcW w:w="1810" w:type="dxa"/>
          </w:tcPr>
          <w:p w14:paraId="09467189" w14:textId="77777777" w:rsidR="001705EC" w:rsidRPr="006C52A6" w:rsidRDefault="001705EC" w:rsidP="00D02999">
            <w:pPr>
              <w:jc w:val="both"/>
              <w:rPr>
                <w:rFonts w:asciiTheme="minorHAnsi" w:hAnsiTheme="minorHAnsi" w:cstheme="minorHAnsi"/>
                <w:sz w:val="24"/>
                <w:szCs w:val="24"/>
              </w:rPr>
            </w:pPr>
          </w:p>
        </w:tc>
        <w:tc>
          <w:tcPr>
            <w:tcW w:w="1811" w:type="dxa"/>
          </w:tcPr>
          <w:p w14:paraId="6E7E4F49" w14:textId="39B6391E" w:rsidR="001705EC" w:rsidRPr="006C52A6" w:rsidRDefault="001705EC" w:rsidP="00D02999">
            <w:pPr>
              <w:jc w:val="both"/>
              <w:rPr>
                <w:rFonts w:asciiTheme="minorHAnsi" w:hAnsiTheme="minorHAnsi" w:cstheme="minorHAnsi"/>
                <w:sz w:val="24"/>
                <w:szCs w:val="24"/>
              </w:rPr>
            </w:pPr>
          </w:p>
        </w:tc>
        <w:tc>
          <w:tcPr>
            <w:tcW w:w="1019" w:type="dxa"/>
          </w:tcPr>
          <w:p w14:paraId="7EB49E66" w14:textId="77777777" w:rsidR="001705EC" w:rsidRPr="006C52A6" w:rsidRDefault="001705EC" w:rsidP="00D02999">
            <w:pPr>
              <w:jc w:val="both"/>
              <w:rPr>
                <w:rFonts w:asciiTheme="minorHAnsi" w:hAnsiTheme="minorHAnsi" w:cstheme="minorHAnsi"/>
                <w:sz w:val="24"/>
                <w:szCs w:val="24"/>
              </w:rPr>
            </w:pPr>
          </w:p>
        </w:tc>
        <w:tc>
          <w:tcPr>
            <w:tcW w:w="2250" w:type="dxa"/>
          </w:tcPr>
          <w:p w14:paraId="722DAB0F" w14:textId="77777777" w:rsidR="001705EC" w:rsidRPr="006C52A6" w:rsidRDefault="001705EC" w:rsidP="00D02999">
            <w:pPr>
              <w:jc w:val="both"/>
              <w:rPr>
                <w:rFonts w:asciiTheme="minorHAnsi" w:hAnsiTheme="minorHAnsi" w:cstheme="minorHAnsi"/>
                <w:sz w:val="24"/>
                <w:szCs w:val="24"/>
              </w:rPr>
            </w:pPr>
          </w:p>
        </w:tc>
      </w:tr>
      <w:tr w:rsidR="001705EC" w:rsidRPr="006C52A6" w14:paraId="7875EE64" w14:textId="77777777" w:rsidTr="00D02A7F">
        <w:tc>
          <w:tcPr>
            <w:tcW w:w="1908" w:type="dxa"/>
            <w:shd w:val="clear" w:color="auto" w:fill="D9D9D9" w:themeFill="background1" w:themeFillShade="D9"/>
          </w:tcPr>
          <w:p w14:paraId="22F097C4" w14:textId="77777777" w:rsidR="001705EC" w:rsidRPr="006C52A6" w:rsidRDefault="001705EC" w:rsidP="00D02999">
            <w:pPr>
              <w:jc w:val="both"/>
              <w:rPr>
                <w:rFonts w:asciiTheme="minorHAnsi" w:hAnsiTheme="minorHAnsi" w:cstheme="minorHAnsi"/>
                <w:sz w:val="24"/>
                <w:szCs w:val="24"/>
              </w:rPr>
            </w:pPr>
            <w:r w:rsidRPr="006C52A6">
              <w:rPr>
                <w:rFonts w:asciiTheme="minorHAnsi" w:hAnsiTheme="minorHAnsi" w:cstheme="minorHAnsi"/>
                <w:sz w:val="24"/>
                <w:szCs w:val="24"/>
              </w:rPr>
              <w:t>Número de referencia del documento</w:t>
            </w:r>
          </w:p>
        </w:tc>
        <w:tc>
          <w:tcPr>
            <w:tcW w:w="3380" w:type="dxa"/>
            <w:gridSpan w:val="2"/>
          </w:tcPr>
          <w:p w14:paraId="02FAF64D" w14:textId="4C508840" w:rsidR="001705EC" w:rsidRPr="006C52A6" w:rsidRDefault="006C52A6" w:rsidP="00D02999">
            <w:pPr>
              <w:jc w:val="both"/>
              <w:rPr>
                <w:rFonts w:asciiTheme="minorHAnsi" w:hAnsiTheme="minorHAnsi" w:cstheme="minorHAnsi"/>
                <w:sz w:val="24"/>
                <w:szCs w:val="24"/>
              </w:rPr>
            </w:pPr>
            <w:r w:rsidRPr="006C52A6">
              <w:rPr>
                <w:rFonts w:asciiTheme="minorHAnsi" w:hAnsiTheme="minorHAnsi" w:cstheme="minorHAnsi"/>
                <w:sz w:val="24"/>
                <w:szCs w:val="24"/>
              </w:rPr>
              <w:t>A 17</w:t>
            </w:r>
          </w:p>
        </w:tc>
        <w:tc>
          <w:tcPr>
            <w:tcW w:w="2830" w:type="dxa"/>
            <w:gridSpan w:val="2"/>
            <w:shd w:val="clear" w:color="auto" w:fill="D9D9D9" w:themeFill="background1" w:themeFillShade="D9"/>
          </w:tcPr>
          <w:p w14:paraId="70C78F02" w14:textId="6596A889" w:rsidR="001705EC" w:rsidRPr="006C52A6" w:rsidRDefault="001705EC" w:rsidP="00D02999">
            <w:pPr>
              <w:jc w:val="both"/>
              <w:rPr>
                <w:rFonts w:asciiTheme="minorHAnsi" w:hAnsiTheme="minorHAnsi" w:cstheme="minorHAnsi"/>
                <w:sz w:val="24"/>
                <w:szCs w:val="24"/>
              </w:rPr>
            </w:pPr>
            <w:r w:rsidRPr="006C52A6">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6C52A6" w:rsidRDefault="001705EC" w:rsidP="00D02999">
                <w:pPr>
                  <w:jc w:val="both"/>
                  <w:rPr>
                    <w:rFonts w:asciiTheme="minorHAnsi" w:hAnsiTheme="minorHAnsi" w:cstheme="minorHAnsi"/>
                    <w:sz w:val="24"/>
                    <w:szCs w:val="24"/>
                  </w:rPr>
                </w:pPr>
                <w:r w:rsidRPr="006C52A6">
                  <w:rPr>
                    <w:rFonts w:asciiTheme="minorHAnsi" w:hAnsiTheme="minorHAnsi" w:cstheme="minorHAnsi"/>
                    <w:sz w:val="24"/>
                    <w:szCs w:val="24"/>
                  </w:rPr>
                  <w:t>Confidencial</w:t>
                </w:r>
              </w:p>
            </w:tc>
          </w:sdtContent>
        </w:sdt>
      </w:tr>
    </w:tbl>
    <w:p w14:paraId="5F47735A" w14:textId="5BF15989" w:rsidR="001705EC" w:rsidRPr="006C52A6" w:rsidRDefault="00716237" w:rsidP="00D02999">
      <w:pPr>
        <w:jc w:val="both"/>
        <w:rPr>
          <w:rFonts w:asciiTheme="minorHAnsi" w:hAnsiTheme="minorHAnsi" w:cstheme="minorHAnsi"/>
          <w:sz w:val="24"/>
          <w:szCs w:val="24"/>
        </w:rPr>
      </w:pPr>
      <w:r>
        <w:rPr>
          <w:noProof/>
        </w:rPr>
        <w:drawing>
          <wp:anchor distT="0" distB="0" distL="114300" distR="114300" simplePos="0" relativeHeight="251658240" behindDoc="1" locked="0" layoutInCell="1" allowOverlap="1" wp14:anchorId="1FE15E00" wp14:editId="3BA21B61">
            <wp:simplePos x="0" y="0"/>
            <wp:positionH relativeFrom="column">
              <wp:posOffset>-400050</wp:posOffset>
            </wp:positionH>
            <wp:positionV relativeFrom="paragraph">
              <wp:posOffset>361315</wp:posOffset>
            </wp:positionV>
            <wp:extent cx="2133600" cy="1543050"/>
            <wp:effectExtent l="0" t="0" r="0" b="0"/>
            <wp:wrapNone/>
            <wp:docPr id="7006070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706" name="Imagen 2"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E8924C" w14:textId="5504B1D0" w:rsidR="00452E7F" w:rsidRPr="006C52A6" w:rsidRDefault="00716237" w:rsidP="00452E7F">
      <w:pPr>
        <w:pStyle w:val="NormalWeb"/>
        <w:rPr>
          <w:rFonts w:asciiTheme="minorHAnsi" w:hAnsiTheme="minorHAnsi" w:cstheme="minorHAnsi"/>
          <w:lang w:val="es-CL"/>
        </w:rPr>
      </w:pPr>
      <w:r>
        <w:rPr>
          <w:noProof/>
        </w:rPr>
        <w:drawing>
          <wp:anchor distT="0" distB="0" distL="114300" distR="114300" simplePos="0" relativeHeight="251659264" behindDoc="1" locked="0" layoutInCell="1" allowOverlap="1" wp14:anchorId="422EFE5F" wp14:editId="7BC5D9E8">
            <wp:simplePos x="0" y="0"/>
            <wp:positionH relativeFrom="column">
              <wp:posOffset>1371600</wp:posOffset>
            </wp:positionH>
            <wp:positionV relativeFrom="paragraph">
              <wp:posOffset>204470</wp:posOffset>
            </wp:positionV>
            <wp:extent cx="1312606" cy="1371600"/>
            <wp:effectExtent l="0" t="0" r="1905" b="0"/>
            <wp:wrapNone/>
            <wp:docPr id="1405350506"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50506" name="Imagen 3" descr="Imagen en blanco y negro&#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2606"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1705EC" w:rsidRPr="006C52A6">
        <w:rPr>
          <w:rFonts w:asciiTheme="minorHAnsi" w:hAnsiTheme="minorHAnsi" w:cstheme="minorHAnsi"/>
          <w:lang w:val="es-CL"/>
        </w:rPr>
        <w:br w:type="page"/>
      </w:r>
    </w:p>
    <w:p w14:paraId="1C122D18" w14:textId="77777777" w:rsidR="006C52A6" w:rsidRPr="006C52A6" w:rsidRDefault="006C52A6" w:rsidP="006C52A6">
      <w:pPr>
        <w:pStyle w:val="NormalWeb"/>
        <w:rPr>
          <w:rFonts w:asciiTheme="minorHAnsi" w:hAnsiTheme="minorHAnsi" w:cstheme="minorHAnsi"/>
          <w:lang w:val="es-CL"/>
        </w:rPr>
      </w:pPr>
      <w:r w:rsidRPr="006C52A6">
        <w:rPr>
          <w:rFonts w:asciiTheme="minorHAnsi" w:hAnsiTheme="minorHAnsi" w:cstheme="minorHAnsi"/>
          <w:b/>
          <w:bCs/>
          <w:lang w:val="es-CL"/>
        </w:rPr>
        <w:lastRenderedPageBreak/>
        <w:t>Política de Gestión de Continuidad del Negocio</w:t>
      </w:r>
    </w:p>
    <w:p w14:paraId="0058B4EF" w14:textId="77777777" w:rsidR="006C52A6" w:rsidRPr="006C52A6" w:rsidRDefault="006C52A6" w:rsidP="006C52A6">
      <w:pPr>
        <w:pStyle w:val="NormalWeb"/>
        <w:rPr>
          <w:rFonts w:asciiTheme="minorHAnsi" w:hAnsiTheme="minorHAnsi" w:cstheme="minorHAnsi"/>
          <w:lang w:val="es-CL"/>
        </w:rPr>
      </w:pPr>
      <w:r w:rsidRPr="006C52A6">
        <w:rPr>
          <w:rFonts w:asciiTheme="minorHAnsi" w:hAnsiTheme="minorHAnsi" w:cstheme="minorHAnsi"/>
          <w:b/>
          <w:bCs/>
          <w:lang w:val="es-CL"/>
        </w:rPr>
        <w:t>ÍNDICE</w:t>
      </w:r>
    </w:p>
    <w:p w14:paraId="6621E5AD"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Introducción</w:t>
      </w:r>
    </w:p>
    <w:p w14:paraId="3D75082C"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Antecedentes de la Empresa</w:t>
      </w:r>
    </w:p>
    <w:p w14:paraId="4DC75E8B"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Marco Normativo</w:t>
      </w:r>
    </w:p>
    <w:p w14:paraId="628091D3" w14:textId="77777777" w:rsidR="006C52A6" w:rsidRDefault="006C52A6" w:rsidP="006C52A6">
      <w:pPr>
        <w:pStyle w:val="NormalWeb"/>
        <w:numPr>
          <w:ilvl w:val="0"/>
          <w:numId w:val="57"/>
        </w:numPr>
        <w:spacing w:after="0" w:afterAutospacing="0"/>
        <w:rPr>
          <w:rFonts w:asciiTheme="minorHAnsi" w:hAnsiTheme="minorHAnsi" w:cstheme="minorHAnsi"/>
          <w:lang w:val="es-CL"/>
        </w:rPr>
      </w:pPr>
      <w:r w:rsidRPr="006C52A6">
        <w:rPr>
          <w:rFonts w:asciiTheme="minorHAnsi" w:hAnsiTheme="minorHAnsi" w:cstheme="minorHAnsi"/>
          <w:lang w:val="es-CL"/>
        </w:rPr>
        <w:t xml:space="preserve">Gestión de Continuidad del Negocio </w:t>
      </w:r>
    </w:p>
    <w:p w14:paraId="3DBA506F" w14:textId="77777777" w:rsid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 xml:space="preserve">4.1. Definición y Alcance </w:t>
      </w:r>
    </w:p>
    <w:p w14:paraId="0A39510B" w14:textId="77777777" w:rsid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 xml:space="preserve">4.2. Análisis de Riesgos y Evaluación de Impacto </w:t>
      </w:r>
    </w:p>
    <w:p w14:paraId="7482DD2C" w14:textId="2FAC90BC" w:rsidR="006C52A6" w:rsidRP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4.3. Objetivos de Continuidad (RTO y RPO)</w:t>
      </w:r>
    </w:p>
    <w:p w14:paraId="7BECA307" w14:textId="77777777" w:rsidR="006C52A6" w:rsidRDefault="006C52A6" w:rsidP="006C52A6">
      <w:pPr>
        <w:pStyle w:val="NormalWeb"/>
        <w:numPr>
          <w:ilvl w:val="0"/>
          <w:numId w:val="57"/>
        </w:numPr>
        <w:spacing w:before="0" w:beforeAutospacing="0" w:after="0" w:afterAutospacing="0"/>
        <w:rPr>
          <w:rFonts w:asciiTheme="minorHAnsi" w:hAnsiTheme="minorHAnsi" w:cstheme="minorHAnsi"/>
          <w:lang w:val="es-CL"/>
        </w:rPr>
      </w:pPr>
      <w:r w:rsidRPr="006C52A6">
        <w:rPr>
          <w:rFonts w:asciiTheme="minorHAnsi" w:hAnsiTheme="minorHAnsi" w:cstheme="minorHAnsi"/>
          <w:lang w:val="es-CL"/>
        </w:rPr>
        <w:t xml:space="preserve">Estrategias de Recuperación Ante Desastres </w:t>
      </w:r>
    </w:p>
    <w:p w14:paraId="0BD59DB0" w14:textId="77777777" w:rsid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 xml:space="preserve">5.1. Plan de Respuesta y Recuperación </w:t>
      </w:r>
    </w:p>
    <w:p w14:paraId="6A8D9FFA" w14:textId="77777777" w:rsid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 xml:space="preserve">5.2. Procedimientos y Recursos Críticos </w:t>
      </w:r>
    </w:p>
    <w:p w14:paraId="5B6BE9A7" w14:textId="1D0F2F13" w:rsidR="006C52A6" w:rsidRPr="006C52A6" w:rsidRDefault="006C52A6" w:rsidP="006C52A6">
      <w:pPr>
        <w:pStyle w:val="NormalWeb"/>
        <w:spacing w:before="0" w:beforeAutospacing="0" w:after="0" w:afterAutospacing="0"/>
        <w:ind w:left="720"/>
        <w:rPr>
          <w:rFonts w:asciiTheme="minorHAnsi" w:hAnsiTheme="minorHAnsi" w:cstheme="minorHAnsi"/>
          <w:lang w:val="es-CL"/>
        </w:rPr>
      </w:pPr>
      <w:r w:rsidRPr="006C52A6">
        <w:rPr>
          <w:rFonts w:asciiTheme="minorHAnsi" w:hAnsiTheme="minorHAnsi" w:cstheme="minorHAnsi"/>
          <w:lang w:val="es-CL"/>
        </w:rPr>
        <w:t>5.3. Pruebas, Validación y Mejora Continua</w:t>
      </w:r>
    </w:p>
    <w:p w14:paraId="55EF917F"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Revisión y Hallazgos Previos</w:t>
      </w:r>
    </w:p>
    <w:p w14:paraId="62AD8934"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Recomendaciones Finales</w:t>
      </w:r>
    </w:p>
    <w:p w14:paraId="36758873"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Conclusiones</w:t>
      </w:r>
    </w:p>
    <w:p w14:paraId="56008795" w14:textId="77777777" w:rsidR="006C52A6" w:rsidRPr="006C52A6" w:rsidRDefault="006C52A6" w:rsidP="006C52A6">
      <w:pPr>
        <w:pStyle w:val="NormalWeb"/>
        <w:numPr>
          <w:ilvl w:val="0"/>
          <w:numId w:val="57"/>
        </w:numPr>
        <w:rPr>
          <w:rFonts w:asciiTheme="minorHAnsi" w:hAnsiTheme="minorHAnsi" w:cstheme="minorHAnsi"/>
          <w:lang w:val="es-CL"/>
        </w:rPr>
      </w:pPr>
      <w:r w:rsidRPr="006C52A6">
        <w:rPr>
          <w:rFonts w:asciiTheme="minorHAnsi" w:hAnsiTheme="minorHAnsi" w:cstheme="minorHAnsi"/>
          <w:lang w:val="es-CL"/>
        </w:rPr>
        <w:t>Anexo: Descripción del Anexo A.17 de la Norma ISO 27001:2022</w:t>
      </w:r>
    </w:p>
    <w:p w14:paraId="6D5E36D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1. Introducción</w:t>
      </w:r>
    </w:p>
    <w:p w14:paraId="526BD76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Esta política tiene como objetivo principal garantizar la continuidad operativa de AnacondaWeb frente a posibles incidentes que puedan afectar sus servicios críticos. A través de una gestión proactiva, se busca minimizar interrupciones y asegurar que los procesos esenciales estén protegidos ante riesgos potenciales.</w:t>
      </w:r>
    </w:p>
    <w:p w14:paraId="0E32CAC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De acuerdo con los requisitos de la norma ISO 27001:2022, la gestión de continuidad del negocio ha sido implementada para asegurar la resiliencia de las operaciones críticas de AnacondaWeb. Esta gestión incluye estrategias específicas de recuperación ante desastres, orientadas a minimizar el impacto de interrupciones no planificadas en los servicios tecnológicos esenciales. En la auditoría realizada, se evidenció que las mejoras al sistema de gestión han fortalecido las capacidades operativas.</w:t>
      </w:r>
    </w:p>
    <w:p w14:paraId="4D9B128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La capacidad de continuidad del negocio se ha reflejado en el éxito de pruebas operacionales y simulaciones que han permitido evaluar la respuesta ante eventos críticos. Por ejemplo, un ensayo operacional reciente validó la eficacia de los generadores de respaldo al mantener un </w:t>
      </w:r>
      <w:proofErr w:type="spellStart"/>
      <w:r w:rsidRPr="006C52A6">
        <w:rPr>
          <w:rFonts w:asciiTheme="minorHAnsi" w:hAnsiTheme="minorHAnsi" w:cstheme="minorHAnsi"/>
          <w:lang w:val="es-CL"/>
        </w:rPr>
        <w:t>uptime</w:t>
      </w:r>
      <w:proofErr w:type="spellEnd"/>
      <w:r w:rsidRPr="006C52A6">
        <w:rPr>
          <w:rFonts w:asciiTheme="minorHAnsi" w:hAnsiTheme="minorHAnsi" w:cstheme="minorHAnsi"/>
          <w:lang w:val="es-CL"/>
        </w:rPr>
        <w:t xml:space="preserve"> del 100% durante una interrupción simulada. Asimismo, una prueba de redundancia en enlaces de internet demostró que la infraestructura de conectividad soportó sin afectaciones el corte simultáneo de dos proveedores. Estas acciones han demostrado que AnacondaWeb puede afrontar eventos disruptivos sin comprometer la calidad de sus servicios, lo que ha mejorado la confianza de sus clientes.</w:t>
      </w:r>
    </w:p>
    <w:p w14:paraId="5121DE9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Los planes de recuperación se han desarrollado y validado mediante auditorías internas y externas. Estos planes incluyen estrategias claras para la recuperación de sistemas críticos y la protección de los activos de información. Las auditorías han confirmado la eficacia de los controles aplicados, lo que ha reducido significativamente el riesgo de interrupciones.</w:t>
      </w:r>
    </w:p>
    <w:p w14:paraId="1B6621A0"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cumplimiento con la norma ISO 27001:2022 ha posicionado a AnacondaWeb con ventajas competitivas. Este compromiso con la seguridad de la información refuerza su capacidad para mantener operaciones continuas y sostenibles, mejorando su reputación en el mercado.</w:t>
      </w:r>
    </w:p>
    <w:p w14:paraId="3824C2E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2. Antecedentes de la Empresa</w:t>
      </w:r>
    </w:p>
    <w:p w14:paraId="7554FDB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es una empresa chilena con más de 20 años de experiencia en la prestación de servicios tecnológicos, incluyendo hosting, registro de dominios y soluciones de infraestructura crítica. Su enfoque en la innovación y la seguridad le ha permitido posicionarse como un proveedor confiable en el mercado.</w:t>
      </w:r>
    </w:p>
    <w:p w14:paraId="5896365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contexto en el que opera la empresa está caracterizado por una alta competencia, donde destacan otros proveedores locales e internacionales especializados en servicios de tecnología de la información. Sin embargo, AnacondaWeb se diferencia por sus certificaciones internacionales, como ISO 27001, y su capacidad de adaptarse a los cambios tecnológicos.</w:t>
      </w:r>
    </w:p>
    <w:p w14:paraId="15B0626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Desde sus inicios, la empresa ha enfrentado desafíos derivados del crecimiento constante de la demanda de servicios digitales y de infraestructura segura. Esto ha motivado la implementación de sistemas robustos de gestión de riesgos y continuidad operativa para mantener altos estándares de servicio.</w:t>
      </w:r>
    </w:p>
    <w:p w14:paraId="2ABAFFD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 través de inversiones estratégicas en infraestructura tecnológica avanzada y un equipo altamente especializado, AnacondaWeb ha logrado consolidar su posición en el mercado. La empresa mantiene una fuerte relación con sus clientes, brindando soluciones personalizadas que se alinean con sus necesidades y regulaciones internacionales.</w:t>
      </w:r>
    </w:p>
    <w:p w14:paraId="62F6152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es una empresa chilena con más de 20 años de experiencia en la prestación de servicios tecnológicos, incluyendo hosting, registro de dominios y soluciones de infraestructura crítica. Su enfoque en la innovación y la seguridad le ha permitido posicionarse como un proveedor confiable en el mercado.</w:t>
      </w:r>
    </w:p>
    <w:p w14:paraId="1596538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Desde sus inicios, la empresa ha enfrentado desafíos como la creciente demanda de servicios de alta disponibilidad, la competencia con proveedores internacionales y la necesidad de adaptarse rápidamente a avances tecnológicos. Estos retos han sido superados mediante una estrategia de inversión continua en infraestructura moderna, el establecimiento de acuerdos de servicio (SLA) estrictos y la implementación de programas de capacitación para su personal técnico. Asimismo, la empresa ha fortalecido sus alianzas con proveedores críticos para mejorar la redundancia y disponibilidad de sus servicios.</w:t>
      </w:r>
    </w:p>
    <w:p w14:paraId="430F647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La estrategia empresarial de AnacondaWeb está alineada con las normativas internacionales de gestión, lo que garantiza la protección de sus operaciones y la confianza de sus partes interesadas. La empresa ha invertido en infraestructura tecnológica avanzada y ha fortalecido su equipo de gestión especializado.</w:t>
      </w:r>
    </w:p>
    <w:p w14:paraId="408F18A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Con la adopción de estándares como ISO 27001:2022, AnacondaWeb asegura que sus servicios continúen operando de manera eficiente, incluso en situaciones críticas.</w:t>
      </w:r>
    </w:p>
    <w:p w14:paraId="4CB29C0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3. Marco Normativo</w:t>
      </w:r>
    </w:p>
    <w:p w14:paraId="7B19C4E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normativa ISO 27001:2022 proporciona un marco internacionalmente reconocido para la gestión de la seguridad de la información. Su Anexo A.17 establece controles específicos para la continuidad del negocio, asegurando que los procesos esenciales se mantengan disponibles ante situaciones de emergencia. Este anexo es crucial porque define estrategias clave para la recuperación rápida y efectiva ante desastres, lo que garantiza la protección de los recursos críticos y la minimización del impacto en las operaciones.</w:t>
      </w:r>
    </w:p>
    <w:p w14:paraId="26A41A3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normativa ISO 27001:2022 proporciona un marco internacionalmente reconocido para la gestión de la seguridad de la información. Su Anexo A.17 establece controles específicos para la continuidad del negocio, asegurando que los procesos esenciales se mantengan disponibles ante situaciones de emergencia.</w:t>
      </w:r>
    </w:p>
    <w:p w14:paraId="008E049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implementado estos controles mediante planes documentados, pruebas periódicas y una política de mejora continua. Entre las pruebas realizadas se incluyen simulaciones de fallas de suministro eléctrico, ensayos de conmutación automática en servidores y pruebas de redundancia en la conectividad de internet. Las auditorías internas y externas han verificado la efectividad de estas medidas, garantizando el cumplimiento de los requisitos normativos.</w:t>
      </w:r>
    </w:p>
    <w:p w14:paraId="635334E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integración de estos controles ha fortalecido la infraestructura operativa, mejorando la resiliencia organizacional. Esto permite a la empresa responder de manera eficaz ante incidentes y mantener sus operaciones críticas con impacto mínimo en sus clientes.</w:t>
      </w:r>
    </w:p>
    <w:p w14:paraId="0A215B2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Además, el compromiso con el marco normativo refuerza la reputación de la empresa en el mercado, destacando su capacidad para gestionar riesgos y proteger la información.</w:t>
      </w:r>
    </w:p>
    <w:p w14:paraId="3CB2FFA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4. Gestión de Continuidad del Negocio</w:t>
      </w:r>
    </w:p>
    <w:p w14:paraId="3A064F4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4.1. Definición y Alcance</w:t>
      </w:r>
    </w:p>
    <w:p w14:paraId="1F1C5E0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gestión de continuidad del negocio en AnacondaWeb abarca las operaciones críticas que incluyen servicios de hosting, infraestructura de redes, bases de datos y soporte técnico. Estos procesos son fundamentales para la disponibilidad de los servicios ofrecidos a los clientes.</w:t>
      </w:r>
    </w:p>
    <w:p w14:paraId="1E507A2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El alcance comprende tanto los sistemas internos de la organización como los servicios de terceros y proveedores externos que forman parte de la cadena de suministro. Esto asegura que todos los componentes necesarios para el funcionamiento continuo estén protegidos.</w:t>
      </w:r>
    </w:p>
    <w:p w14:paraId="106AFFD0"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Asimismo, la gestión abarca medidas preventivas como redundancia de enlaces de comunicación, planes de respuesta ante fallas y mecanismos de respaldo automático. Estas estrategias están diseñadas para minimizar el tiempo de inactividad en caso de incidentes mayores.</w:t>
      </w:r>
    </w:p>
    <w:p w14:paraId="73E499A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revisión periódica de estos procesos es esencial para mantener su eficacia. Esto incluye pruebas regulares, auditorías y simulaciones que permiten validar y actualizar los procedimientos de continuidad según las mejores prácticas del sector.</w:t>
      </w:r>
    </w:p>
    <w:p w14:paraId="23E7029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gestión de continuidad del negocio en AnacondaWeb abarca todas las operaciones críticas, procesos de respaldo y medidas preventivas para mantener la disponibilidad de sus servicios. Este enfoque incluye la planificación, implementación y evaluación constante de estrategias para minimizar interrupciones.</w:t>
      </w:r>
    </w:p>
    <w:p w14:paraId="705A545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procesos documentados establecen lineamientos claros para la recuperación rápida de los servicios afectados. Esto incluye tanto los sistemas tecnológicos como las operaciones de soporte.</w:t>
      </w:r>
    </w:p>
    <w:p w14:paraId="5463258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alcance de la gestión también se extiende a los proveedores externos, quienes deben cumplir con los mismos estándares de continuidad establecidos por la organización. Para supervisar este cumplimiento, se llevan a cabo auditorías periódicas, revisiones de contratos y la evaluación de informes de desempeño. Adicionalmente, los proveedores están sujetos a acuerdos de nivel de servicio (SLA) que especifican tiempos de respuesta y medidas correctivas en caso de incidentes críticos.</w:t>
      </w:r>
    </w:p>
    <w:p w14:paraId="7AA3E9F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colaboración entre las áreas operativas y la alta dirección es esencial para garantizar que los objetivos de continuidad se cumplan de manera efectiva.</w:t>
      </w:r>
    </w:p>
    <w:p w14:paraId="7D5453F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4.2. Análisis de Riesgos y Evaluación de Impacto</w:t>
      </w:r>
    </w:p>
    <w:p w14:paraId="2727236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completado un análisis exhaustivo de riesgos que identifica amenazas potenciales, evalúa su impacto y define medidas de mitigación. Este proceso es revisado periódicamente para mantener su validez frente a cambios en el entorno operativo.</w:t>
      </w:r>
    </w:p>
    <w:p w14:paraId="2385B7B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análisis considera escenarios de interrupción, desde fallas tecnológicas hasta desastres naturales, incluyendo riesgos críticos como fallos masivos en la infraestructura de red, ciberataques dirigidos a sistemas clave y pérdida de energía prolongada. Cada uno de estos escenarios tiene estrategias específicas de recuperación para minimizar el impacto.</w:t>
      </w:r>
    </w:p>
    <w:p w14:paraId="5BE632D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Los resultados de esta evaluación permiten a la organización asignar recursos de manera eficiente, priorizando aquellos que garantizan la continuidad de los servicios esenciales. Por </w:t>
      </w:r>
      <w:r w:rsidRPr="006C52A6">
        <w:rPr>
          <w:rFonts w:asciiTheme="minorHAnsi" w:hAnsiTheme="minorHAnsi" w:cstheme="minorHAnsi"/>
          <w:lang w:val="es-CL"/>
        </w:rPr>
        <w:lastRenderedPageBreak/>
        <w:t>ejemplo, se han reforzado los enlaces redundantes de comunicación y los mecanismos de replicación de datos en tiempo real.</w:t>
      </w:r>
    </w:p>
    <w:p w14:paraId="2939148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documentación de estos resultados es fundamental para realizar ajustes en los planes de continuidad y mantenerlos actualizados, asegurando que las medidas de respuesta sean ágiles y efectivas.</w:t>
      </w:r>
    </w:p>
    <w:p w14:paraId="0DD5889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completado un análisis exhaustivo de riesgos que identifica amenazas potenciales, evalúa su impacto y define medidas de mitigación. Este proceso es revisado periódicamente para mantener su validez frente a cambios en el entorno operativo.</w:t>
      </w:r>
    </w:p>
    <w:p w14:paraId="53E6B56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análisis considera escenarios de interrupción, desde fallas tecnológicas hasta desastres naturales, y establece prioridades de recuperación basadas en los procesos críticos.</w:t>
      </w:r>
    </w:p>
    <w:p w14:paraId="54C9ACA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resultados de esta evaluación permiten a la organización asignar recursos de manera eficiente, priorizando aquellos que garantizan la continuidad de los servicios esenciales.</w:t>
      </w:r>
    </w:p>
    <w:p w14:paraId="57F2192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documentación de estos resultados es fundamental para realizar ajustes en los planes de continuidad y mantenerlos actualizados.</w:t>
      </w:r>
    </w:p>
    <w:p w14:paraId="7DBCB34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4.3. Objetivos de Continuidad (RTO y RPO)</w:t>
      </w:r>
    </w:p>
    <w:p w14:paraId="4B35B1A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objetivos de continuidad de AnacondaWeb se basan en dos métricas principales: el Tiempo Objetivo de Recuperación (RTO) y el Punto Objetivo de Recuperación (RPO). Estos parámetros se definen para cada proceso crítico y determinan los límites aceptables de tiempo y datos perdidos.</w:t>
      </w:r>
    </w:p>
    <w:p w14:paraId="65EC78C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RTO especifica un tiempo máximo de recuperación de 4 horas para servicios críticos como bases de datos y conectividad de red, asegurando que el impacto operativo sea mínimo. Por otro lado, el RPO se ha establecido en un límite de 15 minutos, lo que significa que la pérdida máxima de datos permitida en caso de incidente es equivalente a ese periodo de tiempo.</w:t>
      </w:r>
    </w:p>
    <w:p w14:paraId="3BE25DD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objetivos se han validado mediante pruebas operacionales, asegurando que se cumplan durante situaciones críticas. Por ejemplo, durante una simulación reciente, se logró restaurar la operatividad completa del sistema en 3 horas, cumpliendo con el RTO establecido. Los resultados de estas pruebas refuerzan la capacidad de la organización para cumplir con los acuerdos de nivel de servicio (SLA).</w:t>
      </w:r>
    </w:p>
    <w:p w14:paraId="763691A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mejora continua de estos objetivos es parte del compromiso con la norma ISO 27001:2022, garantizando la resiliencia del negocio.</w:t>
      </w:r>
    </w:p>
    <w:p w14:paraId="267F061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objetivos de continuidad de AnacondaWeb se basan en dos métricas principales: el Tiempo Objetivo de Recuperación (RTO) y el Punto Objetivo de Recuperación (RPO). Estos parámetros se definen para cada proceso crítico y determinan los límites aceptables de tiempo y datos perdidos.</w:t>
      </w:r>
    </w:p>
    <w:p w14:paraId="721895C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El RTO especifica el tiempo máximo en que un servicio puede estar inactivo sin afectar gravemente las operaciones. Por otro lado, el RPO determina el volumen máximo de información que puede perderse sin comprometer la integridad del sistema.</w:t>
      </w:r>
    </w:p>
    <w:p w14:paraId="34382C0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objetivos se han validado mediante pruebas operacionales, asegurando que se cumplan durante situaciones críticas. Los resultados de las simulaciones refuerzan la capacidad de la organización para cumplir con los acuerdos de nivel de servicio (SLA).</w:t>
      </w:r>
    </w:p>
    <w:p w14:paraId="69FDA58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mejora continua de estos objetivos es parte del compromiso con la norma ISO 27001:2022, garantizando la resiliencia del negocio.</w:t>
      </w:r>
    </w:p>
    <w:p w14:paraId="42C4844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5. Estrategias de Recuperación Ante Desastres</w:t>
      </w:r>
    </w:p>
    <w:p w14:paraId="0813C69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5.1. Plan de Respuesta y Recuperación</w:t>
      </w:r>
    </w:p>
    <w:p w14:paraId="79B6D2D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desarrollado un plan de respuesta y recuperación documentado, que detalla las acciones necesarias para restaurar los servicios en caso de interrupciones mayores. Este plan ha sido probado y ajustado para maximizar su efectividad.</w:t>
      </w:r>
    </w:p>
    <w:p w14:paraId="75C46F1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Para validar este plan, se han llevado a cabo diversas pruebas de continuidad, entre las que se incluyen simulaciones de fallas de energía, pruebas de conmutación automática en servidores y evaluaciones de redundancia en la conectividad. Estas pruebas han demostrado tiempos de recuperación óptimos, alineados con los objetivos establecidos en los acuerdos de nivel de servicio (SLA).</w:t>
      </w:r>
    </w:p>
    <w:p w14:paraId="0BE649C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responsables asignados a cada tarea han sido capacitados para ejecutar los procedimientos de recuperación de manera eficiente, asegurando una respuesta rápida. Las evaluaciones periódicas permiten identificar áreas de mejora, fortaleciendo así la preparación ante emergencias.</w:t>
      </w:r>
    </w:p>
    <w:p w14:paraId="1CA9265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coordinación entre los equipos operativos es fundamental para evitar demoras en la restauración de los servicios. Las pruebas realizadas han demostrado una mejora significativa en los tiempos de respuesta, lo que refuerza la confianza en la capacidad de la organización para manejar incidentes críticos. El plan también contempla mecanismos de comunicación interna y externa para informar a las partes interesadas durante las fases de respuesta y recuperación.</w:t>
      </w:r>
    </w:p>
    <w:p w14:paraId="2030C9A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desarrollado un plan de respuesta y recuperación documentado, que detalla las acciones necesarias para restaurar los servicios en caso de interrupciones mayores. Este plan ha sido probado y ajustado para maximizar su efectividad.</w:t>
      </w:r>
    </w:p>
    <w:p w14:paraId="0AB4AA5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responsables asignados a cada tarea han sido capacitados para ejecutar los procedimientos de recuperación de manera eficiente, asegurando una respuesta rápida.</w:t>
      </w:r>
    </w:p>
    <w:p w14:paraId="4FF6A41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La coordinación entre los equipos operativos es fundamental para evitar demoras en la restauración de los servicios. Las pruebas realizadas han demostrado una mejora significativa </w:t>
      </w:r>
      <w:r w:rsidRPr="006C52A6">
        <w:rPr>
          <w:rFonts w:asciiTheme="minorHAnsi" w:hAnsiTheme="minorHAnsi" w:cstheme="minorHAnsi"/>
          <w:lang w:val="es-CL"/>
        </w:rPr>
        <w:lastRenderedPageBreak/>
        <w:t>en los tiempos de respuesta. Por ejemplo, durante una simulación de falla eléctrica, la comunicación entre los equipos técnicos y de infraestructura permitió una conmutación exitosa en menos de cinco minutos. Asimismo, en una prueba de corte de enlaces de internet, los equipos lograron redirigir el tráfico a enlaces secundarios sin interrupciones visibles para los clientes, demostrando la eficacia del plan de respuesta coordinado.</w:t>
      </w:r>
    </w:p>
    <w:p w14:paraId="4400F45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plan también contempla mecanismos de comunicación interna y externa para informar a las partes interesadas durante las fases de respuesta y recuperación.</w:t>
      </w:r>
    </w:p>
    <w:p w14:paraId="73A9C6F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5.2. Procedimientos y Recursos Críticos</w:t>
      </w:r>
    </w:p>
    <w:p w14:paraId="53425E5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han definido procedimientos específicos para garantizar la disponibilidad de recursos críticos, como sistemas de respaldo, equipos de soporte y redundancia en la infraestructura tecnológica. Entre los recursos más importantes se encuentran los generadores eléctricos de respaldo, que aseguran el suministro continuo de energía, así como los servidores con alta disponibilidad configurados con replicación en tiempo real.</w:t>
      </w:r>
    </w:p>
    <w:p w14:paraId="34296E5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La infraestructura de comunicación incluye enlaces redundantes con múltiples proveedores, como </w:t>
      </w:r>
      <w:proofErr w:type="spellStart"/>
      <w:r w:rsidRPr="006C52A6">
        <w:rPr>
          <w:rFonts w:asciiTheme="minorHAnsi" w:hAnsiTheme="minorHAnsi" w:cstheme="minorHAnsi"/>
          <w:lang w:val="es-CL"/>
        </w:rPr>
        <w:t>Silica</w:t>
      </w:r>
      <w:proofErr w:type="spellEnd"/>
      <w:r w:rsidRPr="006C52A6">
        <w:rPr>
          <w:rFonts w:asciiTheme="minorHAnsi" w:hAnsiTheme="minorHAnsi" w:cstheme="minorHAnsi"/>
          <w:lang w:val="es-CL"/>
        </w:rPr>
        <w:t xml:space="preserve"> y Entel, los cuales permiten mantener la conectividad sin interrupciones ante posibles fallas en uno de los enlaces. Además, el sistema de monitoreo automatizado supervisa en tiempo real los puntos críticos de la red y la infraestructura.</w:t>
      </w:r>
    </w:p>
    <w:p w14:paraId="347AF7C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procedimientos están documentados y sujetos a revisiones periódicas para mantener su relevancia frente a cambios en el entorno tecnológico. Se realizan pruebas regulares para evaluar el desempeño de los recursos críticos, ajustando los planes de recuperación en función de los resultados obtenidos.</w:t>
      </w:r>
    </w:p>
    <w:p w14:paraId="6C80E7B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mantenimiento adecuado de estos recursos es esencial para asegurar que puedan ser utilizados de manera efectiva en situaciones de emergencia, minimizando el impacto operativo y garantizando la continuidad de los servicios críticos.</w:t>
      </w:r>
    </w:p>
    <w:p w14:paraId="2845F71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han definido procedimientos específicos para garantizar la disponibilidad de recursos críticos, como sistemas de respaldo, equipos de soporte y redundancia en la infraestructura tecnológica.</w:t>
      </w:r>
    </w:p>
    <w:p w14:paraId="1F256D1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procedimientos están documentados y sujetos a revisiones periódicas para mantener su relevancia frente a cambios en el entorno tecnológico.</w:t>
      </w:r>
    </w:p>
    <w:p w14:paraId="79D72AF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recursos críticos se prueban regularmente para validar su capacidad operativa. Los resultados de estas pruebas se utilizan para realizar ajustes en los planes de recuperación.</w:t>
      </w:r>
    </w:p>
    <w:p w14:paraId="4E97A86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mantenimiento adecuado de estos recursos es esencial para asegurar que puedan ser utilizados en situaciones de emergencia.</w:t>
      </w:r>
    </w:p>
    <w:p w14:paraId="2B25836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5.3. Pruebas, Validación y Mejora Continua</w:t>
      </w:r>
    </w:p>
    <w:p w14:paraId="592F523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El objetivo general de las pruebas realizadas es asegurar que los procesos críticos puedan mantenerse operativos o ser restaurados en tiempos aceptables ante situaciones de emergencia. Estas pruebas buscan validar la eficacia de los planes de continuidad, los mecanismos de respaldo, y la coordinación entre los equipos técnicos. Asimismo, se pretende identificar posibles áreas de mejora para reforzar la capacidad de respuesta y recuperación de la organización.</w:t>
      </w:r>
    </w:p>
    <w:p w14:paraId="077230F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ha llevado a cabo un conjunto de pruebas de continuidad para validar los procesos implementados en la gestión de continuidad del negocio. Los resultados demuestran que AnacondaWeb está preparada para responder a situaciones críticas y mantener la operación de servicios esenciales.</w:t>
      </w:r>
    </w:p>
    <w:p w14:paraId="42CC7E65" w14:textId="77777777" w:rsidR="006C52A6" w:rsidRPr="006C52A6" w:rsidRDefault="006C52A6" w:rsidP="006C52A6">
      <w:pPr>
        <w:pStyle w:val="NormalWeb"/>
        <w:numPr>
          <w:ilvl w:val="0"/>
          <w:numId w:val="60"/>
        </w:numPr>
        <w:jc w:val="both"/>
        <w:rPr>
          <w:rFonts w:asciiTheme="minorHAnsi" w:hAnsiTheme="minorHAnsi" w:cstheme="minorHAnsi"/>
          <w:b/>
          <w:bCs/>
          <w:lang w:val="es-CL"/>
        </w:rPr>
      </w:pPr>
      <w:r w:rsidRPr="006C52A6">
        <w:rPr>
          <w:rFonts w:asciiTheme="minorHAnsi" w:hAnsiTheme="minorHAnsi" w:cstheme="minorHAnsi"/>
          <w:b/>
          <w:bCs/>
          <w:lang w:val="es-CL"/>
        </w:rPr>
        <w:t>Listado y Análisis de Pruebas de Continuidad</w:t>
      </w:r>
    </w:p>
    <w:p w14:paraId="3A19B14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Prueba 1: Ensayo Operacional en el Datacenter</w:t>
      </w:r>
    </w:p>
    <w:p w14:paraId="06B38AD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Este tipo de ensayo contribuye a la resiliencia operativa al validar la capacidad de los sistemas eléctricos para reaccionar de manera inmediata ante interrupciones inesperadas. Simulaciones de este tipo permiten comprobar la eficiencia de los mecanismos de conmutación automática, minimizando el tiempo de inactividad y reduciendo el impacto en los servicios críticos.</w:t>
      </w:r>
    </w:p>
    <w:p w14:paraId="30E18ECE"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t>Fecha:</w:t>
      </w:r>
      <w:r w:rsidRPr="006C52A6">
        <w:rPr>
          <w:rFonts w:asciiTheme="minorHAnsi" w:hAnsiTheme="minorHAnsi" w:cstheme="minorHAnsi"/>
          <w:lang w:val="es-CL"/>
        </w:rPr>
        <w:t xml:space="preserve"> 5 de diciembre de 2024</w:t>
      </w:r>
    </w:p>
    <w:p w14:paraId="5830399E"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t>Responsable:</w:t>
      </w:r>
      <w:r w:rsidRPr="006C52A6">
        <w:rPr>
          <w:rFonts w:asciiTheme="minorHAnsi" w:hAnsiTheme="minorHAnsi" w:cstheme="minorHAnsi"/>
          <w:lang w:val="es-CL"/>
        </w:rPr>
        <w:t xml:space="preserve"> Cristian </w:t>
      </w:r>
      <w:proofErr w:type="spellStart"/>
      <w:r w:rsidRPr="006C52A6">
        <w:rPr>
          <w:rFonts w:asciiTheme="minorHAnsi" w:hAnsiTheme="minorHAnsi" w:cstheme="minorHAnsi"/>
          <w:lang w:val="es-CL"/>
        </w:rPr>
        <w:t>Maurelia</w:t>
      </w:r>
      <w:proofErr w:type="spellEnd"/>
    </w:p>
    <w:p w14:paraId="4D1F58DC"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t>Descripción:</w:t>
      </w:r>
      <w:r w:rsidRPr="006C52A6">
        <w:rPr>
          <w:rFonts w:asciiTheme="minorHAnsi" w:hAnsiTheme="minorHAnsi" w:cstheme="minorHAnsi"/>
          <w:lang w:val="es-CL"/>
        </w:rPr>
        <w:t xml:space="preserve"> Se ejecutaron pruebas de </w:t>
      </w:r>
      <w:proofErr w:type="spellStart"/>
      <w:r w:rsidRPr="006C52A6">
        <w:rPr>
          <w:rFonts w:asciiTheme="minorHAnsi" w:hAnsiTheme="minorHAnsi" w:cstheme="minorHAnsi"/>
          <w:lang w:val="es-CL"/>
        </w:rPr>
        <w:t>failover</w:t>
      </w:r>
      <w:proofErr w:type="spellEnd"/>
      <w:r w:rsidRPr="006C52A6">
        <w:rPr>
          <w:rFonts w:asciiTheme="minorHAnsi" w:hAnsiTheme="minorHAnsi" w:cstheme="minorHAnsi"/>
          <w:lang w:val="es-CL"/>
        </w:rPr>
        <w:t xml:space="preserve"> simulando interrupciones eléctricas en el </w:t>
      </w:r>
      <w:proofErr w:type="spellStart"/>
      <w:r w:rsidRPr="006C52A6">
        <w:rPr>
          <w:rFonts w:asciiTheme="minorHAnsi" w:hAnsiTheme="minorHAnsi" w:cstheme="minorHAnsi"/>
          <w:lang w:val="es-CL"/>
        </w:rPr>
        <w:t>datacenter</w:t>
      </w:r>
      <w:proofErr w:type="spellEnd"/>
      <w:r w:rsidRPr="006C52A6">
        <w:rPr>
          <w:rFonts w:asciiTheme="minorHAnsi" w:hAnsiTheme="minorHAnsi" w:cstheme="minorHAnsi"/>
          <w:lang w:val="es-CL"/>
        </w:rPr>
        <w:t>, empleando generadores Kaufmann y sistemas UPS. Durante la simulación, se documentaron tiempos específicos de respuesta, confirmando una conmutación automática exitosa en menos de un minuto.</w:t>
      </w:r>
    </w:p>
    <w:p w14:paraId="46A0D06E"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t>Resultados:</w:t>
      </w:r>
      <w:r w:rsidRPr="006C52A6">
        <w:rPr>
          <w:rFonts w:asciiTheme="minorHAnsi" w:hAnsiTheme="minorHAnsi" w:cstheme="minorHAnsi"/>
          <w:lang w:val="es-CL"/>
        </w:rPr>
        <w:t xml:space="preserve"> Se logró un </w:t>
      </w:r>
      <w:proofErr w:type="spellStart"/>
      <w:r w:rsidRPr="006C52A6">
        <w:rPr>
          <w:rFonts w:asciiTheme="minorHAnsi" w:hAnsiTheme="minorHAnsi" w:cstheme="minorHAnsi"/>
          <w:lang w:val="es-CL"/>
        </w:rPr>
        <w:t>uptime</w:t>
      </w:r>
      <w:proofErr w:type="spellEnd"/>
      <w:r w:rsidRPr="006C52A6">
        <w:rPr>
          <w:rFonts w:asciiTheme="minorHAnsi" w:hAnsiTheme="minorHAnsi" w:cstheme="minorHAnsi"/>
          <w:lang w:val="es-CL"/>
        </w:rPr>
        <w:t xml:space="preserve"> del 100% durante el ensayo de cuatro horas. Los generadores de respaldo demostraron una eficiencia de conmutación automática del 100%.</w:t>
      </w:r>
    </w:p>
    <w:p w14:paraId="2268E401" w14:textId="77777777" w:rsidR="006C52A6" w:rsidRPr="006C52A6" w:rsidRDefault="006C52A6" w:rsidP="006C52A6">
      <w:pPr>
        <w:pStyle w:val="NormalWeb"/>
        <w:numPr>
          <w:ilvl w:val="0"/>
          <w:numId w:val="58"/>
        </w:numPr>
        <w:jc w:val="both"/>
        <w:rPr>
          <w:rFonts w:asciiTheme="minorHAnsi" w:hAnsiTheme="minorHAnsi" w:cstheme="minorHAnsi"/>
          <w:lang w:val="es-CL"/>
        </w:rPr>
      </w:pPr>
      <w:r w:rsidRPr="006C52A6">
        <w:rPr>
          <w:rFonts w:asciiTheme="minorHAnsi" w:hAnsiTheme="minorHAnsi" w:cstheme="minorHAnsi"/>
          <w:b/>
          <w:bCs/>
          <w:lang w:val="es-CL"/>
        </w:rPr>
        <w:t>Conclusión:</w:t>
      </w:r>
      <w:r w:rsidRPr="006C52A6">
        <w:rPr>
          <w:rFonts w:asciiTheme="minorHAnsi" w:hAnsiTheme="minorHAnsi" w:cstheme="minorHAnsi"/>
          <w:lang w:val="es-CL"/>
        </w:rPr>
        <w:t xml:space="preserve"> El sistema eléctrico está debidamente preparado para afrontar cortes de suministro sin afectar los servicios críticos.</w:t>
      </w:r>
    </w:p>
    <w:p w14:paraId="2CFFBE40"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Prueba 2: Prueba de Climatización del Datacenter</w:t>
      </w:r>
    </w:p>
    <w:p w14:paraId="6A32667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Antes de realizar la prueba, la temperatura en la sala de datos estaba regulada a un promedio de 21°C mediante el sistema principal de climatización. Todos los equipos de respaldo fueron previamente inspeccionados para asegurar su correcto funcionamiento, y se verificó que el sistema de monitoreo ambiental estuviera operativo para registrar cualquier variación térmica.</w:t>
      </w:r>
    </w:p>
    <w:p w14:paraId="2A915BBD"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t>Fecha:</w:t>
      </w:r>
      <w:r w:rsidRPr="006C52A6">
        <w:rPr>
          <w:rFonts w:asciiTheme="minorHAnsi" w:hAnsiTheme="minorHAnsi" w:cstheme="minorHAnsi"/>
          <w:lang w:val="es-CL"/>
        </w:rPr>
        <w:t xml:space="preserve"> 9 de diciembre de 2024</w:t>
      </w:r>
    </w:p>
    <w:p w14:paraId="25793535"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t>Responsable:</w:t>
      </w:r>
      <w:r w:rsidRPr="006C52A6">
        <w:rPr>
          <w:rFonts w:asciiTheme="minorHAnsi" w:hAnsiTheme="minorHAnsi" w:cstheme="minorHAnsi"/>
          <w:lang w:val="es-CL"/>
        </w:rPr>
        <w:t xml:space="preserve"> Mauricio Colomera</w:t>
      </w:r>
    </w:p>
    <w:p w14:paraId="35FAFA09"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lastRenderedPageBreak/>
        <w:t>Descripción:</w:t>
      </w:r>
      <w:r w:rsidRPr="006C52A6">
        <w:rPr>
          <w:rFonts w:asciiTheme="minorHAnsi" w:hAnsiTheme="minorHAnsi" w:cstheme="minorHAnsi"/>
          <w:lang w:val="es-CL"/>
        </w:rPr>
        <w:t xml:space="preserve"> Se simuló una falla en el equipo de climatización principal, activando el sistema de respaldo. Si este sistema también fallara, se aplicarían medidas de contingencia adicionales, como la activación de equipos portátiles de enfriamiento y el redireccionamiento temporal de servicios a centros de datos alternativos.</w:t>
      </w:r>
    </w:p>
    <w:p w14:paraId="7857058E"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t>Resultados:</w:t>
      </w:r>
      <w:r w:rsidRPr="006C52A6">
        <w:rPr>
          <w:rFonts w:asciiTheme="minorHAnsi" w:hAnsiTheme="minorHAnsi" w:cstheme="minorHAnsi"/>
          <w:lang w:val="es-CL"/>
        </w:rPr>
        <w:t xml:space="preserve"> El sistema de respaldo mantuvo una temperatura estable de 21°C durante 24 horas.</w:t>
      </w:r>
    </w:p>
    <w:p w14:paraId="3D7D1411" w14:textId="77777777" w:rsidR="006C52A6" w:rsidRPr="006C52A6" w:rsidRDefault="006C52A6" w:rsidP="006C52A6">
      <w:pPr>
        <w:pStyle w:val="NormalWeb"/>
        <w:numPr>
          <w:ilvl w:val="0"/>
          <w:numId w:val="59"/>
        </w:numPr>
        <w:jc w:val="both"/>
        <w:rPr>
          <w:rFonts w:asciiTheme="minorHAnsi" w:hAnsiTheme="minorHAnsi" w:cstheme="minorHAnsi"/>
          <w:lang w:val="es-CL"/>
        </w:rPr>
      </w:pPr>
      <w:r w:rsidRPr="006C52A6">
        <w:rPr>
          <w:rFonts w:asciiTheme="minorHAnsi" w:hAnsiTheme="minorHAnsi" w:cstheme="minorHAnsi"/>
          <w:b/>
          <w:bCs/>
          <w:lang w:val="es-CL"/>
        </w:rPr>
        <w:t>Conclusión:</w:t>
      </w:r>
      <w:r w:rsidRPr="006C52A6">
        <w:rPr>
          <w:rFonts w:asciiTheme="minorHAnsi" w:hAnsiTheme="minorHAnsi" w:cstheme="minorHAnsi"/>
          <w:lang w:val="es-CL"/>
        </w:rPr>
        <w:t xml:space="preserve"> La infraestructura de respaldo de climatización es capaz de mantener condiciones óptimas durante emergencias prolongadas.</w:t>
      </w:r>
    </w:p>
    <w:p w14:paraId="0277B73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Prueba 3: Evaluación de Redundancia de Enlaces de Internet</w:t>
      </w:r>
    </w:p>
    <w:p w14:paraId="45BC165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Esta evaluación incluyó la interrupción de dos enlaces de internet para comprobar la capacidad de recuperación. En total, AnacondaWeb cuenta con cuatro enlaces redundantes configurados, lo que permite mantener la conectividad sin interrupciones en caso de fallos múltiples.</w:t>
      </w:r>
    </w:p>
    <w:p w14:paraId="5BB2CAC6"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t>Fecha:</w:t>
      </w:r>
      <w:r w:rsidRPr="006C52A6">
        <w:rPr>
          <w:rFonts w:asciiTheme="minorHAnsi" w:hAnsiTheme="minorHAnsi" w:cstheme="minorHAnsi"/>
          <w:lang w:val="es-CL"/>
        </w:rPr>
        <w:t xml:space="preserve"> 2 de diciembre de 2024</w:t>
      </w:r>
    </w:p>
    <w:p w14:paraId="7519E85D"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t>Responsable:</w:t>
      </w:r>
      <w:r w:rsidRPr="006C52A6">
        <w:rPr>
          <w:rFonts w:asciiTheme="minorHAnsi" w:hAnsiTheme="minorHAnsi" w:cstheme="minorHAnsi"/>
          <w:lang w:val="es-CL"/>
        </w:rPr>
        <w:t xml:space="preserve"> Cristian </w:t>
      </w:r>
      <w:proofErr w:type="spellStart"/>
      <w:r w:rsidRPr="006C52A6">
        <w:rPr>
          <w:rFonts w:asciiTheme="minorHAnsi" w:hAnsiTheme="minorHAnsi" w:cstheme="minorHAnsi"/>
          <w:lang w:val="es-CL"/>
        </w:rPr>
        <w:t>Maurelia</w:t>
      </w:r>
      <w:proofErr w:type="spellEnd"/>
    </w:p>
    <w:p w14:paraId="7DF44133"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t>Descripción:</w:t>
      </w:r>
      <w:r w:rsidRPr="006C52A6">
        <w:rPr>
          <w:rFonts w:asciiTheme="minorHAnsi" w:hAnsiTheme="minorHAnsi" w:cstheme="minorHAnsi"/>
          <w:lang w:val="es-CL"/>
        </w:rPr>
        <w:t xml:space="preserve"> Se interrumpieron dos enlaces de internet para comprobar la redundancia de la red.</w:t>
      </w:r>
    </w:p>
    <w:p w14:paraId="1E7646D4"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t>Resultados:</w:t>
      </w:r>
      <w:r w:rsidRPr="006C52A6">
        <w:rPr>
          <w:rFonts w:asciiTheme="minorHAnsi" w:hAnsiTheme="minorHAnsi" w:cstheme="minorHAnsi"/>
          <w:lang w:val="es-CL"/>
        </w:rPr>
        <w:t xml:space="preserve"> Los enlaces redundantes de </w:t>
      </w:r>
      <w:proofErr w:type="spellStart"/>
      <w:r w:rsidRPr="006C52A6">
        <w:rPr>
          <w:rFonts w:asciiTheme="minorHAnsi" w:hAnsiTheme="minorHAnsi" w:cstheme="minorHAnsi"/>
          <w:lang w:val="es-CL"/>
        </w:rPr>
        <w:t>Silica</w:t>
      </w:r>
      <w:proofErr w:type="spellEnd"/>
      <w:r w:rsidRPr="006C52A6">
        <w:rPr>
          <w:rFonts w:asciiTheme="minorHAnsi" w:hAnsiTheme="minorHAnsi" w:cstheme="minorHAnsi"/>
          <w:lang w:val="es-CL"/>
        </w:rPr>
        <w:t xml:space="preserve"> y Entel garantizaron la estabilidad de la red sin interrupciones en los servicios. Este tipo de pruebas se realiza de forma semestral para asegurar que los mecanismos de redundancia sigan operando de manera efectiva ante diferentes escenarios de falla.</w:t>
      </w:r>
    </w:p>
    <w:p w14:paraId="3A87EBE3" w14:textId="77777777" w:rsidR="006C52A6" w:rsidRPr="006C52A6" w:rsidRDefault="006C52A6" w:rsidP="006C52A6">
      <w:pPr>
        <w:pStyle w:val="NormalWeb"/>
        <w:numPr>
          <w:ilvl w:val="0"/>
          <w:numId w:val="60"/>
        </w:numPr>
        <w:jc w:val="both"/>
        <w:rPr>
          <w:rFonts w:asciiTheme="minorHAnsi" w:hAnsiTheme="minorHAnsi" w:cstheme="minorHAnsi"/>
          <w:lang w:val="es-CL"/>
        </w:rPr>
      </w:pPr>
      <w:r w:rsidRPr="006C52A6">
        <w:rPr>
          <w:rFonts w:asciiTheme="minorHAnsi" w:hAnsiTheme="minorHAnsi" w:cstheme="minorHAnsi"/>
          <w:b/>
          <w:bCs/>
          <w:lang w:val="es-CL"/>
        </w:rPr>
        <w:t>Conclusión:</w:t>
      </w:r>
      <w:r w:rsidRPr="006C52A6">
        <w:rPr>
          <w:rFonts w:asciiTheme="minorHAnsi" w:hAnsiTheme="minorHAnsi" w:cstheme="minorHAnsi"/>
          <w:lang w:val="es-CL"/>
        </w:rPr>
        <w:t xml:space="preserve"> La configuración redundante asegura la continuidad de la conectividad ante fallas de múltiples proveedores.</w:t>
      </w:r>
    </w:p>
    <w:p w14:paraId="0B71382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Prueba 4: Conmutación por Error en Base de Datos</w:t>
      </w:r>
    </w:p>
    <w:p w14:paraId="118353E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Esta prueba implicó una simulación de un fallo en el servidor primario con redirección automática al servidor secundario. Durante la ejecución, se documentó que la conmutación se completó en un tiempo de 2 minutos, lo que cumplió con los parámetros establecidos en el plan de continuidad. Este tiempo de respuesta confirma la eficacia de la configuración de alta disponibilidad y replicación de datos, minimizando el impacto en los servicios.</w:t>
      </w:r>
    </w:p>
    <w:p w14:paraId="7637BAA8"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Fecha:</w:t>
      </w:r>
      <w:r w:rsidRPr="006C52A6">
        <w:rPr>
          <w:rFonts w:asciiTheme="minorHAnsi" w:hAnsiTheme="minorHAnsi" w:cstheme="minorHAnsi"/>
          <w:lang w:val="es-CL"/>
        </w:rPr>
        <w:t xml:space="preserve"> 12 de noviembre de 2024</w:t>
      </w:r>
    </w:p>
    <w:p w14:paraId="5300C022"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Responsable:</w:t>
      </w:r>
      <w:r w:rsidRPr="006C52A6">
        <w:rPr>
          <w:rFonts w:asciiTheme="minorHAnsi" w:hAnsiTheme="minorHAnsi" w:cstheme="minorHAnsi"/>
          <w:lang w:val="es-CL"/>
        </w:rPr>
        <w:t xml:space="preserve"> Juan Andrés Rojas</w:t>
      </w:r>
    </w:p>
    <w:p w14:paraId="5ED7B0FD"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Descripción:</w:t>
      </w:r>
      <w:r w:rsidRPr="006C52A6">
        <w:rPr>
          <w:rFonts w:asciiTheme="minorHAnsi" w:hAnsiTheme="minorHAnsi" w:cstheme="minorHAnsi"/>
          <w:lang w:val="es-CL"/>
        </w:rPr>
        <w:t xml:space="preserve"> Simulación de un fallo en el servidor primario con redirección automática al servidor secundario.</w:t>
      </w:r>
    </w:p>
    <w:p w14:paraId="13ADD58B"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Resultados:</w:t>
      </w:r>
      <w:r w:rsidRPr="006C52A6">
        <w:rPr>
          <w:rFonts w:asciiTheme="minorHAnsi" w:hAnsiTheme="minorHAnsi" w:cstheme="minorHAnsi"/>
          <w:lang w:val="es-CL"/>
        </w:rPr>
        <w:t xml:space="preserve"> El servidor secundario procesó las 100 solicitudes programadas sin interrupciones. Las pruebas de replicación de datos se realizan de manera trimestral, simulando fallos en el servidor primario para verificar que la transferencia de tráfico y la integridad de los datos se mantengan sin afectaciones.</w:t>
      </w:r>
    </w:p>
    <w:p w14:paraId="0EE60419" w14:textId="77777777" w:rsidR="006C52A6" w:rsidRPr="006C52A6" w:rsidRDefault="006C52A6" w:rsidP="006C52A6">
      <w:pPr>
        <w:pStyle w:val="NormalWeb"/>
        <w:numPr>
          <w:ilvl w:val="0"/>
          <w:numId w:val="61"/>
        </w:numPr>
        <w:jc w:val="both"/>
        <w:rPr>
          <w:rFonts w:asciiTheme="minorHAnsi" w:hAnsiTheme="minorHAnsi" w:cstheme="minorHAnsi"/>
          <w:lang w:val="es-CL"/>
        </w:rPr>
      </w:pPr>
      <w:r w:rsidRPr="006C52A6">
        <w:rPr>
          <w:rFonts w:asciiTheme="minorHAnsi" w:hAnsiTheme="minorHAnsi" w:cstheme="minorHAnsi"/>
          <w:b/>
          <w:bCs/>
          <w:lang w:val="es-CL"/>
        </w:rPr>
        <w:t>Conclusión:</w:t>
      </w:r>
      <w:r w:rsidRPr="006C52A6">
        <w:rPr>
          <w:rFonts w:asciiTheme="minorHAnsi" w:hAnsiTheme="minorHAnsi" w:cstheme="minorHAnsi"/>
          <w:lang w:val="es-CL"/>
        </w:rPr>
        <w:t xml:space="preserve"> La replicación de datos y la configuración de alta disponibilidad aseguran un tiempo de respuesta adecuado en casos de fallo crítico.</w:t>
      </w:r>
    </w:p>
    <w:p w14:paraId="2937FB5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Estos resultados consolidan la capacidad operativa de AnacondaWeb en cumplimiento con los estándares de la norma ISO 27001:2022. Entre los principales logros se destacan la validación de tiempos de recuperación óptimos y el fortalecimiento de la coordinación entre equipos. Las pruebas han permitido identificar áreas de mejora clave, como la comunicación en incidentes críticos. A través de auditorías periódicas, se refuerza una política de mejora continua, asegurando que la organización mantenga una resiliencia adecuada frente a nuevas amenazas y condiciones operativas cambiantes.</w:t>
      </w:r>
    </w:p>
    <w:p w14:paraId="63B109C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ha llevado a cabo un conjunto de pruebas de continuidad para validar los procesos implementados en la gestión de continuidad del negocio. Los resultados demuestran que AnacondaWeb está preparada para responder a situaciones críticas y mantener la operación de servicios esenciales.</w:t>
      </w:r>
    </w:p>
    <w:p w14:paraId="19D1B9D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En diciembre de 2024, Cristian </w:t>
      </w:r>
      <w:proofErr w:type="spellStart"/>
      <w:r w:rsidRPr="006C52A6">
        <w:rPr>
          <w:rFonts w:asciiTheme="minorHAnsi" w:hAnsiTheme="minorHAnsi" w:cstheme="minorHAnsi"/>
          <w:lang w:val="es-CL"/>
        </w:rPr>
        <w:t>Maurelia</w:t>
      </w:r>
      <w:proofErr w:type="spellEnd"/>
      <w:r w:rsidRPr="006C52A6">
        <w:rPr>
          <w:rFonts w:asciiTheme="minorHAnsi" w:hAnsiTheme="minorHAnsi" w:cstheme="minorHAnsi"/>
          <w:lang w:val="es-CL"/>
        </w:rPr>
        <w:t xml:space="preserve"> lideró un ensayo operacional en el </w:t>
      </w:r>
      <w:proofErr w:type="spellStart"/>
      <w:r w:rsidRPr="006C52A6">
        <w:rPr>
          <w:rFonts w:asciiTheme="minorHAnsi" w:hAnsiTheme="minorHAnsi" w:cstheme="minorHAnsi"/>
          <w:lang w:val="es-CL"/>
        </w:rPr>
        <w:t>datacenter</w:t>
      </w:r>
      <w:proofErr w:type="spellEnd"/>
      <w:r w:rsidRPr="006C52A6">
        <w:rPr>
          <w:rFonts w:asciiTheme="minorHAnsi" w:hAnsiTheme="minorHAnsi" w:cstheme="minorHAnsi"/>
          <w:lang w:val="es-CL"/>
        </w:rPr>
        <w:t>, simulando interrupciones eléctricas mediante el uso de generadores de respaldo y sistemas UPS. Los resultados evidenciaron una disponibilidad del 100% durante el ensayo, validando la eficacia de los generadores Kaufmann. La prueba confirmó que los mecanismos de conmutación automática funcionan de manera eficiente.</w:t>
      </w:r>
    </w:p>
    <w:p w14:paraId="1DD43C90"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Mauricio Colomera supervisó otra prueba en el sistema de climatización del </w:t>
      </w:r>
      <w:proofErr w:type="spellStart"/>
      <w:r w:rsidRPr="006C52A6">
        <w:rPr>
          <w:rFonts w:asciiTheme="minorHAnsi" w:hAnsiTheme="minorHAnsi" w:cstheme="minorHAnsi"/>
          <w:lang w:val="es-CL"/>
        </w:rPr>
        <w:t>datacenter</w:t>
      </w:r>
      <w:proofErr w:type="spellEnd"/>
      <w:r w:rsidRPr="006C52A6">
        <w:rPr>
          <w:rFonts w:asciiTheme="minorHAnsi" w:hAnsiTheme="minorHAnsi" w:cstheme="minorHAnsi"/>
          <w:lang w:val="es-CL"/>
        </w:rPr>
        <w:t xml:space="preserve"> el 9 de diciembre de 2024. Al interrumpir el equipo principal, el sistema de respaldo asumió la carga térmica, manteniendo una temperatura controlada de 21°C durante 24 horas continuas. Esto demostró la capacidad del sistema para operar de forma ininterrumpida bajo condiciones de fallo. Después de esta prueba, se identificó la necesidad de fortalecer los sistemas de monitoreo en tiempo real para prever posibles sobrecargas en equipos de respaldo, lo que llevó a la implementación de sensores adicionales y a un plan de mantenimiento preventivo más riguroso.</w:t>
      </w:r>
    </w:p>
    <w:p w14:paraId="72241BA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El 2 de diciembre de 2024, se realizó una evaluación de la redundancia en la conectividad de internet, gestionada por Cristian </w:t>
      </w:r>
      <w:proofErr w:type="spellStart"/>
      <w:r w:rsidRPr="006C52A6">
        <w:rPr>
          <w:rFonts w:asciiTheme="minorHAnsi" w:hAnsiTheme="minorHAnsi" w:cstheme="minorHAnsi"/>
          <w:lang w:val="es-CL"/>
        </w:rPr>
        <w:t>Maurelia</w:t>
      </w:r>
      <w:proofErr w:type="spellEnd"/>
      <w:r w:rsidRPr="006C52A6">
        <w:rPr>
          <w:rFonts w:asciiTheme="minorHAnsi" w:hAnsiTheme="minorHAnsi" w:cstheme="minorHAnsi"/>
          <w:lang w:val="es-CL"/>
        </w:rPr>
        <w:t xml:space="preserve">. Se cortaron dos enlaces principales para verificar la estabilidad de la red. Los resultados confirmaron que los enlaces redundantes de </w:t>
      </w:r>
      <w:proofErr w:type="spellStart"/>
      <w:r w:rsidRPr="006C52A6">
        <w:rPr>
          <w:rFonts w:asciiTheme="minorHAnsi" w:hAnsiTheme="minorHAnsi" w:cstheme="minorHAnsi"/>
          <w:lang w:val="es-CL"/>
        </w:rPr>
        <w:t>Silica</w:t>
      </w:r>
      <w:proofErr w:type="spellEnd"/>
      <w:r w:rsidRPr="006C52A6">
        <w:rPr>
          <w:rFonts w:asciiTheme="minorHAnsi" w:hAnsiTheme="minorHAnsi" w:cstheme="minorHAnsi"/>
          <w:lang w:val="es-CL"/>
        </w:rPr>
        <w:t xml:space="preserve"> y Entel mantuvieron la estabilidad del servicio sin afectaciones a los clientes, cumpliendo con los SLA establecidos.</w:t>
      </w:r>
    </w:p>
    <w:p w14:paraId="6E45D07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Finalmente, Juan Andrés Rojas lideró una simulación de conmutación de la base de datos el 12 de noviembre de 2024. Durante esta prueba, el tráfico fue redirigido automáticamente al servidor secundario, asegurando una respuesta continua sin interrupciones. Este procedimiento validó la configuración de alta disponibilidad y replicación de datos.</w:t>
      </w:r>
    </w:p>
    <w:p w14:paraId="075BA71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Estos resultados consolidan la capacidad operativa de AnacondaWeb en cumplimiento con los estándares de la norma ISO 27001:2022, garantizando la mejora continua a través de auditorías y simulaciones periódicas.</w:t>
      </w:r>
    </w:p>
    <w:p w14:paraId="622533C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6. Revisión y Hallazgos Previos</w:t>
      </w:r>
    </w:p>
    <w:p w14:paraId="48405C1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Durante las revisiones más recientes, se ha identificado que la documentación de los planes de continuidad presenta avances significativos en relación con auditorías anteriores. Sin embargo, los hallazgos señalaron deficiencias en varias áreas clave. Por ejemplo, se observó una falta de definición detallada en algunos roles de responsabilidad durante situaciones críticas, lo que podría ocasionar demoras en la ejecución de los procedimientos.</w:t>
      </w:r>
    </w:p>
    <w:p w14:paraId="681ACA48"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Además, se detectó que no todas las áreas operativas habían realizado simulaciones de escenarios complejos, como fallas simultáneas en sistemas redundantes. Esto representa un riesgo potencial al no tener claridad sobre cómo responder de manera efectiva ante situaciones de alta complejidad.</w:t>
      </w:r>
    </w:p>
    <w:p w14:paraId="66CF0EC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Otro hallazgo relevante fue la insuficiente integración de las comunicaciones entre los equipos de infraestructura, seguridad de la información y soporte técnico. La falta de coordinación efectiva podría afectar la velocidad de recuperación en incidentes críticos. Como resultado, se propusieron reuniones de planificación conjunta y la designación de puntos de contacto interdepartamentales.</w:t>
      </w:r>
    </w:p>
    <w:p w14:paraId="30762A2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Finalmente, los responsables acordaron implementar revisiones trimestrales para evaluar el cumplimiento de los planes de continuidad y los resultados de las pruebas realizadas. Este enfoque busca mejorar la supervisión y asegurar una respuesta más ágil frente a cambios en los requisitos operativos o en el entorno tecnológico.</w:t>
      </w:r>
    </w:p>
    <w:p w14:paraId="403CEA4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Durante las revisiones más recientes, se ha identificado que la documentación de los planes de continuidad presenta avances significativos en relación con auditorías anteriores. Sin embargo, se encontraron deficiencias menores en la especificación de roles clave y en la coordinación de pruebas entre áreas operativas.</w:t>
      </w:r>
    </w:p>
    <w:p w14:paraId="7BF5394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Los hallazgos resaltaron también la falta de simulaciones en ciertos escenarios críticos, lo que podría afectar la capacidad de respuesta en incidentes no contemplados. Estas áreas han sido priorizadas en los nuevos planes de mejora continua.</w:t>
      </w:r>
    </w:p>
    <w:p w14:paraId="09A43B0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Adicionalmente, se destacó la necesidad de mejorar la comunicación interna entre los distintos equipos responsables de la recuperación ante desastres. Para ello, se han propuesto medidas específicas como reuniones periódicas de planificación, la creación de un sistema de comunicación centralizado para emergencias y la asignación de enlaces directos de comunicación en cada equipo operativo. Estas acciones buscan asegurar que la información fluya de manera rápida y precisa durante situaciones críticas, minimizando el riesgo de malentendidos o demoras.</w:t>
      </w:r>
    </w:p>
    <w:p w14:paraId="7C7A5A2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Finalmente, los responsables de cada área han acordado realizar una revisión trimestral de los hallazgos y planes correctivos, lo que permitirá mantener una supervisión constante y una respuesta más ágil ante cambios en los requisitos del negocio.</w:t>
      </w:r>
    </w:p>
    <w:p w14:paraId="7CE0A03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Las auditorías realizadas han identificado mejoras significativas en los procesos de gestión de continuidad. Sin embargo, se encontraron oportunidades de mejora en la documentación de </w:t>
      </w:r>
      <w:r w:rsidRPr="006C52A6">
        <w:rPr>
          <w:rFonts w:asciiTheme="minorHAnsi" w:hAnsiTheme="minorHAnsi" w:cstheme="minorHAnsi"/>
          <w:lang w:val="es-CL"/>
        </w:rPr>
        <w:lastRenderedPageBreak/>
        <w:t>procedimientos y en la asignación de responsabilidades específicas para incidentes críticos. Estos hallazgos se han documentado y se han iniciado planes de acción para abordar las deficiencias detectadas.</w:t>
      </w:r>
    </w:p>
    <w:p w14:paraId="506F647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comunicación entre áreas también fue un punto señalado en los hallazgos, destacando la necesidad de establecer protocolos más claros para la coordinación en situaciones de emergencia.</w:t>
      </w:r>
    </w:p>
    <w:p w14:paraId="5C6E77F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7. Recomendaciones Finales</w:t>
      </w:r>
    </w:p>
    <w:p w14:paraId="14FCD17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recomienda priorizar las siguientes acciones para fortalecer la gestión de continuidad del negocio:</w:t>
      </w:r>
    </w:p>
    <w:p w14:paraId="41FC8571" w14:textId="77777777" w:rsidR="006C52A6" w:rsidRPr="006C52A6" w:rsidRDefault="006C52A6" w:rsidP="006C52A6">
      <w:pPr>
        <w:pStyle w:val="NormalWeb"/>
        <w:numPr>
          <w:ilvl w:val="0"/>
          <w:numId w:val="62"/>
        </w:numPr>
        <w:jc w:val="both"/>
        <w:rPr>
          <w:rFonts w:asciiTheme="minorHAnsi" w:hAnsiTheme="minorHAnsi" w:cstheme="minorHAnsi"/>
          <w:lang w:val="es-CL"/>
        </w:rPr>
      </w:pPr>
      <w:r w:rsidRPr="006C52A6">
        <w:rPr>
          <w:rFonts w:asciiTheme="minorHAnsi" w:hAnsiTheme="minorHAnsi" w:cstheme="minorHAnsi"/>
          <w:b/>
          <w:bCs/>
          <w:lang w:val="es-CL"/>
        </w:rPr>
        <w:t>Auditorías periódicas:</w:t>
      </w:r>
      <w:r w:rsidRPr="006C52A6">
        <w:rPr>
          <w:rFonts w:asciiTheme="minorHAnsi" w:hAnsiTheme="minorHAnsi" w:cstheme="minorHAnsi"/>
          <w:lang w:val="es-CL"/>
        </w:rPr>
        <w:t xml:space="preserve"> Mantener un ciclo continuo de auditorías internas y externas para validar la eficacia de los planes de recuperación y la implementación de mejoras.</w:t>
      </w:r>
    </w:p>
    <w:p w14:paraId="0F981745" w14:textId="77777777" w:rsidR="006C52A6" w:rsidRPr="006C52A6" w:rsidRDefault="006C52A6" w:rsidP="006C52A6">
      <w:pPr>
        <w:pStyle w:val="NormalWeb"/>
        <w:numPr>
          <w:ilvl w:val="0"/>
          <w:numId w:val="62"/>
        </w:numPr>
        <w:jc w:val="both"/>
        <w:rPr>
          <w:rFonts w:asciiTheme="minorHAnsi" w:hAnsiTheme="minorHAnsi" w:cstheme="minorHAnsi"/>
          <w:lang w:val="es-CL"/>
        </w:rPr>
      </w:pPr>
      <w:r w:rsidRPr="006C52A6">
        <w:rPr>
          <w:rFonts w:asciiTheme="minorHAnsi" w:hAnsiTheme="minorHAnsi" w:cstheme="minorHAnsi"/>
          <w:b/>
          <w:bCs/>
          <w:lang w:val="es-CL"/>
        </w:rPr>
        <w:t>Capacitación del personal:</w:t>
      </w:r>
      <w:r w:rsidRPr="006C52A6">
        <w:rPr>
          <w:rFonts w:asciiTheme="minorHAnsi" w:hAnsiTheme="minorHAnsi" w:cstheme="minorHAnsi"/>
          <w:lang w:val="es-CL"/>
        </w:rPr>
        <w:t xml:space="preserve"> Reforzar la formación especializada en procedimientos críticos de recuperación, con énfasis en pruebas de simulación y manejo de emergencias.</w:t>
      </w:r>
    </w:p>
    <w:p w14:paraId="58C17606" w14:textId="77777777" w:rsidR="006C52A6" w:rsidRPr="006C52A6" w:rsidRDefault="006C52A6" w:rsidP="006C52A6">
      <w:pPr>
        <w:pStyle w:val="NormalWeb"/>
        <w:numPr>
          <w:ilvl w:val="0"/>
          <w:numId w:val="62"/>
        </w:numPr>
        <w:jc w:val="both"/>
        <w:rPr>
          <w:rFonts w:asciiTheme="minorHAnsi" w:hAnsiTheme="minorHAnsi" w:cstheme="minorHAnsi"/>
          <w:lang w:val="es-CL"/>
        </w:rPr>
      </w:pPr>
      <w:r w:rsidRPr="006C52A6">
        <w:rPr>
          <w:rFonts w:asciiTheme="minorHAnsi" w:hAnsiTheme="minorHAnsi" w:cstheme="minorHAnsi"/>
          <w:b/>
          <w:bCs/>
          <w:lang w:val="es-CL"/>
        </w:rPr>
        <w:t>Mejorar la documentación:</w:t>
      </w:r>
      <w:r w:rsidRPr="006C52A6">
        <w:rPr>
          <w:rFonts w:asciiTheme="minorHAnsi" w:hAnsiTheme="minorHAnsi" w:cstheme="minorHAnsi"/>
          <w:lang w:val="es-CL"/>
        </w:rPr>
        <w:t xml:space="preserve"> Detallar de forma más exhaustiva los resultados de las pruebas y simulaciones para permitir un análisis más profundo del desempeño y áreas de mejora.</w:t>
      </w:r>
    </w:p>
    <w:p w14:paraId="10D9BAB8" w14:textId="77777777" w:rsidR="006C52A6" w:rsidRPr="006C52A6" w:rsidRDefault="006C52A6" w:rsidP="006C52A6">
      <w:pPr>
        <w:pStyle w:val="NormalWeb"/>
        <w:numPr>
          <w:ilvl w:val="0"/>
          <w:numId w:val="62"/>
        </w:numPr>
        <w:jc w:val="both"/>
        <w:rPr>
          <w:rFonts w:asciiTheme="minorHAnsi" w:hAnsiTheme="minorHAnsi" w:cstheme="minorHAnsi"/>
          <w:lang w:val="es-CL"/>
        </w:rPr>
      </w:pPr>
      <w:r w:rsidRPr="006C52A6">
        <w:rPr>
          <w:rFonts w:asciiTheme="minorHAnsi" w:hAnsiTheme="minorHAnsi" w:cstheme="minorHAnsi"/>
          <w:b/>
          <w:bCs/>
          <w:lang w:val="es-CL"/>
        </w:rPr>
        <w:t>Monitoreo automatizado:</w:t>
      </w:r>
      <w:r w:rsidRPr="006C52A6">
        <w:rPr>
          <w:rFonts w:asciiTheme="minorHAnsi" w:hAnsiTheme="minorHAnsi" w:cstheme="minorHAnsi"/>
          <w:lang w:val="es-CL"/>
        </w:rPr>
        <w:t xml:space="preserve"> Implementar un sistema de monitoreo en tiempo real que permita identificar de manera proactiva fallas potenciales en los recursos críticos, garantizando una respuesta oportuna.</w:t>
      </w:r>
    </w:p>
    <w:p w14:paraId="0BDCE5F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Estas medidas tienen como objetivo mejorar la capacidad de respuesta, optimizar la coordinación interna y asegurar la resiliencia operativa frente a futuras amenazas.</w:t>
      </w:r>
    </w:p>
    <w:p w14:paraId="346EBBE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Se recomienda continuar con el ciclo de auditorías periódicas, asegurando que las pruebas de continuidad se realicen en todos los escenarios críticos identificados. Esto permitirá detectar y corregir posibles deficiencias en los tiempos de respuesta y recuperación.</w:t>
      </w:r>
    </w:p>
    <w:p w14:paraId="172C375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Es esencial reforzar la capacitación de los equipos operativos y técnicos, enfocándose en la ejecución de los procedimientos de recuperación y en la utilización de los recursos críticos. Los programas de formación deben incluir simulaciones de escenarios de emergencia, manejo de herramientas de respaldo, protocolos de comunicación interna y técnicas avanzadas de gestión de incidentes. Esto mejorará la coordinación, la toma de decisiones y la eficiencia de las acciones durante emergencias.</w:t>
      </w:r>
    </w:p>
    <w:p w14:paraId="16548A1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Además, se sugiere documentar más detalladamente los resultados de las simulaciones, permitiendo una mejor evaluación del desempeño y la identificación de áreas de mejora.</w:t>
      </w:r>
    </w:p>
    <w:p w14:paraId="444304C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Por último, se recomienda implementar un sistema de monitoreo automatizado para supervisar en tiempo real los recursos críticos, facilitando una detección temprana de fallas potenciales.</w:t>
      </w:r>
    </w:p>
    <w:p w14:paraId="5A1C01E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Se recomienda continuar con el ciclo de auditorías periódicas para mantener actualizados los planes de continuidad. Además, se sugiere reforzar la capacitación del personal, en particular en la ejecución de los procedimientos críticos de recuperación.</w:t>
      </w:r>
    </w:p>
    <w:p w14:paraId="7F81645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implementación de pruebas adicionales de simulación puede contribuir a una mayor preparación para escenarios de alto impacto.</w:t>
      </w:r>
    </w:p>
    <w:p w14:paraId="21F42A24"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8. Conclusiones</w:t>
      </w:r>
    </w:p>
    <w:p w14:paraId="2F015F5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implementación de la gestión de continuidad del negocio en AnacondaWeb ha demostrado ser efectiva para minimizar riesgos operativos y garantizar la estabilidad de los servicios críticos. Las auditorías realizadas confirman que los procesos establecidos cumplen con los requisitos de la norma ISO 27001:2022.</w:t>
      </w:r>
    </w:p>
    <w:p w14:paraId="62B3C2F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Las pruebas de continuidad han validado la capacidad de la organización para responder ante situaciones de emergencia, asegurando la disponibilidad de los recursos esenciales y la protección de los datos. Comparado con auditorías anteriores, se ha evidenciado una mejora en los tiempos de respuesta y en la eficacia de los mecanismos de redundancia, lo que refuerza la preparación general de la organización frente a posibles incidentes.</w:t>
      </w:r>
    </w:p>
    <w:p w14:paraId="254BF55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mejora continua se ha convertido en un principio rector dentro de la gestión, lo que permite a AnacondaWeb adaptarse a los cambios tecnológicos y a las nuevas amenazas emergentes.</w:t>
      </w:r>
    </w:p>
    <w:p w14:paraId="6E10FD59"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Como próximos pasos, se plantea la implementación de nuevas pruebas de simulación en escenarios complejos y la revisión periódica de los acuerdos de nivel de servicio (SLA). Además, se desarrollará un programa de capacitación ampliado para fortalecer las habilidades técnicas del personal en situaciones críticas.</w:t>
      </w:r>
    </w:p>
    <w:p w14:paraId="1CD4363F"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implementación de la gestión de continuidad del negocio en AnacondaWeb ha demostrado ser efectiva para minimizar riesgos operativos y garantizar la estabilidad de los servicios críticos. Las auditorías realizadas confirman que los procesos establecidos cumplen con los requisitos de la norma ISO 27001:2022.</w:t>
      </w:r>
    </w:p>
    <w:p w14:paraId="1431CC8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Las pruebas de continuidad han validado la capacidad de la organización para responder ante situaciones de emergencia, asegurando la disponibilidad de los recursos esenciales y la protección de los datos.</w:t>
      </w:r>
    </w:p>
    <w:p w14:paraId="558129D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La mejora continua se ha convertido en un principio rector dentro de la gestión, lo que permite a AnacondaWeb adaptarse a los cambios tecnológicos y a las nuevas amenazas emergentes.</w:t>
      </w:r>
    </w:p>
    <w:p w14:paraId="5730120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Con estos resultados, la organización ha consolidado su compromiso con la seguridad de la información y la continuidad operativa, fortaleciendo la confianza de sus clientes y socios comerciales.</w:t>
      </w:r>
    </w:p>
    <w:p w14:paraId="6A304AF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lastRenderedPageBreak/>
        <w:t>La gestión de continuidad implementada por AnacondaWeb ha demostrado ser efectiva en la mitigación de riesgos operativos. Las auditorías y pruebas realizadas confirman que los procesos cumplen con los requisitos de la norma ISO 27001:2022, lo que garantiza la sostenibilidad de los servicios críticos.</w:t>
      </w:r>
    </w:p>
    <w:p w14:paraId="59B9D1CE"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b/>
          <w:bCs/>
          <w:lang w:val="es-CL"/>
        </w:rPr>
        <w:t>9. Anexo: Descripción del Anexo A.17 de la Norma ISO 27001:2022</w:t>
      </w:r>
    </w:p>
    <w:p w14:paraId="48B2BC61"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Anexo A.17 de la norma ISO 27001:2022 establece una serie de controles destinados a garantizar la continuidad del negocio en situaciones de emergencia. Estos controles están diseñados para asegurar la disponibilidad, integridad y confidencialidad de los servicios críticos de la organización. Ejemplos específicos incluyen la implementación de redundancia en enlaces de comunicación, replicación en tiempo real de bases de datos, sistemas de respaldo automático y protocolos de recuperación rápida ante fallos. Estos controles permiten que los servicios críticos se mantengan operativos aun en situaciones de emergencia.</w:t>
      </w:r>
    </w:p>
    <w:p w14:paraId="0BF1A856"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AnacondaWeb ha implementado estos controles mediante la creación de planes detallados de continuidad operativa, los cuales incluyen estrategias de recuperación ante desastres, redundancia en los sistemas críticos y pruebas periódicas de validación. Además, la empresa ha desarrollado procedimientos de respaldo automatizados y ha fortalecido la infraestructura tecnológica para minimizar tiempos de inactividad.</w:t>
      </w:r>
    </w:p>
    <w:p w14:paraId="50D3AF93"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Entre los principales requisitos del Anexo A.17 se incluye la necesidad de implementar planes de continuidad que aborden posibles fallas en la infraestructura, la tecnología o el suministro de recursos esenciales. Dichos planes deben estar documentados y probados periódicamente, con una frecuencia mínima de una vez al año, para garantizar su efectividad frente a situaciones de emergencia.</w:t>
      </w:r>
    </w:p>
    <w:p w14:paraId="64038D6A"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También se especifica la importancia de contar con procedimientos de respaldo y recuperación, los cuales deben ser conocidos por los responsables de cada área operativa. Esto garantiza que las acciones de respuesta se ejecuten de manera rápida y efectiva. Áreas como infraestructura tecnológica y soporte técnico han demostrado una mejora significativa en sus tiempos de reacción, gracias a una mayor automatización en los procesos de monitoreo y coordinación interna.</w:t>
      </w:r>
    </w:p>
    <w:p w14:paraId="775514BD"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Por último, el Anexo A.17 resalta la relevancia de mantener una política de mejora continua, asegurando que los planes de continuidad se actualicen en función de las lecciones aprendidas y de los cambios en el entorno empresarial. Recientemente, la implementación de nuevas tecnologías en los sistemas de monitoreo y las actualizaciones en los requisitos de ciberseguridad han motivado ajustes en los procedimientos de respaldo y en los protocolos de respuesta ante incidentes. Estas modificaciones garantizan que la organización se mantenga preparada ante las amenazas emergentes.</w:t>
      </w:r>
    </w:p>
    <w:p w14:paraId="160992D2"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 xml:space="preserve">El Anexo A.17 de la norma ISO 27001:2022 establece una serie de controles destinados a garantizar la continuidad del negocio en situaciones de emergencia. Estos controles están </w:t>
      </w:r>
      <w:r w:rsidRPr="006C52A6">
        <w:rPr>
          <w:rFonts w:asciiTheme="minorHAnsi" w:hAnsiTheme="minorHAnsi" w:cstheme="minorHAnsi"/>
          <w:lang w:val="es-CL"/>
        </w:rPr>
        <w:lastRenderedPageBreak/>
        <w:t>diseñados para asegurar la disponibilidad, integridad y confidencialidad de los servicios críticos de la organización.</w:t>
      </w:r>
    </w:p>
    <w:p w14:paraId="08523505"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Entre los principales requisitos del Anexo A.17 se incluye la necesidad de implementar planes de continuidad que aborden posibles fallas en la infraestructura, la tecnología o el suministro de recursos esenciales. Dichos planes deben estar documentados y probados periódicamente.</w:t>
      </w:r>
    </w:p>
    <w:p w14:paraId="54C8B32B"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También se especifica la importancia de contar con procedimientos de respaldo y recuperación, los cuales deben ser conocidos por los responsables de cada área operativa. Esto garantiza que las acciones de respuesta se ejecuten de manera rápida y efectiva.</w:t>
      </w:r>
    </w:p>
    <w:p w14:paraId="328E54DC"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Por último, el Anexo A.17 resalta la relevancia de mantener una política de mejora continua, asegurando que los planes de continuidad se actualicen en función de las lecciones aprendidas y de los cambios en el entorno empresarial.</w:t>
      </w:r>
    </w:p>
    <w:p w14:paraId="195A4667" w14:textId="77777777" w:rsidR="006C52A6" w:rsidRPr="006C52A6" w:rsidRDefault="006C52A6" w:rsidP="006C52A6">
      <w:pPr>
        <w:pStyle w:val="NormalWeb"/>
        <w:jc w:val="both"/>
        <w:rPr>
          <w:rFonts w:asciiTheme="minorHAnsi" w:hAnsiTheme="minorHAnsi" w:cstheme="minorHAnsi"/>
          <w:lang w:val="es-CL"/>
        </w:rPr>
      </w:pPr>
      <w:r w:rsidRPr="006C52A6">
        <w:rPr>
          <w:rFonts w:asciiTheme="minorHAnsi" w:hAnsiTheme="minorHAnsi" w:cstheme="minorHAnsi"/>
          <w:lang w:val="es-CL"/>
        </w:rPr>
        <w:t>El Anexo A.17 establece la necesidad de controles que aseguren la disponibilidad de los sistemas y servicios críticos durante situaciones de emergencia. Estos controles incluyen la implementación de planes de continuidad, procedimientos de respaldo y mecanismos de comunicación interna y externa. La norma enfatiza la importancia de mantener una política de mejora continua para garantizar que los procesos se ajusten a los cambios en el entorno operativo y tecnológico.</w:t>
      </w:r>
    </w:p>
    <w:p w14:paraId="32DA72E4" w14:textId="77777777" w:rsidR="00452E7F" w:rsidRPr="00452E7F" w:rsidRDefault="00452E7F" w:rsidP="006C52A6">
      <w:pPr>
        <w:pStyle w:val="NormalWeb"/>
        <w:jc w:val="both"/>
        <w:rPr>
          <w:rFonts w:asciiTheme="minorHAnsi" w:hAnsiTheme="minorHAnsi" w:cstheme="minorHAnsi"/>
          <w:lang w:val="es-CL"/>
        </w:rPr>
      </w:pPr>
    </w:p>
    <w:sectPr w:rsidR="00452E7F" w:rsidRPr="00452E7F" w:rsidSect="00452E7F">
      <w:headerReference w:type="default" r:id="rId11"/>
      <w:footerReference w:type="default" r:id="rId12"/>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3A224" w14:textId="77777777" w:rsidR="004219E0" w:rsidRPr="006C52A6" w:rsidRDefault="004219E0">
      <w:r w:rsidRPr="006C52A6">
        <w:separator/>
      </w:r>
    </w:p>
    <w:p w14:paraId="22202F06" w14:textId="77777777" w:rsidR="004219E0" w:rsidRPr="006C52A6" w:rsidRDefault="004219E0"/>
    <w:p w14:paraId="47B8BAE4" w14:textId="77777777" w:rsidR="004219E0" w:rsidRPr="006C52A6" w:rsidRDefault="004219E0"/>
    <w:p w14:paraId="14E6A222" w14:textId="77777777" w:rsidR="004219E0" w:rsidRPr="006C52A6" w:rsidRDefault="004219E0" w:rsidP="00C1318C"/>
  </w:endnote>
  <w:endnote w:type="continuationSeparator" w:id="0">
    <w:p w14:paraId="24C76169" w14:textId="77777777" w:rsidR="004219E0" w:rsidRPr="006C52A6" w:rsidRDefault="004219E0">
      <w:r w:rsidRPr="006C52A6">
        <w:continuationSeparator/>
      </w:r>
    </w:p>
    <w:p w14:paraId="0FF0B41E" w14:textId="77777777" w:rsidR="004219E0" w:rsidRPr="006C52A6" w:rsidRDefault="004219E0"/>
    <w:p w14:paraId="203A9481" w14:textId="77777777" w:rsidR="004219E0" w:rsidRPr="006C52A6" w:rsidRDefault="004219E0"/>
    <w:p w14:paraId="025FD5C9" w14:textId="77777777" w:rsidR="004219E0" w:rsidRPr="006C52A6" w:rsidRDefault="004219E0"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F86AD" w14:textId="77777777" w:rsidR="006C52A6" w:rsidRPr="006C52A6" w:rsidRDefault="006C52A6" w:rsidP="006C52A6">
    <w:pPr>
      <w:spacing w:after="0"/>
      <w:ind w:left="1900" w:firstLine="380"/>
      <w:jc w:val="both"/>
      <w:rPr>
        <w:rFonts w:asciiTheme="minorHAnsi" w:hAnsiTheme="minorHAnsi" w:cstheme="minorHAnsi"/>
        <w:b/>
        <w:bCs/>
      </w:rPr>
    </w:pPr>
    <w:r w:rsidRPr="006C52A6">
      <w:rPr>
        <w:rFonts w:ascii="Calibri" w:hAnsi="Calibri" w:cs="Calibri"/>
        <w:szCs w:val="22"/>
      </w:rPr>
      <w:t xml:space="preserve">Anexo A.17   </w:t>
    </w:r>
    <w:r w:rsidRPr="006C52A6">
      <w:rPr>
        <w:rFonts w:asciiTheme="minorHAnsi" w:hAnsiTheme="minorHAnsi" w:cstheme="minorHAnsi"/>
        <w:b/>
        <w:bCs/>
      </w:rPr>
      <w:t>Política de Gestión de Continuidad del Negocio</w:t>
    </w:r>
  </w:p>
  <w:p w14:paraId="361F1247" w14:textId="39239E6F" w:rsidR="00AB01A2" w:rsidRPr="006C52A6" w:rsidRDefault="00AB01A2" w:rsidP="006C52A6">
    <w:pPr>
      <w:pStyle w:val="Piedepgina"/>
    </w:pPr>
  </w:p>
  <w:p w14:paraId="54245CE8" w14:textId="77777777" w:rsidR="006C52A6" w:rsidRPr="006C52A6" w:rsidRDefault="006C52A6" w:rsidP="006C52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02A56" w14:textId="77777777" w:rsidR="004219E0" w:rsidRPr="006C52A6" w:rsidRDefault="004219E0">
      <w:r w:rsidRPr="006C52A6">
        <w:separator/>
      </w:r>
    </w:p>
    <w:p w14:paraId="38B5060D" w14:textId="77777777" w:rsidR="004219E0" w:rsidRPr="006C52A6" w:rsidRDefault="004219E0"/>
    <w:p w14:paraId="13B5EE47" w14:textId="77777777" w:rsidR="004219E0" w:rsidRPr="006C52A6" w:rsidRDefault="004219E0"/>
    <w:p w14:paraId="4582CD32" w14:textId="77777777" w:rsidR="004219E0" w:rsidRPr="006C52A6" w:rsidRDefault="004219E0" w:rsidP="00C1318C"/>
  </w:footnote>
  <w:footnote w:type="continuationSeparator" w:id="0">
    <w:p w14:paraId="0C483F2A" w14:textId="77777777" w:rsidR="004219E0" w:rsidRPr="006C52A6" w:rsidRDefault="004219E0">
      <w:r w:rsidRPr="006C52A6">
        <w:continuationSeparator/>
      </w:r>
    </w:p>
    <w:p w14:paraId="4AABD5BF" w14:textId="77777777" w:rsidR="004219E0" w:rsidRPr="006C52A6" w:rsidRDefault="004219E0"/>
    <w:p w14:paraId="3D33CFA9" w14:textId="77777777" w:rsidR="004219E0" w:rsidRPr="006C52A6" w:rsidRDefault="004219E0"/>
    <w:p w14:paraId="07B266FB" w14:textId="77777777" w:rsidR="004219E0" w:rsidRPr="006C52A6" w:rsidRDefault="004219E0"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6C52A6" w:rsidRDefault="001637D6">
    <w:r w:rsidRPr="006C52A6">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4D3"/>
    <w:multiLevelType w:val="multilevel"/>
    <w:tmpl w:val="A212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29206D"/>
    <w:multiLevelType w:val="multilevel"/>
    <w:tmpl w:val="7092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334F90"/>
    <w:multiLevelType w:val="multilevel"/>
    <w:tmpl w:val="F9C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4"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C548B4"/>
    <w:multiLevelType w:val="multilevel"/>
    <w:tmpl w:val="A668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10169"/>
    <w:multiLevelType w:val="multilevel"/>
    <w:tmpl w:val="6B2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3" w15:restartNumberingAfterBreak="0">
    <w:nsid w:val="66255CD1"/>
    <w:multiLevelType w:val="multilevel"/>
    <w:tmpl w:val="FFE0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49"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2"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1"/>
  </w:num>
  <w:num w:numId="2" w16cid:durableId="74938854">
    <w:abstractNumId w:val="18"/>
  </w:num>
  <w:num w:numId="3" w16cid:durableId="1494763561">
    <w:abstractNumId w:val="16"/>
  </w:num>
  <w:num w:numId="4" w16cid:durableId="2135100286">
    <w:abstractNumId w:val="40"/>
  </w:num>
  <w:num w:numId="5" w16cid:durableId="1000818834">
    <w:abstractNumId w:val="21"/>
  </w:num>
  <w:num w:numId="6" w16cid:durableId="1632788525">
    <w:abstractNumId w:val="52"/>
  </w:num>
  <w:num w:numId="7" w16cid:durableId="1321421067">
    <w:abstractNumId w:val="36"/>
  </w:num>
  <w:num w:numId="8" w16cid:durableId="352341285">
    <w:abstractNumId w:val="42"/>
  </w:num>
  <w:num w:numId="9" w16cid:durableId="27727978">
    <w:abstractNumId w:val="34"/>
  </w:num>
  <w:num w:numId="10" w16cid:durableId="1859850961">
    <w:abstractNumId w:val="14"/>
  </w:num>
  <w:num w:numId="11" w16cid:durableId="1630670735">
    <w:abstractNumId w:val="19"/>
  </w:num>
  <w:num w:numId="12" w16cid:durableId="1692032352">
    <w:abstractNumId w:val="21"/>
  </w:num>
  <w:num w:numId="13" w16cid:durableId="1393849829">
    <w:abstractNumId w:val="21"/>
  </w:num>
  <w:num w:numId="14" w16cid:durableId="815293384">
    <w:abstractNumId w:val="21"/>
  </w:num>
  <w:num w:numId="15" w16cid:durableId="1977754839">
    <w:abstractNumId w:val="50"/>
  </w:num>
  <w:num w:numId="16" w16cid:durableId="240061859">
    <w:abstractNumId w:val="23"/>
  </w:num>
  <w:num w:numId="17" w16cid:durableId="1741440573">
    <w:abstractNumId w:val="37"/>
  </w:num>
  <w:num w:numId="18" w16cid:durableId="404303887">
    <w:abstractNumId w:val="25"/>
  </w:num>
  <w:num w:numId="19" w16cid:durableId="1072853763">
    <w:abstractNumId w:val="7"/>
  </w:num>
  <w:num w:numId="20" w16cid:durableId="888345100">
    <w:abstractNumId w:val="28"/>
  </w:num>
  <w:num w:numId="21" w16cid:durableId="2083486945">
    <w:abstractNumId w:val="31"/>
  </w:num>
  <w:num w:numId="22" w16cid:durableId="1412317948">
    <w:abstractNumId w:val="1"/>
  </w:num>
  <w:num w:numId="23" w16cid:durableId="1332220685">
    <w:abstractNumId w:val="48"/>
  </w:num>
  <w:num w:numId="24" w16cid:durableId="587539902">
    <w:abstractNumId w:val="51"/>
  </w:num>
  <w:num w:numId="25" w16cid:durableId="1814641950">
    <w:abstractNumId w:val="13"/>
  </w:num>
  <w:num w:numId="26" w16cid:durableId="805513463">
    <w:abstractNumId w:val="3"/>
  </w:num>
  <w:num w:numId="27" w16cid:durableId="1555776139">
    <w:abstractNumId w:val="54"/>
  </w:num>
  <w:num w:numId="28" w16cid:durableId="2123913244">
    <w:abstractNumId w:val="15"/>
  </w:num>
  <w:num w:numId="29" w16cid:durableId="874922778">
    <w:abstractNumId w:val="26"/>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5"/>
  </w:num>
  <w:num w:numId="36" w16cid:durableId="674503644">
    <w:abstractNumId w:val="12"/>
  </w:num>
  <w:num w:numId="37" w16cid:durableId="1888105176">
    <w:abstractNumId w:val="53"/>
  </w:num>
  <w:num w:numId="38" w16cid:durableId="342171148">
    <w:abstractNumId w:val="17"/>
  </w:num>
  <w:num w:numId="39" w16cid:durableId="1308512191">
    <w:abstractNumId w:val="44"/>
  </w:num>
  <w:num w:numId="40" w16cid:durableId="751203121">
    <w:abstractNumId w:val="9"/>
  </w:num>
  <w:num w:numId="41" w16cid:durableId="1001616379">
    <w:abstractNumId w:val="47"/>
  </w:num>
  <w:num w:numId="42" w16cid:durableId="157235028">
    <w:abstractNumId w:val="32"/>
  </w:num>
  <w:num w:numId="43" w16cid:durableId="1076974531">
    <w:abstractNumId w:val="30"/>
  </w:num>
  <w:num w:numId="44" w16cid:durableId="908157133">
    <w:abstractNumId w:val="11"/>
  </w:num>
  <w:num w:numId="45" w16cid:durableId="1528714069">
    <w:abstractNumId w:val="46"/>
  </w:num>
  <w:num w:numId="46" w16cid:durableId="1350448151">
    <w:abstractNumId w:val="38"/>
  </w:num>
  <w:num w:numId="47" w16cid:durableId="134489178">
    <w:abstractNumId w:val="27"/>
  </w:num>
  <w:num w:numId="48" w16cid:durableId="904069908">
    <w:abstractNumId w:val="35"/>
  </w:num>
  <w:num w:numId="49" w16cid:durableId="876355981">
    <w:abstractNumId w:val="20"/>
  </w:num>
  <w:num w:numId="50" w16cid:durableId="1270042179">
    <w:abstractNumId w:val="39"/>
  </w:num>
  <w:num w:numId="51" w16cid:durableId="610477338">
    <w:abstractNumId w:val="10"/>
  </w:num>
  <w:num w:numId="52" w16cid:durableId="1976401646">
    <w:abstractNumId w:val="4"/>
  </w:num>
  <w:num w:numId="53" w16cid:durableId="1718821827">
    <w:abstractNumId w:val="29"/>
  </w:num>
  <w:num w:numId="54" w16cid:durableId="404844148">
    <w:abstractNumId w:val="8"/>
  </w:num>
  <w:num w:numId="55" w16cid:durableId="819855879">
    <w:abstractNumId w:val="22"/>
  </w:num>
  <w:num w:numId="56" w16cid:durableId="362633569">
    <w:abstractNumId w:val="49"/>
  </w:num>
  <w:num w:numId="57" w16cid:durableId="1352414086">
    <w:abstractNumId w:val="2"/>
  </w:num>
  <w:num w:numId="58" w16cid:durableId="1713769641">
    <w:abstractNumId w:val="33"/>
  </w:num>
  <w:num w:numId="59" w16cid:durableId="1667005986">
    <w:abstractNumId w:val="43"/>
  </w:num>
  <w:num w:numId="60" w16cid:durableId="946737126">
    <w:abstractNumId w:val="24"/>
  </w:num>
  <w:num w:numId="61" w16cid:durableId="1865289381">
    <w:abstractNumId w:val="6"/>
  </w:num>
  <w:num w:numId="62" w16cid:durableId="1019546541">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219E0"/>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C7154"/>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C52A6"/>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6237"/>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1BDC"/>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4D02"/>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55088"/>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E7DC3"/>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439">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592936930">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83003526">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0623925">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09759763">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68933081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363C37"/>
    <w:rsid w:val="00383C66"/>
    <w:rsid w:val="00383C88"/>
    <w:rsid w:val="00390CD5"/>
    <w:rsid w:val="00483F4E"/>
    <w:rsid w:val="004F1616"/>
    <w:rsid w:val="00503E58"/>
    <w:rsid w:val="005910A7"/>
    <w:rsid w:val="006C7BDF"/>
    <w:rsid w:val="00737BAE"/>
    <w:rsid w:val="007858F4"/>
    <w:rsid w:val="00871B28"/>
    <w:rsid w:val="00912671"/>
    <w:rsid w:val="00930D52"/>
    <w:rsid w:val="009C1F3E"/>
    <w:rsid w:val="00B63AF7"/>
    <w:rsid w:val="00B92933"/>
    <w:rsid w:val="00C81A8B"/>
    <w:rsid w:val="00D23467"/>
    <w:rsid w:val="00D36B5D"/>
    <w:rsid w:val="00E15EF5"/>
    <w:rsid w:val="00E55088"/>
    <w:rsid w:val="00EE7DC3"/>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5963</Words>
  <Characters>32800</Characters>
  <Application>Microsoft Office Word</Application>
  <DocSecurity>0</DocSecurity>
  <Lines>273</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38686</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2025-03-26T00:07:00Z</dcterms:created>
  <dcterms:modified xsi:type="dcterms:W3CDTF">2025-03-26T00:07:00Z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