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F43BA7" w:rsidRDefault="00657883" w:rsidP="00237AFB">
      <w:pPr>
        <w:jc w:val="both"/>
        <w:rPr>
          <w:rFonts w:asciiTheme="minorHAnsi" w:hAnsiTheme="minorHAnsi" w:cstheme="minorHAnsi"/>
        </w:rPr>
      </w:pPr>
    </w:p>
    <w:p w14:paraId="7415A3EE" w14:textId="77777777" w:rsidR="001705EC" w:rsidRPr="00F43BA7" w:rsidRDefault="001705EC" w:rsidP="00237AFB">
      <w:pPr>
        <w:jc w:val="both"/>
        <w:rPr>
          <w:rFonts w:asciiTheme="minorHAnsi" w:hAnsiTheme="minorHAnsi" w:cstheme="minorHAnsi"/>
          <w:sz w:val="44"/>
          <w:szCs w:val="44"/>
        </w:rPr>
      </w:pPr>
    </w:p>
    <w:p w14:paraId="7D3EE362" w14:textId="77777777" w:rsidR="001705EC" w:rsidRPr="00F43BA7" w:rsidRDefault="001705EC" w:rsidP="00237AFB">
      <w:pPr>
        <w:jc w:val="both"/>
        <w:rPr>
          <w:rFonts w:asciiTheme="minorHAnsi" w:hAnsiTheme="minorHAnsi" w:cstheme="minorHAnsi"/>
          <w:sz w:val="44"/>
          <w:szCs w:val="44"/>
        </w:rPr>
      </w:pPr>
    </w:p>
    <w:p w14:paraId="23A83768" w14:textId="101C60A0" w:rsidR="00F43BA7" w:rsidRPr="00F43BA7" w:rsidRDefault="00237AFB" w:rsidP="00F43BA7">
      <w:pPr>
        <w:pStyle w:val="Piedepgina"/>
        <w:jc w:val="center"/>
        <w:rPr>
          <w:rFonts w:asciiTheme="minorHAnsi" w:hAnsiTheme="minorHAnsi" w:cstheme="minorHAnsi"/>
          <w:sz w:val="24"/>
          <w:szCs w:val="24"/>
          <w:lang w:eastAsia="en-GB"/>
        </w:rPr>
      </w:pPr>
      <w:r w:rsidRPr="00F43BA7">
        <w:rPr>
          <w:rFonts w:asciiTheme="minorHAnsi" w:hAnsiTheme="minorHAnsi" w:cstheme="minorHAnsi"/>
          <w:sz w:val="24"/>
          <w:szCs w:val="24"/>
          <w:lang w:eastAsia="en-GB"/>
        </w:rPr>
        <w:t>Anexo A.</w:t>
      </w:r>
      <w:r w:rsidR="00F43BA7">
        <w:rPr>
          <w:rFonts w:asciiTheme="minorHAnsi" w:hAnsiTheme="minorHAnsi" w:cstheme="minorHAnsi"/>
          <w:sz w:val="24"/>
          <w:szCs w:val="24"/>
          <w:lang w:eastAsia="en-GB"/>
        </w:rPr>
        <w:t>5.31</w:t>
      </w:r>
      <w:r w:rsidRPr="00F43BA7">
        <w:rPr>
          <w:rFonts w:asciiTheme="minorHAnsi" w:hAnsiTheme="minorHAnsi" w:cstheme="minorHAnsi"/>
          <w:sz w:val="24"/>
          <w:szCs w:val="24"/>
          <w:lang w:eastAsia="en-GB"/>
        </w:rPr>
        <w:t xml:space="preserve"> </w:t>
      </w:r>
      <w:bookmarkStart w:id="0" w:name="_Hlk191429948"/>
      <w:r w:rsidR="00F43BA7" w:rsidRPr="00F43BA7">
        <w:rPr>
          <w:rFonts w:asciiTheme="minorHAnsi" w:hAnsiTheme="minorHAnsi" w:cstheme="minorHAnsi"/>
          <w:b/>
          <w:bCs/>
        </w:rPr>
        <w:t>MATRIZ DE REQUISITOS LEGALES Y REGULATORIOS</w:t>
      </w:r>
    </w:p>
    <w:tbl>
      <w:tblPr>
        <w:tblStyle w:val="Tablaconcuadrcula"/>
        <w:tblW w:w="10368" w:type="dxa"/>
        <w:tblInd w:w="-342" w:type="dxa"/>
        <w:tblLook w:val="04A0" w:firstRow="1" w:lastRow="0" w:firstColumn="1" w:lastColumn="0" w:noHBand="0" w:noVBand="1"/>
      </w:tblPr>
      <w:tblGrid>
        <w:gridCol w:w="1812"/>
        <w:gridCol w:w="1504"/>
        <w:gridCol w:w="1702"/>
        <w:gridCol w:w="2196"/>
        <w:gridCol w:w="982"/>
        <w:gridCol w:w="2172"/>
      </w:tblGrid>
      <w:tr w:rsidR="00452E7F" w:rsidRPr="00F43BA7" w14:paraId="273B0C4B" w14:textId="77777777" w:rsidTr="00D02A7F">
        <w:tc>
          <w:tcPr>
            <w:tcW w:w="1908" w:type="dxa"/>
            <w:shd w:val="clear" w:color="auto" w:fill="D9D9D9" w:themeFill="background1" w:themeFillShade="D9"/>
          </w:tcPr>
          <w:bookmarkEnd w:id="0"/>
          <w:p w14:paraId="083D5C51" w14:textId="77777777" w:rsidR="001705EC" w:rsidRPr="00F43BA7" w:rsidRDefault="001705EC" w:rsidP="00237AFB">
            <w:pPr>
              <w:jc w:val="both"/>
              <w:rPr>
                <w:rFonts w:asciiTheme="minorHAnsi" w:hAnsiTheme="minorHAnsi" w:cstheme="minorHAnsi"/>
                <w:b/>
                <w:bCs/>
                <w:sz w:val="24"/>
                <w:szCs w:val="24"/>
              </w:rPr>
            </w:pPr>
            <w:r w:rsidRPr="00F43BA7">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F43BA7" w:rsidRDefault="001705EC" w:rsidP="00237AFB">
            <w:pPr>
              <w:jc w:val="both"/>
              <w:rPr>
                <w:rFonts w:asciiTheme="minorHAnsi" w:hAnsiTheme="minorHAnsi" w:cstheme="minorHAnsi"/>
                <w:b/>
                <w:bCs/>
                <w:sz w:val="24"/>
                <w:szCs w:val="24"/>
              </w:rPr>
            </w:pPr>
            <w:r w:rsidRPr="00F43BA7">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F43BA7" w:rsidRDefault="001705EC" w:rsidP="00237AFB">
            <w:pPr>
              <w:jc w:val="both"/>
              <w:rPr>
                <w:rFonts w:asciiTheme="minorHAnsi" w:hAnsiTheme="minorHAnsi" w:cstheme="minorHAnsi"/>
                <w:b/>
                <w:bCs/>
                <w:sz w:val="24"/>
                <w:szCs w:val="24"/>
              </w:rPr>
            </w:pPr>
            <w:r w:rsidRPr="00F43BA7">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F43BA7" w:rsidRDefault="001705EC" w:rsidP="00237AFB">
            <w:pPr>
              <w:jc w:val="both"/>
              <w:rPr>
                <w:rFonts w:asciiTheme="minorHAnsi" w:hAnsiTheme="minorHAnsi" w:cstheme="minorHAnsi"/>
                <w:b/>
                <w:bCs/>
                <w:sz w:val="24"/>
                <w:szCs w:val="24"/>
              </w:rPr>
            </w:pPr>
            <w:r w:rsidRPr="00F43BA7">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F43BA7" w:rsidRDefault="001705EC" w:rsidP="00237AFB">
            <w:pPr>
              <w:jc w:val="both"/>
              <w:rPr>
                <w:rFonts w:asciiTheme="minorHAnsi" w:hAnsiTheme="minorHAnsi" w:cstheme="minorHAnsi"/>
                <w:b/>
                <w:bCs/>
                <w:sz w:val="24"/>
                <w:szCs w:val="24"/>
              </w:rPr>
            </w:pPr>
            <w:r w:rsidRPr="00F43BA7">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F43BA7" w:rsidRDefault="001705EC" w:rsidP="00237AFB">
            <w:pPr>
              <w:jc w:val="both"/>
              <w:rPr>
                <w:rFonts w:asciiTheme="minorHAnsi" w:hAnsiTheme="minorHAnsi" w:cstheme="minorHAnsi"/>
                <w:b/>
                <w:bCs/>
                <w:sz w:val="24"/>
                <w:szCs w:val="24"/>
              </w:rPr>
            </w:pPr>
            <w:r w:rsidRPr="00F43BA7">
              <w:rPr>
                <w:rFonts w:asciiTheme="minorHAnsi" w:hAnsiTheme="minorHAnsi" w:cstheme="minorHAnsi"/>
                <w:b/>
                <w:bCs/>
                <w:sz w:val="24"/>
                <w:szCs w:val="24"/>
              </w:rPr>
              <w:t>Descripción</w:t>
            </w:r>
          </w:p>
        </w:tc>
      </w:tr>
      <w:tr w:rsidR="00452E7F" w:rsidRPr="00F43BA7" w14:paraId="23D5C307" w14:textId="77777777" w:rsidTr="00D02A7F">
        <w:tc>
          <w:tcPr>
            <w:tcW w:w="1908" w:type="dxa"/>
          </w:tcPr>
          <w:p w14:paraId="1F536261" w14:textId="77777777" w:rsidR="001705EC" w:rsidRPr="00F43BA7" w:rsidRDefault="001705EC" w:rsidP="00237AFB">
            <w:pPr>
              <w:jc w:val="both"/>
              <w:rPr>
                <w:rFonts w:asciiTheme="minorHAnsi" w:hAnsiTheme="minorHAnsi" w:cstheme="minorHAnsi"/>
                <w:sz w:val="24"/>
                <w:szCs w:val="24"/>
              </w:rPr>
            </w:pPr>
            <w:bookmarkStart w:id="1" w:name="_Hlk187601937"/>
            <w:r w:rsidRPr="00F43BA7">
              <w:rPr>
                <w:rFonts w:asciiTheme="minorHAnsi" w:hAnsiTheme="minorHAnsi" w:cstheme="minorHAnsi"/>
                <w:sz w:val="24"/>
                <w:szCs w:val="24"/>
              </w:rPr>
              <w:t>V1.0</w:t>
            </w:r>
          </w:p>
        </w:tc>
        <w:tc>
          <w:tcPr>
            <w:tcW w:w="1570" w:type="dxa"/>
          </w:tcPr>
          <w:p w14:paraId="5CF1E181" w14:textId="23D50EDA" w:rsidR="001705EC" w:rsidRPr="00F43BA7" w:rsidRDefault="001637D6" w:rsidP="00237AFB">
            <w:pPr>
              <w:jc w:val="both"/>
              <w:rPr>
                <w:rFonts w:asciiTheme="minorHAnsi" w:hAnsiTheme="minorHAnsi" w:cstheme="minorHAnsi"/>
                <w:sz w:val="24"/>
                <w:szCs w:val="24"/>
              </w:rPr>
            </w:pPr>
            <w:r w:rsidRPr="00F43BA7">
              <w:rPr>
                <w:rFonts w:asciiTheme="minorHAnsi" w:hAnsiTheme="minorHAnsi" w:cstheme="minorHAnsi"/>
                <w:sz w:val="24"/>
                <w:szCs w:val="24"/>
              </w:rPr>
              <w:t>Auditorex Chile</w:t>
            </w:r>
          </w:p>
        </w:tc>
        <w:tc>
          <w:tcPr>
            <w:tcW w:w="1810" w:type="dxa"/>
          </w:tcPr>
          <w:p w14:paraId="48DCB9A0" w14:textId="77777777" w:rsidR="001637D6" w:rsidRPr="00F43BA7" w:rsidRDefault="001637D6" w:rsidP="00237AFB">
            <w:pPr>
              <w:jc w:val="both"/>
              <w:rPr>
                <w:rFonts w:asciiTheme="minorHAnsi" w:hAnsiTheme="minorHAnsi" w:cstheme="minorHAnsi"/>
                <w:sz w:val="24"/>
                <w:szCs w:val="24"/>
              </w:rPr>
            </w:pPr>
            <w:r w:rsidRPr="00F43BA7">
              <w:rPr>
                <w:rFonts w:asciiTheme="minorHAnsi" w:hAnsiTheme="minorHAnsi" w:cstheme="minorHAnsi"/>
                <w:sz w:val="24"/>
                <w:szCs w:val="24"/>
              </w:rPr>
              <w:t>Mauricio Antonio Colomera Villarroel</w:t>
            </w:r>
          </w:p>
          <w:p w14:paraId="4664E988" w14:textId="77777777" w:rsidR="001705EC" w:rsidRPr="00F43BA7" w:rsidRDefault="001705EC" w:rsidP="00237AFB">
            <w:pPr>
              <w:jc w:val="both"/>
              <w:rPr>
                <w:rFonts w:asciiTheme="minorHAnsi" w:hAnsiTheme="minorHAnsi" w:cstheme="minorHAnsi"/>
                <w:sz w:val="24"/>
                <w:szCs w:val="24"/>
              </w:rPr>
            </w:pPr>
          </w:p>
        </w:tc>
        <w:tc>
          <w:tcPr>
            <w:tcW w:w="1811" w:type="dxa"/>
          </w:tcPr>
          <w:p w14:paraId="285FCDD1" w14:textId="0FAEB9DF" w:rsidR="001705EC" w:rsidRPr="00F43BA7" w:rsidRDefault="00452E7F" w:rsidP="00237AFB">
            <w:pPr>
              <w:jc w:val="both"/>
              <w:rPr>
                <w:rFonts w:asciiTheme="minorHAnsi" w:hAnsiTheme="minorHAnsi" w:cstheme="minorHAnsi"/>
                <w:sz w:val="24"/>
                <w:szCs w:val="24"/>
              </w:rPr>
            </w:pPr>
            <w:r w:rsidRPr="00F43BA7">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F43BA7" w:rsidRDefault="00D02999" w:rsidP="00237AFB">
            <w:pPr>
              <w:jc w:val="both"/>
              <w:rPr>
                <w:rFonts w:asciiTheme="minorHAnsi" w:hAnsiTheme="minorHAnsi" w:cstheme="minorHAnsi"/>
                <w:szCs w:val="22"/>
              </w:rPr>
            </w:pPr>
            <w:r w:rsidRPr="00F43BA7">
              <w:rPr>
                <w:rFonts w:asciiTheme="minorHAnsi" w:hAnsiTheme="minorHAnsi" w:cstheme="minorHAnsi"/>
                <w:szCs w:val="22"/>
              </w:rPr>
              <w:t>12-01-2024</w:t>
            </w:r>
          </w:p>
        </w:tc>
        <w:tc>
          <w:tcPr>
            <w:tcW w:w="2250" w:type="dxa"/>
          </w:tcPr>
          <w:p w14:paraId="6401603C" w14:textId="21E4A346" w:rsidR="001705EC" w:rsidRPr="00F43BA7" w:rsidRDefault="00F43BA7" w:rsidP="00237AFB">
            <w:pPr>
              <w:pStyle w:val="NormalWeb"/>
              <w:jc w:val="both"/>
              <w:rPr>
                <w:rFonts w:asciiTheme="minorHAnsi" w:hAnsiTheme="minorHAnsi" w:cstheme="minorHAnsi"/>
                <w:lang w:val="es-CL"/>
              </w:rPr>
            </w:pPr>
            <w:r w:rsidRPr="00F43BA7">
              <w:rPr>
                <w:rFonts w:asciiTheme="minorHAnsi" w:hAnsiTheme="minorHAnsi" w:cstheme="minorHAnsi"/>
                <w:b/>
                <w:bCs/>
                <w:lang w:val="es-CL"/>
              </w:rPr>
              <w:t>MATRIZ DE REQUISITOS LEGALES Y REGULATORIOS</w:t>
            </w:r>
          </w:p>
        </w:tc>
      </w:tr>
      <w:bookmarkEnd w:id="1"/>
      <w:tr w:rsidR="00452E7F" w:rsidRPr="00F43BA7" w14:paraId="2A38A0FB" w14:textId="77777777" w:rsidTr="00D02A7F">
        <w:tc>
          <w:tcPr>
            <w:tcW w:w="1908" w:type="dxa"/>
          </w:tcPr>
          <w:p w14:paraId="5AA7A63A" w14:textId="77777777" w:rsidR="001705EC" w:rsidRPr="00F43BA7" w:rsidRDefault="001705EC" w:rsidP="00237AFB">
            <w:pPr>
              <w:jc w:val="both"/>
              <w:rPr>
                <w:rFonts w:asciiTheme="minorHAnsi" w:hAnsiTheme="minorHAnsi" w:cstheme="minorHAnsi"/>
                <w:sz w:val="24"/>
                <w:szCs w:val="24"/>
              </w:rPr>
            </w:pPr>
          </w:p>
        </w:tc>
        <w:tc>
          <w:tcPr>
            <w:tcW w:w="1570" w:type="dxa"/>
          </w:tcPr>
          <w:p w14:paraId="6CA0F23C" w14:textId="77777777" w:rsidR="001705EC" w:rsidRPr="00F43BA7" w:rsidRDefault="001705EC" w:rsidP="00237AFB">
            <w:pPr>
              <w:jc w:val="both"/>
              <w:rPr>
                <w:rFonts w:asciiTheme="minorHAnsi" w:hAnsiTheme="minorHAnsi" w:cstheme="minorHAnsi"/>
                <w:sz w:val="24"/>
                <w:szCs w:val="24"/>
              </w:rPr>
            </w:pPr>
          </w:p>
        </w:tc>
        <w:tc>
          <w:tcPr>
            <w:tcW w:w="1810" w:type="dxa"/>
          </w:tcPr>
          <w:p w14:paraId="7579C89A" w14:textId="77777777" w:rsidR="001705EC" w:rsidRPr="00F43BA7" w:rsidRDefault="001705EC" w:rsidP="00237AFB">
            <w:pPr>
              <w:jc w:val="both"/>
              <w:rPr>
                <w:rFonts w:asciiTheme="minorHAnsi" w:hAnsiTheme="minorHAnsi" w:cstheme="minorHAnsi"/>
                <w:sz w:val="24"/>
                <w:szCs w:val="24"/>
              </w:rPr>
            </w:pPr>
          </w:p>
        </w:tc>
        <w:tc>
          <w:tcPr>
            <w:tcW w:w="1811" w:type="dxa"/>
          </w:tcPr>
          <w:p w14:paraId="5C11AFDC" w14:textId="77777777" w:rsidR="001705EC" w:rsidRPr="00F43BA7" w:rsidRDefault="001705EC" w:rsidP="00237AFB">
            <w:pPr>
              <w:jc w:val="both"/>
              <w:rPr>
                <w:rFonts w:asciiTheme="minorHAnsi" w:hAnsiTheme="minorHAnsi" w:cstheme="minorHAnsi"/>
                <w:sz w:val="24"/>
                <w:szCs w:val="24"/>
              </w:rPr>
            </w:pPr>
          </w:p>
        </w:tc>
        <w:tc>
          <w:tcPr>
            <w:tcW w:w="1019" w:type="dxa"/>
          </w:tcPr>
          <w:p w14:paraId="2D9464C3" w14:textId="77777777" w:rsidR="001705EC" w:rsidRPr="00F43BA7" w:rsidRDefault="001705EC" w:rsidP="00237AFB">
            <w:pPr>
              <w:jc w:val="both"/>
              <w:rPr>
                <w:rFonts w:asciiTheme="minorHAnsi" w:hAnsiTheme="minorHAnsi" w:cstheme="minorHAnsi"/>
                <w:sz w:val="24"/>
                <w:szCs w:val="24"/>
              </w:rPr>
            </w:pPr>
          </w:p>
        </w:tc>
        <w:tc>
          <w:tcPr>
            <w:tcW w:w="2250" w:type="dxa"/>
          </w:tcPr>
          <w:p w14:paraId="30EA5E83" w14:textId="77777777" w:rsidR="001705EC" w:rsidRPr="00F43BA7" w:rsidRDefault="001705EC" w:rsidP="00237AFB">
            <w:pPr>
              <w:jc w:val="both"/>
              <w:rPr>
                <w:rFonts w:asciiTheme="minorHAnsi" w:hAnsiTheme="minorHAnsi" w:cstheme="minorHAnsi"/>
                <w:sz w:val="24"/>
                <w:szCs w:val="24"/>
              </w:rPr>
            </w:pPr>
          </w:p>
        </w:tc>
      </w:tr>
      <w:tr w:rsidR="00452E7F" w:rsidRPr="00F43BA7" w14:paraId="5D084FF7" w14:textId="77777777" w:rsidTr="00D02A7F">
        <w:tc>
          <w:tcPr>
            <w:tcW w:w="1908" w:type="dxa"/>
          </w:tcPr>
          <w:p w14:paraId="59848B68" w14:textId="77777777" w:rsidR="001705EC" w:rsidRPr="00F43BA7" w:rsidRDefault="001705EC" w:rsidP="00237AFB">
            <w:pPr>
              <w:jc w:val="both"/>
              <w:rPr>
                <w:rFonts w:asciiTheme="minorHAnsi" w:hAnsiTheme="minorHAnsi" w:cstheme="minorHAnsi"/>
                <w:sz w:val="24"/>
                <w:szCs w:val="24"/>
              </w:rPr>
            </w:pPr>
          </w:p>
        </w:tc>
        <w:tc>
          <w:tcPr>
            <w:tcW w:w="1570" w:type="dxa"/>
          </w:tcPr>
          <w:p w14:paraId="4CE506E6" w14:textId="77777777" w:rsidR="001705EC" w:rsidRPr="00F43BA7" w:rsidRDefault="001705EC" w:rsidP="00237AFB">
            <w:pPr>
              <w:jc w:val="both"/>
              <w:rPr>
                <w:rFonts w:asciiTheme="minorHAnsi" w:hAnsiTheme="minorHAnsi" w:cstheme="minorHAnsi"/>
                <w:sz w:val="24"/>
                <w:szCs w:val="24"/>
              </w:rPr>
            </w:pPr>
          </w:p>
        </w:tc>
        <w:tc>
          <w:tcPr>
            <w:tcW w:w="1810" w:type="dxa"/>
          </w:tcPr>
          <w:p w14:paraId="09467189" w14:textId="77777777" w:rsidR="001705EC" w:rsidRPr="00F43BA7" w:rsidRDefault="001705EC" w:rsidP="00237AFB">
            <w:pPr>
              <w:jc w:val="both"/>
              <w:rPr>
                <w:rFonts w:asciiTheme="minorHAnsi" w:hAnsiTheme="minorHAnsi" w:cstheme="minorHAnsi"/>
                <w:sz w:val="24"/>
                <w:szCs w:val="24"/>
              </w:rPr>
            </w:pPr>
          </w:p>
        </w:tc>
        <w:tc>
          <w:tcPr>
            <w:tcW w:w="1811" w:type="dxa"/>
          </w:tcPr>
          <w:p w14:paraId="6E7E4F49" w14:textId="77777777" w:rsidR="001705EC" w:rsidRPr="00F43BA7" w:rsidRDefault="001705EC" w:rsidP="00237AFB">
            <w:pPr>
              <w:jc w:val="both"/>
              <w:rPr>
                <w:rFonts w:asciiTheme="minorHAnsi" w:hAnsiTheme="minorHAnsi" w:cstheme="minorHAnsi"/>
                <w:sz w:val="24"/>
                <w:szCs w:val="24"/>
              </w:rPr>
            </w:pPr>
          </w:p>
        </w:tc>
        <w:tc>
          <w:tcPr>
            <w:tcW w:w="1019" w:type="dxa"/>
          </w:tcPr>
          <w:p w14:paraId="7EB49E66" w14:textId="77777777" w:rsidR="001705EC" w:rsidRPr="00F43BA7" w:rsidRDefault="001705EC" w:rsidP="00237AFB">
            <w:pPr>
              <w:jc w:val="both"/>
              <w:rPr>
                <w:rFonts w:asciiTheme="minorHAnsi" w:hAnsiTheme="minorHAnsi" w:cstheme="minorHAnsi"/>
                <w:sz w:val="24"/>
                <w:szCs w:val="24"/>
              </w:rPr>
            </w:pPr>
          </w:p>
        </w:tc>
        <w:tc>
          <w:tcPr>
            <w:tcW w:w="2250" w:type="dxa"/>
          </w:tcPr>
          <w:p w14:paraId="722DAB0F" w14:textId="77777777" w:rsidR="001705EC" w:rsidRPr="00F43BA7" w:rsidRDefault="001705EC" w:rsidP="00237AFB">
            <w:pPr>
              <w:jc w:val="both"/>
              <w:rPr>
                <w:rFonts w:asciiTheme="minorHAnsi" w:hAnsiTheme="minorHAnsi" w:cstheme="minorHAnsi"/>
                <w:sz w:val="24"/>
                <w:szCs w:val="24"/>
              </w:rPr>
            </w:pPr>
          </w:p>
        </w:tc>
      </w:tr>
      <w:tr w:rsidR="001705EC" w:rsidRPr="00F43BA7" w14:paraId="7875EE64" w14:textId="77777777" w:rsidTr="00D02A7F">
        <w:tc>
          <w:tcPr>
            <w:tcW w:w="1908" w:type="dxa"/>
            <w:shd w:val="clear" w:color="auto" w:fill="D9D9D9" w:themeFill="background1" w:themeFillShade="D9"/>
          </w:tcPr>
          <w:p w14:paraId="22F097C4" w14:textId="77777777" w:rsidR="001705EC" w:rsidRPr="00F43BA7" w:rsidRDefault="001705EC" w:rsidP="00237AFB">
            <w:pPr>
              <w:jc w:val="both"/>
              <w:rPr>
                <w:rFonts w:asciiTheme="minorHAnsi" w:hAnsiTheme="minorHAnsi" w:cstheme="minorHAnsi"/>
                <w:sz w:val="24"/>
                <w:szCs w:val="24"/>
              </w:rPr>
            </w:pPr>
            <w:r w:rsidRPr="00F43BA7">
              <w:rPr>
                <w:rFonts w:asciiTheme="minorHAnsi" w:hAnsiTheme="minorHAnsi" w:cstheme="minorHAnsi"/>
                <w:sz w:val="24"/>
                <w:szCs w:val="24"/>
              </w:rPr>
              <w:t>Número de referencia del documento</w:t>
            </w:r>
          </w:p>
        </w:tc>
        <w:tc>
          <w:tcPr>
            <w:tcW w:w="3380" w:type="dxa"/>
            <w:gridSpan w:val="2"/>
          </w:tcPr>
          <w:p w14:paraId="02FAF64D" w14:textId="5CB25FF6" w:rsidR="001705EC" w:rsidRPr="00F43BA7" w:rsidRDefault="00237AFB" w:rsidP="00237AFB">
            <w:pPr>
              <w:jc w:val="both"/>
              <w:rPr>
                <w:rFonts w:asciiTheme="minorHAnsi" w:hAnsiTheme="minorHAnsi" w:cstheme="minorHAnsi"/>
                <w:sz w:val="24"/>
                <w:szCs w:val="24"/>
              </w:rPr>
            </w:pPr>
            <w:r w:rsidRPr="00F43BA7">
              <w:rPr>
                <w:rFonts w:asciiTheme="minorHAnsi" w:hAnsiTheme="minorHAnsi" w:cstheme="minorHAnsi"/>
                <w:sz w:val="24"/>
                <w:szCs w:val="24"/>
                <w:lang w:eastAsia="en-GB"/>
              </w:rPr>
              <w:t>Anexo A.</w:t>
            </w:r>
            <w:r w:rsidR="00F43BA7">
              <w:rPr>
                <w:rFonts w:asciiTheme="minorHAnsi" w:hAnsiTheme="minorHAnsi" w:cstheme="minorHAnsi"/>
                <w:sz w:val="24"/>
                <w:szCs w:val="24"/>
                <w:lang w:eastAsia="en-GB"/>
              </w:rPr>
              <w:t>5.31</w:t>
            </w:r>
          </w:p>
        </w:tc>
        <w:tc>
          <w:tcPr>
            <w:tcW w:w="2830" w:type="dxa"/>
            <w:gridSpan w:val="2"/>
            <w:shd w:val="clear" w:color="auto" w:fill="D9D9D9" w:themeFill="background1" w:themeFillShade="D9"/>
          </w:tcPr>
          <w:p w14:paraId="70C78F02" w14:textId="77777777" w:rsidR="001705EC" w:rsidRPr="00F43BA7" w:rsidRDefault="001705EC" w:rsidP="00237AFB">
            <w:pPr>
              <w:jc w:val="both"/>
              <w:rPr>
                <w:rFonts w:asciiTheme="minorHAnsi" w:hAnsiTheme="minorHAnsi" w:cstheme="minorHAnsi"/>
                <w:sz w:val="24"/>
                <w:szCs w:val="24"/>
              </w:rPr>
            </w:pPr>
            <w:r w:rsidRPr="00F43BA7">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F43BA7" w:rsidRDefault="001705EC" w:rsidP="00237AFB">
                <w:pPr>
                  <w:jc w:val="both"/>
                  <w:rPr>
                    <w:rFonts w:asciiTheme="minorHAnsi" w:hAnsiTheme="minorHAnsi" w:cstheme="minorHAnsi"/>
                    <w:sz w:val="24"/>
                    <w:szCs w:val="24"/>
                  </w:rPr>
                </w:pPr>
                <w:r w:rsidRPr="00F43BA7">
                  <w:rPr>
                    <w:rFonts w:asciiTheme="minorHAnsi" w:hAnsiTheme="minorHAnsi" w:cstheme="minorHAnsi"/>
                    <w:sz w:val="24"/>
                    <w:szCs w:val="24"/>
                  </w:rPr>
                  <w:t>Confidencial</w:t>
                </w:r>
              </w:p>
            </w:tc>
          </w:sdtContent>
        </w:sdt>
      </w:tr>
    </w:tbl>
    <w:p w14:paraId="5F47735A" w14:textId="77777777" w:rsidR="001705EC" w:rsidRPr="00F43BA7" w:rsidRDefault="001705EC" w:rsidP="00237AFB">
      <w:pPr>
        <w:jc w:val="both"/>
        <w:rPr>
          <w:rFonts w:asciiTheme="minorHAnsi" w:hAnsiTheme="minorHAnsi" w:cstheme="minorHAnsi"/>
          <w:sz w:val="24"/>
          <w:szCs w:val="24"/>
        </w:rPr>
      </w:pPr>
    </w:p>
    <w:p w14:paraId="4624084F" w14:textId="002899D0" w:rsidR="006B3EBA" w:rsidRDefault="006B3EBA" w:rsidP="006B3EBA">
      <w:pPr>
        <w:pStyle w:val="NormalWeb"/>
        <w:tabs>
          <w:tab w:val="left" w:pos="1500"/>
        </w:tabs>
        <w:rPr>
          <w:rFonts w:asciiTheme="minorHAnsi" w:hAnsiTheme="minorHAnsi" w:cstheme="minorHAnsi"/>
          <w:lang w:val="es-CL"/>
        </w:rPr>
      </w:pPr>
      <w:r>
        <w:rPr>
          <w:rFonts w:asciiTheme="minorHAnsi" w:hAnsiTheme="minorHAnsi" w:cstheme="minorHAnsi"/>
          <w:lang w:val="es-CL"/>
        </w:rPr>
        <w:tab/>
      </w:r>
      <w:r>
        <w:rPr>
          <w:rFonts w:asciiTheme="minorHAnsi" w:hAnsiTheme="minorHAnsi" w:cstheme="minorHAnsi"/>
          <w:noProof/>
          <w:lang w:val="es-CL"/>
        </w:rPr>
        <w:drawing>
          <wp:inline distT="0" distB="0" distL="0" distR="0" wp14:anchorId="30A16B46" wp14:editId="6658AFE9">
            <wp:extent cx="3124636" cy="1743318"/>
            <wp:effectExtent l="0" t="0" r="0" b="9525"/>
            <wp:docPr id="105812387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23870"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664F8A4E" w14:textId="57006B5F" w:rsidR="002B3623" w:rsidRPr="00F43BA7" w:rsidRDefault="001705EC" w:rsidP="00F43BA7">
      <w:pPr>
        <w:pStyle w:val="NormalWeb"/>
        <w:rPr>
          <w:rFonts w:asciiTheme="minorHAnsi" w:hAnsiTheme="minorHAnsi" w:cstheme="minorHAnsi"/>
          <w:lang w:val="es-CL"/>
        </w:rPr>
      </w:pPr>
      <w:r w:rsidRPr="006B3EBA">
        <w:br w:type="page"/>
      </w:r>
      <w:r w:rsidR="002B3623" w:rsidRPr="00F43BA7">
        <w:rPr>
          <w:rFonts w:asciiTheme="minorHAnsi" w:hAnsiTheme="minorHAnsi" w:cstheme="minorHAnsi"/>
          <w:b/>
          <w:bCs/>
          <w:lang w:val="es-CL"/>
        </w:rPr>
        <w:lastRenderedPageBreak/>
        <w:t>MATRIZ DE REQUISITOS LEGALES Y REGULATORIOS</w:t>
      </w:r>
      <w:r w:rsidR="002B3623" w:rsidRPr="00F43BA7">
        <w:rPr>
          <w:rFonts w:asciiTheme="minorHAnsi" w:hAnsiTheme="minorHAnsi" w:cstheme="minorHAnsi"/>
          <w:lang w:val="es-CL"/>
        </w:rPr>
        <w:br/>
      </w:r>
      <w:r w:rsidR="002B3623" w:rsidRPr="00F43BA7">
        <w:rPr>
          <w:rFonts w:asciiTheme="minorHAnsi" w:hAnsiTheme="minorHAnsi" w:cstheme="minorHAnsi"/>
          <w:b/>
          <w:bCs/>
          <w:lang w:val="es-CL"/>
        </w:rPr>
        <w:t>Datacenter Anaconda Web</w:t>
      </w:r>
      <w:r w:rsidR="002B3623" w:rsidRPr="00F43BA7">
        <w:rPr>
          <w:rFonts w:asciiTheme="minorHAnsi" w:hAnsiTheme="minorHAnsi" w:cstheme="minorHAnsi"/>
          <w:lang w:val="es-CL"/>
        </w:rPr>
        <w:br/>
      </w:r>
      <w:r w:rsidR="002B3623" w:rsidRPr="00F43BA7">
        <w:rPr>
          <w:rFonts w:asciiTheme="minorHAnsi" w:hAnsiTheme="minorHAnsi" w:cstheme="minorHAnsi"/>
          <w:b/>
          <w:bCs/>
          <w:lang w:val="es-CL"/>
        </w:rPr>
        <w:t>ISO 27001:2022 - Anexo A.5.31</w:t>
      </w:r>
    </w:p>
    <w:p w14:paraId="1479BAA4" w14:textId="0A7EC21B" w:rsidR="002B3623" w:rsidRPr="002B3623" w:rsidRDefault="002B3623" w:rsidP="002B3623">
      <w:pPr>
        <w:pStyle w:val="NormalWeb"/>
        <w:jc w:val="both"/>
        <w:rPr>
          <w:rFonts w:asciiTheme="minorHAnsi" w:hAnsiTheme="minorHAnsi" w:cstheme="minorHAnsi"/>
          <w:lang w:val="es-CL"/>
        </w:rPr>
      </w:pPr>
    </w:p>
    <w:p w14:paraId="1CF9D310" w14:textId="77777777" w:rsidR="002B3623" w:rsidRPr="002B3623" w:rsidRDefault="002B3623" w:rsidP="002B3623">
      <w:pPr>
        <w:pStyle w:val="NormalWeb"/>
        <w:numPr>
          <w:ilvl w:val="0"/>
          <w:numId w:val="4"/>
        </w:numPr>
        <w:jc w:val="both"/>
        <w:rPr>
          <w:rFonts w:asciiTheme="minorHAnsi" w:hAnsiTheme="minorHAnsi" w:cstheme="minorHAnsi"/>
          <w:b/>
          <w:bCs/>
          <w:lang w:val="es-CL"/>
        </w:rPr>
      </w:pPr>
      <w:r w:rsidRPr="002B3623">
        <w:rPr>
          <w:rFonts w:asciiTheme="minorHAnsi" w:hAnsiTheme="minorHAnsi" w:cstheme="minorHAnsi"/>
          <w:b/>
          <w:bCs/>
          <w:lang w:val="es-CL"/>
        </w:rPr>
        <w:t>ÍNDICE</w:t>
      </w:r>
    </w:p>
    <w:p w14:paraId="3722CA1B" w14:textId="77777777" w:rsidR="002B3623" w:rsidRPr="002B3623" w:rsidRDefault="002B3623" w:rsidP="002B3623">
      <w:pPr>
        <w:pStyle w:val="NormalWeb"/>
        <w:numPr>
          <w:ilvl w:val="0"/>
          <w:numId w:val="63"/>
        </w:numPr>
        <w:jc w:val="both"/>
        <w:rPr>
          <w:rFonts w:asciiTheme="minorHAnsi" w:hAnsiTheme="minorHAnsi" w:cstheme="minorHAnsi"/>
          <w:lang w:val="es-CL"/>
        </w:rPr>
      </w:pPr>
      <w:r w:rsidRPr="002B3623">
        <w:rPr>
          <w:rFonts w:asciiTheme="minorHAnsi" w:hAnsiTheme="minorHAnsi" w:cstheme="minorHAnsi"/>
          <w:lang w:val="es-CL"/>
        </w:rPr>
        <w:t>Propósito</w:t>
      </w:r>
    </w:p>
    <w:p w14:paraId="4CB0379D" w14:textId="77777777" w:rsidR="002B3623" w:rsidRPr="002B3623" w:rsidRDefault="002B3623" w:rsidP="002B3623">
      <w:pPr>
        <w:pStyle w:val="NormalWeb"/>
        <w:numPr>
          <w:ilvl w:val="0"/>
          <w:numId w:val="63"/>
        </w:numPr>
        <w:jc w:val="both"/>
        <w:rPr>
          <w:rFonts w:asciiTheme="minorHAnsi" w:hAnsiTheme="minorHAnsi" w:cstheme="minorHAnsi"/>
          <w:lang w:val="es-CL"/>
        </w:rPr>
      </w:pPr>
      <w:r w:rsidRPr="002B3623">
        <w:rPr>
          <w:rFonts w:asciiTheme="minorHAnsi" w:hAnsiTheme="minorHAnsi" w:cstheme="minorHAnsi"/>
          <w:lang w:val="es-CL"/>
        </w:rPr>
        <w:t>Alcance</w:t>
      </w:r>
    </w:p>
    <w:p w14:paraId="1F5258A8" w14:textId="77777777" w:rsidR="002B3623" w:rsidRPr="002B3623" w:rsidRDefault="002B3623" w:rsidP="002B3623">
      <w:pPr>
        <w:pStyle w:val="NormalWeb"/>
        <w:numPr>
          <w:ilvl w:val="0"/>
          <w:numId w:val="63"/>
        </w:numPr>
        <w:jc w:val="both"/>
        <w:rPr>
          <w:rFonts w:asciiTheme="minorHAnsi" w:hAnsiTheme="minorHAnsi" w:cstheme="minorHAnsi"/>
          <w:lang w:val="es-CL"/>
        </w:rPr>
      </w:pPr>
      <w:r w:rsidRPr="002B3623">
        <w:rPr>
          <w:rFonts w:asciiTheme="minorHAnsi" w:hAnsiTheme="minorHAnsi" w:cstheme="minorHAnsi"/>
          <w:lang w:val="es-CL"/>
        </w:rPr>
        <w:t>Identificación de Requisitos Legales y Regulatorios</w:t>
      </w:r>
    </w:p>
    <w:p w14:paraId="351FD79C" w14:textId="77777777" w:rsidR="002B3623" w:rsidRPr="002B3623" w:rsidRDefault="002B3623" w:rsidP="002B3623">
      <w:pPr>
        <w:pStyle w:val="NormalWeb"/>
        <w:numPr>
          <w:ilvl w:val="0"/>
          <w:numId w:val="63"/>
        </w:numPr>
        <w:jc w:val="both"/>
        <w:rPr>
          <w:rFonts w:asciiTheme="minorHAnsi" w:hAnsiTheme="minorHAnsi" w:cstheme="minorHAnsi"/>
          <w:lang w:val="es-CL"/>
        </w:rPr>
      </w:pPr>
      <w:r w:rsidRPr="002B3623">
        <w:rPr>
          <w:rFonts w:asciiTheme="minorHAnsi" w:hAnsiTheme="minorHAnsi" w:cstheme="minorHAnsi"/>
          <w:lang w:val="es-CL"/>
        </w:rPr>
        <w:t>Cumplimiento y Responsabilidades</w:t>
      </w:r>
    </w:p>
    <w:p w14:paraId="219F4674" w14:textId="77777777" w:rsidR="002B3623" w:rsidRPr="002B3623" w:rsidRDefault="002B3623" w:rsidP="002B3623">
      <w:pPr>
        <w:pStyle w:val="NormalWeb"/>
        <w:numPr>
          <w:ilvl w:val="0"/>
          <w:numId w:val="63"/>
        </w:numPr>
        <w:jc w:val="both"/>
        <w:rPr>
          <w:rFonts w:asciiTheme="minorHAnsi" w:hAnsiTheme="minorHAnsi" w:cstheme="minorHAnsi"/>
          <w:lang w:val="es-CL"/>
        </w:rPr>
      </w:pPr>
      <w:r w:rsidRPr="002B3623">
        <w:rPr>
          <w:rFonts w:asciiTheme="minorHAnsi" w:hAnsiTheme="minorHAnsi" w:cstheme="minorHAnsi"/>
          <w:lang w:val="es-CL"/>
        </w:rPr>
        <w:t>Evidencia de Cumplimiento</w:t>
      </w:r>
    </w:p>
    <w:p w14:paraId="765E8E41" w14:textId="77777777" w:rsidR="002B3623" w:rsidRPr="002B3623" w:rsidRDefault="002B3623" w:rsidP="002B3623">
      <w:pPr>
        <w:pStyle w:val="NormalWeb"/>
        <w:numPr>
          <w:ilvl w:val="0"/>
          <w:numId w:val="63"/>
        </w:numPr>
        <w:jc w:val="both"/>
        <w:rPr>
          <w:rFonts w:asciiTheme="minorHAnsi" w:hAnsiTheme="minorHAnsi" w:cstheme="minorHAnsi"/>
          <w:lang w:val="es-CL"/>
        </w:rPr>
      </w:pPr>
      <w:r w:rsidRPr="002B3623">
        <w:rPr>
          <w:rFonts w:asciiTheme="minorHAnsi" w:hAnsiTheme="minorHAnsi" w:cstheme="minorHAnsi"/>
          <w:lang w:val="es-CL"/>
        </w:rPr>
        <w:t>Monitoreo y Actualización</w:t>
      </w:r>
    </w:p>
    <w:p w14:paraId="248443B5" w14:textId="77777777" w:rsidR="002B3623" w:rsidRPr="002B3623" w:rsidRDefault="002B3623" w:rsidP="002B3623">
      <w:pPr>
        <w:pStyle w:val="NormalWeb"/>
        <w:numPr>
          <w:ilvl w:val="0"/>
          <w:numId w:val="63"/>
        </w:numPr>
        <w:jc w:val="both"/>
        <w:rPr>
          <w:rFonts w:asciiTheme="minorHAnsi" w:hAnsiTheme="minorHAnsi" w:cstheme="minorHAnsi"/>
          <w:lang w:val="es-CL"/>
        </w:rPr>
      </w:pPr>
      <w:r w:rsidRPr="002B3623">
        <w:rPr>
          <w:rFonts w:asciiTheme="minorHAnsi" w:hAnsiTheme="minorHAnsi" w:cstheme="minorHAnsi"/>
          <w:lang w:val="es-CL"/>
        </w:rPr>
        <w:t>Evaluación de Riesgos Regulatorios</w:t>
      </w:r>
    </w:p>
    <w:p w14:paraId="01264668" w14:textId="77777777" w:rsidR="002B3623" w:rsidRPr="002B3623" w:rsidRDefault="002B3623" w:rsidP="002B3623">
      <w:pPr>
        <w:pStyle w:val="NormalWeb"/>
        <w:numPr>
          <w:ilvl w:val="0"/>
          <w:numId w:val="63"/>
        </w:numPr>
        <w:jc w:val="both"/>
        <w:rPr>
          <w:rFonts w:asciiTheme="minorHAnsi" w:hAnsiTheme="minorHAnsi" w:cstheme="minorHAnsi"/>
          <w:lang w:val="es-CL"/>
        </w:rPr>
      </w:pPr>
      <w:r w:rsidRPr="002B3623">
        <w:rPr>
          <w:rFonts w:asciiTheme="minorHAnsi" w:hAnsiTheme="minorHAnsi" w:cstheme="minorHAnsi"/>
          <w:lang w:val="es-CL"/>
        </w:rPr>
        <w:t>Plan de Acción y Mejora Continua</w:t>
      </w:r>
    </w:p>
    <w:p w14:paraId="3467BA7B" w14:textId="77777777" w:rsidR="002B3623" w:rsidRPr="002B3623" w:rsidRDefault="002B3623" w:rsidP="002B3623">
      <w:pPr>
        <w:pStyle w:val="NormalWeb"/>
        <w:numPr>
          <w:ilvl w:val="0"/>
          <w:numId w:val="63"/>
        </w:numPr>
        <w:jc w:val="both"/>
        <w:rPr>
          <w:rFonts w:asciiTheme="minorHAnsi" w:hAnsiTheme="minorHAnsi" w:cstheme="minorHAnsi"/>
          <w:lang w:val="es-CL"/>
        </w:rPr>
      </w:pPr>
      <w:r w:rsidRPr="002B3623">
        <w:rPr>
          <w:rFonts w:asciiTheme="minorHAnsi" w:hAnsiTheme="minorHAnsi" w:cstheme="minorHAnsi"/>
          <w:lang w:val="es-CL"/>
        </w:rPr>
        <w:t>Procedimientos de Auditoría y Verificación</w:t>
      </w:r>
    </w:p>
    <w:p w14:paraId="0A69CB18" w14:textId="77777777" w:rsidR="002B3623" w:rsidRPr="002B3623" w:rsidRDefault="002B3623" w:rsidP="002B3623">
      <w:pPr>
        <w:pStyle w:val="NormalWeb"/>
        <w:numPr>
          <w:ilvl w:val="0"/>
          <w:numId w:val="63"/>
        </w:numPr>
        <w:jc w:val="both"/>
        <w:rPr>
          <w:rFonts w:asciiTheme="minorHAnsi" w:hAnsiTheme="minorHAnsi" w:cstheme="minorHAnsi"/>
          <w:lang w:val="es-CL"/>
        </w:rPr>
      </w:pPr>
      <w:r w:rsidRPr="002B3623">
        <w:rPr>
          <w:rFonts w:asciiTheme="minorHAnsi" w:hAnsiTheme="minorHAnsi" w:cstheme="minorHAnsi"/>
          <w:lang w:val="es-CL"/>
        </w:rPr>
        <w:t>Implementación de Tecnologías para Cumplimiento</w:t>
      </w:r>
    </w:p>
    <w:p w14:paraId="17A0FE7F" w14:textId="77777777" w:rsidR="002B3623" w:rsidRPr="002B3623" w:rsidRDefault="002B3623" w:rsidP="002B3623">
      <w:pPr>
        <w:pStyle w:val="NormalWeb"/>
        <w:numPr>
          <w:ilvl w:val="0"/>
          <w:numId w:val="63"/>
        </w:numPr>
        <w:jc w:val="both"/>
        <w:rPr>
          <w:rFonts w:asciiTheme="minorHAnsi" w:hAnsiTheme="minorHAnsi" w:cstheme="minorHAnsi"/>
          <w:lang w:val="es-CL"/>
        </w:rPr>
      </w:pPr>
      <w:r w:rsidRPr="002B3623">
        <w:rPr>
          <w:rFonts w:asciiTheme="minorHAnsi" w:hAnsiTheme="minorHAnsi" w:cstheme="minorHAnsi"/>
          <w:lang w:val="es-CL"/>
        </w:rPr>
        <w:t>Análisis de Impacto Legal y Regulatorio</w:t>
      </w:r>
    </w:p>
    <w:p w14:paraId="165014C2" w14:textId="77777777" w:rsidR="002B3623" w:rsidRPr="002B3623" w:rsidRDefault="002B3623" w:rsidP="002B3623">
      <w:pPr>
        <w:pStyle w:val="NormalWeb"/>
        <w:numPr>
          <w:ilvl w:val="0"/>
          <w:numId w:val="63"/>
        </w:numPr>
        <w:jc w:val="both"/>
        <w:rPr>
          <w:rFonts w:asciiTheme="minorHAnsi" w:hAnsiTheme="minorHAnsi" w:cstheme="minorHAnsi"/>
          <w:lang w:val="es-CL"/>
        </w:rPr>
      </w:pPr>
      <w:r w:rsidRPr="002B3623">
        <w:rPr>
          <w:rFonts w:asciiTheme="minorHAnsi" w:hAnsiTheme="minorHAnsi" w:cstheme="minorHAnsi"/>
          <w:lang w:val="es-CL"/>
        </w:rPr>
        <w:t>Capacitación y Sensibilización en Cumplimiento</w:t>
      </w:r>
    </w:p>
    <w:p w14:paraId="193924AB" w14:textId="77777777" w:rsidR="002B3623" w:rsidRPr="002B3623" w:rsidRDefault="002B3623" w:rsidP="002B3623">
      <w:pPr>
        <w:pStyle w:val="NormalWeb"/>
        <w:numPr>
          <w:ilvl w:val="0"/>
          <w:numId w:val="63"/>
        </w:numPr>
        <w:jc w:val="both"/>
        <w:rPr>
          <w:rFonts w:asciiTheme="minorHAnsi" w:hAnsiTheme="minorHAnsi" w:cstheme="minorHAnsi"/>
          <w:lang w:val="es-CL"/>
        </w:rPr>
      </w:pPr>
      <w:r w:rsidRPr="002B3623">
        <w:rPr>
          <w:rFonts w:asciiTheme="minorHAnsi" w:hAnsiTheme="minorHAnsi" w:cstheme="minorHAnsi"/>
          <w:lang w:val="es-CL"/>
        </w:rPr>
        <w:t>Procedimientos de Respuesta ante Incumplimientos</w:t>
      </w:r>
    </w:p>
    <w:p w14:paraId="40406935" w14:textId="77777777" w:rsidR="002B3623" w:rsidRPr="002B3623" w:rsidRDefault="002B3623" w:rsidP="002B3623">
      <w:pPr>
        <w:pStyle w:val="NormalWeb"/>
        <w:numPr>
          <w:ilvl w:val="0"/>
          <w:numId w:val="63"/>
        </w:numPr>
        <w:jc w:val="both"/>
        <w:rPr>
          <w:rFonts w:asciiTheme="minorHAnsi" w:hAnsiTheme="minorHAnsi" w:cstheme="minorHAnsi"/>
          <w:lang w:val="es-CL"/>
        </w:rPr>
      </w:pPr>
      <w:r w:rsidRPr="002B3623">
        <w:rPr>
          <w:rFonts w:asciiTheme="minorHAnsi" w:hAnsiTheme="minorHAnsi" w:cstheme="minorHAnsi"/>
          <w:lang w:val="es-CL"/>
        </w:rPr>
        <w:t>Conclusión</w:t>
      </w:r>
    </w:p>
    <w:p w14:paraId="0210F77A" w14:textId="3BE93A69" w:rsidR="002B3623" w:rsidRPr="002B3623" w:rsidRDefault="002B3623" w:rsidP="002B3623">
      <w:pPr>
        <w:pStyle w:val="NormalWeb"/>
        <w:jc w:val="both"/>
        <w:rPr>
          <w:rFonts w:asciiTheme="minorHAnsi" w:hAnsiTheme="minorHAnsi" w:cstheme="minorHAnsi"/>
          <w:lang w:val="es-CL"/>
        </w:rPr>
      </w:pPr>
    </w:p>
    <w:p w14:paraId="5FF2BD9D" w14:textId="77777777" w:rsidR="002B3623" w:rsidRPr="002B3623" w:rsidRDefault="002B3623" w:rsidP="002B3623">
      <w:pPr>
        <w:pStyle w:val="NormalWeb"/>
        <w:numPr>
          <w:ilvl w:val="0"/>
          <w:numId w:val="4"/>
        </w:numPr>
        <w:jc w:val="both"/>
        <w:rPr>
          <w:rFonts w:asciiTheme="minorHAnsi" w:hAnsiTheme="minorHAnsi" w:cstheme="minorHAnsi"/>
          <w:b/>
          <w:bCs/>
          <w:lang w:val="es-CL"/>
        </w:rPr>
      </w:pPr>
      <w:r w:rsidRPr="002B3623">
        <w:rPr>
          <w:rFonts w:asciiTheme="minorHAnsi" w:hAnsiTheme="minorHAnsi" w:cstheme="minorHAnsi"/>
          <w:b/>
          <w:bCs/>
          <w:lang w:val="es-CL"/>
        </w:rPr>
        <w:t>1. Propósito</w:t>
      </w:r>
    </w:p>
    <w:p w14:paraId="7E611603"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 xml:space="preserve">Este documento tiene como objetivo identificar, documentar y gestionar los requisitos legales, normativos y contractuales aplicables al Datacenter Anaconda Web, garantizando su cumplimiento y alineación con la normativa ISO 27001:2022 y otros marcos regulatorios pertinentes. Se busca fortalecer la seguridad de la información, prevenir riesgos legales, minimizar sanciones económicas y garantizar la operatividad del </w:t>
      </w:r>
      <w:proofErr w:type="spellStart"/>
      <w:r w:rsidRPr="002B3623">
        <w:rPr>
          <w:rFonts w:asciiTheme="minorHAnsi" w:hAnsiTheme="minorHAnsi" w:cstheme="minorHAnsi"/>
          <w:lang w:val="es-CL"/>
        </w:rPr>
        <w:t>datacenter</w:t>
      </w:r>
      <w:proofErr w:type="spellEnd"/>
      <w:r w:rsidRPr="002B3623">
        <w:rPr>
          <w:rFonts w:asciiTheme="minorHAnsi" w:hAnsiTheme="minorHAnsi" w:cstheme="minorHAnsi"/>
          <w:lang w:val="es-CL"/>
        </w:rPr>
        <w:t xml:space="preserve"> en conformidad con la legislación vigente y los acuerdos contractuales con clientes y proveedores.</w:t>
      </w:r>
    </w:p>
    <w:p w14:paraId="6D966A19"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 xml:space="preserve">Además, este documento proporciona una referencia estructurada para la gestión del cumplimiento normativo, estableciendo lineamientos claros sobre cómo identificar, evaluar y aplicar regulaciones y estándares que impacten la operación del </w:t>
      </w:r>
      <w:proofErr w:type="spellStart"/>
      <w:r w:rsidRPr="002B3623">
        <w:rPr>
          <w:rFonts w:asciiTheme="minorHAnsi" w:hAnsiTheme="minorHAnsi" w:cstheme="minorHAnsi"/>
          <w:lang w:val="es-CL"/>
        </w:rPr>
        <w:t>datacenter</w:t>
      </w:r>
      <w:proofErr w:type="spellEnd"/>
      <w:r w:rsidRPr="002B3623">
        <w:rPr>
          <w:rFonts w:asciiTheme="minorHAnsi" w:hAnsiTheme="minorHAnsi" w:cstheme="minorHAnsi"/>
          <w:lang w:val="es-CL"/>
        </w:rPr>
        <w:t>. La correcta aplicación de estos requisitos asegura una postura de seguridad robusta y alineada con las mejores prácticas del sector tecnológico.</w:t>
      </w:r>
    </w:p>
    <w:p w14:paraId="3E712869"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El cumplimiento de estas regulaciones no solo responde a obligaciones legales, sino que también fomenta la confianza de clientes, socios y partes interesadas en la capacidad del Datacenter Anaconda Web para manejar información crítica de manera segura y confiable. La alineación con normativas internacionales refuerza la competitividad y permite una mejor gestión de riesgos asociados a la seguridad de la información.</w:t>
      </w:r>
    </w:p>
    <w:p w14:paraId="16280A35"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lastRenderedPageBreak/>
        <w:t xml:space="preserve">Finalmente, este documento promueve una cultura de cumplimiento continuo, asegurando que todos los procesos de seguridad y gestión de información sean revisados, mejorados y ajustados conforme evolucionen los marcos regulatorios y las necesidades operativas del </w:t>
      </w:r>
      <w:proofErr w:type="spellStart"/>
      <w:r w:rsidRPr="002B3623">
        <w:rPr>
          <w:rFonts w:asciiTheme="minorHAnsi" w:hAnsiTheme="minorHAnsi" w:cstheme="minorHAnsi"/>
          <w:lang w:val="es-CL"/>
        </w:rPr>
        <w:t>datacenter</w:t>
      </w:r>
      <w:proofErr w:type="spellEnd"/>
      <w:r w:rsidRPr="002B3623">
        <w:rPr>
          <w:rFonts w:asciiTheme="minorHAnsi" w:hAnsiTheme="minorHAnsi" w:cstheme="minorHAnsi"/>
          <w:lang w:val="es-CL"/>
        </w:rPr>
        <w:t>.</w:t>
      </w:r>
    </w:p>
    <w:p w14:paraId="191C405D" w14:textId="77777777" w:rsidR="002B3623" w:rsidRPr="002B3623" w:rsidRDefault="002B3623" w:rsidP="002B3623">
      <w:pPr>
        <w:pStyle w:val="NormalWeb"/>
        <w:numPr>
          <w:ilvl w:val="0"/>
          <w:numId w:val="4"/>
        </w:numPr>
        <w:jc w:val="both"/>
        <w:rPr>
          <w:rFonts w:asciiTheme="minorHAnsi" w:hAnsiTheme="minorHAnsi" w:cstheme="minorHAnsi"/>
          <w:b/>
          <w:bCs/>
          <w:lang w:val="es-CL"/>
        </w:rPr>
      </w:pPr>
      <w:r w:rsidRPr="002B3623">
        <w:rPr>
          <w:rFonts w:asciiTheme="minorHAnsi" w:hAnsiTheme="minorHAnsi" w:cstheme="minorHAnsi"/>
          <w:b/>
          <w:bCs/>
          <w:lang w:val="es-CL"/>
        </w:rPr>
        <w:t>2. Alcance</w:t>
      </w:r>
    </w:p>
    <w:p w14:paraId="6BDDF099"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 xml:space="preserve">Esta matriz aplica a todas las operaciones, activos de información, servicios, sistemas y procesos del Datacenter Anaconda Web. Se consideran regulaciones nacionales e internacionales, acuerdos comerciales, normativas sectoriales, regulaciones en materia de ciberseguridad y privacidad de datos, y otros compromisos normativos que impacten la seguridad de la información y la infraestructura crítica del </w:t>
      </w:r>
      <w:proofErr w:type="spellStart"/>
      <w:r w:rsidRPr="002B3623">
        <w:rPr>
          <w:rFonts w:asciiTheme="minorHAnsi" w:hAnsiTheme="minorHAnsi" w:cstheme="minorHAnsi"/>
          <w:lang w:val="es-CL"/>
        </w:rPr>
        <w:t>datacenter</w:t>
      </w:r>
      <w:proofErr w:type="spellEnd"/>
      <w:r w:rsidRPr="002B3623">
        <w:rPr>
          <w:rFonts w:asciiTheme="minorHAnsi" w:hAnsiTheme="minorHAnsi" w:cstheme="minorHAnsi"/>
          <w:lang w:val="es-CL"/>
        </w:rPr>
        <w:t>.</w:t>
      </w:r>
    </w:p>
    <w:p w14:paraId="3C63FBFE"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 xml:space="preserve">El alcance también cubre la interacción del </w:t>
      </w:r>
      <w:proofErr w:type="spellStart"/>
      <w:r w:rsidRPr="002B3623">
        <w:rPr>
          <w:rFonts w:asciiTheme="minorHAnsi" w:hAnsiTheme="minorHAnsi" w:cstheme="minorHAnsi"/>
          <w:lang w:val="es-CL"/>
        </w:rPr>
        <w:t>datacenter</w:t>
      </w:r>
      <w:proofErr w:type="spellEnd"/>
      <w:r w:rsidRPr="002B3623">
        <w:rPr>
          <w:rFonts w:asciiTheme="minorHAnsi" w:hAnsiTheme="minorHAnsi" w:cstheme="minorHAnsi"/>
          <w:lang w:val="es-CL"/>
        </w:rPr>
        <w:t xml:space="preserve"> con terceros, como clientes, proveedores, reguladores y organismos de certificación, asegurando que todas las partes cumplan con las regulaciones aplicables. En particular, se considera la gestión de contratos con cláusulas de confidencialidad, acuerdos de nivel de servicio (SLA) y mecanismos de cumplimiento compartido.</w:t>
      </w:r>
    </w:p>
    <w:p w14:paraId="62C71404"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Incluye la identificación de los marcos regulatorios aplicables a la gestión de incidentes de seguridad, la continuidad del negocio, la protección de datos personales, la gestión de proveedores y la interoperabilidad de sistemas con terceros. Se establecen controles específicos para garantizar la trazabilidad del cumplimiento en cada fase operativa.</w:t>
      </w:r>
    </w:p>
    <w:p w14:paraId="0A57C801"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Para garantizar la aplicabilidad de esta matriz, se implementa un proceso de revisión continua que evalúa la vigencia de los requisitos legales y regulatorios, asegurando que el Datacenter Anaconda Web mantenga un alto nivel de cumplimiento y preparación ante cambios normativos o nuevas amenazas en el entorno digital.</w:t>
      </w:r>
    </w:p>
    <w:p w14:paraId="64A08D14" w14:textId="77777777" w:rsidR="002B3623" w:rsidRPr="002B3623" w:rsidRDefault="002B3623" w:rsidP="002B3623">
      <w:pPr>
        <w:pStyle w:val="NormalWeb"/>
        <w:numPr>
          <w:ilvl w:val="0"/>
          <w:numId w:val="4"/>
        </w:numPr>
        <w:jc w:val="both"/>
        <w:rPr>
          <w:rFonts w:asciiTheme="minorHAnsi" w:hAnsiTheme="minorHAnsi" w:cstheme="minorHAnsi"/>
          <w:b/>
          <w:bCs/>
          <w:lang w:val="es-CL"/>
        </w:rPr>
      </w:pPr>
      <w:r w:rsidRPr="002B3623">
        <w:rPr>
          <w:rFonts w:asciiTheme="minorHAnsi" w:hAnsiTheme="minorHAnsi" w:cstheme="minorHAnsi"/>
          <w:b/>
          <w:bCs/>
          <w:lang w:val="es-CL"/>
        </w:rPr>
        <w:t>3. Identificación de Requisitos Legales y Regulatorios</w:t>
      </w:r>
    </w:p>
    <w:p w14:paraId="7E511360"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Los siguientes requisitos han sido identificados como aplicables: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1"/>
        <w:gridCol w:w="2339"/>
        <w:gridCol w:w="2026"/>
        <w:gridCol w:w="1810"/>
      </w:tblGrid>
      <w:tr w:rsidR="002B3623" w:rsidRPr="002B3623" w14:paraId="53264D9D" w14:textId="77777777" w:rsidTr="00F43BA7">
        <w:trPr>
          <w:tblCellSpacing w:w="15" w:type="dxa"/>
        </w:trPr>
        <w:tc>
          <w:tcPr>
            <w:tcW w:w="0" w:type="auto"/>
            <w:vAlign w:val="center"/>
            <w:hideMark/>
          </w:tcPr>
          <w:p w14:paraId="07614549" w14:textId="77777777" w:rsidR="002B3623" w:rsidRPr="002B3623" w:rsidRDefault="002B3623" w:rsidP="002B3623">
            <w:pPr>
              <w:pStyle w:val="NormalWeb"/>
              <w:jc w:val="both"/>
              <w:rPr>
                <w:rFonts w:asciiTheme="minorHAnsi" w:hAnsiTheme="minorHAnsi" w:cstheme="minorHAnsi"/>
                <w:b/>
                <w:bCs/>
                <w:lang w:val="es-CL"/>
              </w:rPr>
            </w:pPr>
            <w:r w:rsidRPr="002B3623">
              <w:rPr>
                <w:rFonts w:asciiTheme="minorHAnsi" w:hAnsiTheme="minorHAnsi" w:cstheme="minorHAnsi"/>
                <w:b/>
                <w:bCs/>
                <w:lang w:val="es-CL"/>
              </w:rPr>
              <w:t>Regulación/Normativa</w:t>
            </w:r>
          </w:p>
        </w:tc>
        <w:tc>
          <w:tcPr>
            <w:tcW w:w="0" w:type="auto"/>
            <w:vAlign w:val="center"/>
            <w:hideMark/>
          </w:tcPr>
          <w:p w14:paraId="39ABBB4A" w14:textId="77777777" w:rsidR="002B3623" w:rsidRPr="002B3623" w:rsidRDefault="002B3623" w:rsidP="002B3623">
            <w:pPr>
              <w:pStyle w:val="NormalWeb"/>
              <w:jc w:val="both"/>
              <w:rPr>
                <w:rFonts w:asciiTheme="minorHAnsi" w:hAnsiTheme="minorHAnsi" w:cstheme="minorHAnsi"/>
                <w:b/>
                <w:bCs/>
                <w:lang w:val="es-CL"/>
              </w:rPr>
            </w:pPr>
            <w:r w:rsidRPr="002B3623">
              <w:rPr>
                <w:rFonts w:asciiTheme="minorHAnsi" w:hAnsiTheme="minorHAnsi" w:cstheme="minorHAnsi"/>
                <w:b/>
                <w:bCs/>
                <w:lang w:val="es-CL"/>
              </w:rPr>
              <w:t>Descripción</w:t>
            </w:r>
          </w:p>
        </w:tc>
        <w:tc>
          <w:tcPr>
            <w:tcW w:w="0" w:type="auto"/>
            <w:vAlign w:val="center"/>
            <w:hideMark/>
          </w:tcPr>
          <w:p w14:paraId="0C3CE173" w14:textId="77777777" w:rsidR="002B3623" w:rsidRPr="002B3623" w:rsidRDefault="002B3623" w:rsidP="002B3623">
            <w:pPr>
              <w:pStyle w:val="NormalWeb"/>
              <w:jc w:val="both"/>
              <w:rPr>
                <w:rFonts w:asciiTheme="minorHAnsi" w:hAnsiTheme="minorHAnsi" w:cstheme="minorHAnsi"/>
                <w:b/>
                <w:bCs/>
                <w:lang w:val="es-CL"/>
              </w:rPr>
            </w:pPr>
            <w:r w:rsidRPr="002B3623">
              <w:rPr>
                <w:rFonts w:asciiTheme="minorHAnsi" w:hAnsiTheme="minorHAnsi" w:cstheme="minorHAnsi"/>
                <w:b/>
                <w:bCs/>
                <w:lang w:val="es-CL"/>
              </w:rPr>
              <w:t>Entidad Reguladora</w:t>
            </w:r>
          </w:p>
        </w:tc>
        <w:tc>
          <w:tcPr>
            <w:tcW w:w="0" w:type="auto"/>
            <w:vAlign w:val="center"/>
            <w:hideMark/>
          </w:tcPr>
          <w:p w14:paraId="16A1AAE8" w14:textId="77777777" w:rsidR="002B3623" w:rsidRPr="002B3623" w:rsidRDefault="002B3623" w:rsidP="002B3623">
            <w:pPr>
              <w:pStyle w:val="NormalWeb"/>
              <w:jc w:val="both"/>
              <w:rPr>
                <w:rFonts w:asciiTheme="minorHAnsi" w:hAnsiTheme="minorHAnsi" w:cstheme="minorHAnsi"/>
                <w:b/>
                <w:bCs/>
                <w:lang w:val="es-CL"/>
              </w:rPr>
            </w:pPr>
            <w:r w:rsidRPr="002B3623">
              <w:rPr>
                <w:rFonts w:asciiTheme="minorHAnsi" w:hAnsiTheme="minorHAnsi" w:cstheme="minorHAnsi"/>
                <w:b/>
                <w:bCs/>
                <w:lang w:val="es-CL"/>
              </w:rPr>
              <w:t>Aplicabilidad</w:t>
            </w:r>
          </w:p>
        </w:tc>
      </w:tr>
      <w:tr w:rsidR="002B3623" w:rsidRPr="002B3623" w14:paraId="3C6DFBBF" w14:textId="77777777" w:rsidTr="00F43BA7">
        <w:trPr>
          <w:tblCellSpacing w:w="15" w:type="dxa"/>
        </w:trPr>
        <w:tc>
          <w:tcPr>
            <w:tcW w:w="0" w:type="auto"/>
            <w:vAlign w:val="center"/>
            <w:hideMark/>
          </w:tcPr>
          <w:p w14:paraId="7F7C56E0"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ISO 27001:2022</w:t>
            </w:r>
          </w:p>
        </w:tc>
        <w:tc>
          <w:tcPr>
            <w:tcW w:w="0" w:type="auto"/>
            <w:vAlign w:val="center"/>
            <w:hideMark/>
          </w:tcPr>
          <w:p w14:paraId="601DBD38"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Gestión de Seguridad de la Información</w:t>
            </w:r>
          </w:p>
        </w:tc>
        <w:tc>
          <w:tcPr>
            <w:tcW w:w="0" w:type="auto"/>
            <w:vAlign w:val="center"/>
            <w:hideMark/>
          </w:tcPr>
          <w:p w14:paraId="6FF0F245"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ISO</w:t>
            </w:r>
          </w:p>
        </w:tc>
        <w:tc>
          <w:tcPr>
            <w:tcW w:w="0" w:type="auto"/>
            <w:vAlign w:val="center"/>
            <w:hideMark/>
          </w:tcPr>
          <w:p w14:paraId="098B349C"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Obligatorio</w:t>
            </w:r>
          </w:p>
        </w:tc>
      </w:tr>
      <w:tr w:rsidR="002B3623" w:rsidRPr="002B3623" w14:paraId="746723B1" w14:textId="77777777" w:rsidTr="00F43BA7">
        <w:trPr>
          <w:tblCellSpacing w:w="15" w:type="dxa"/>
        </w:trPr>
        <w:tc>
          <w:tcPr>
            <w:tcW w:w="0" w:type="auto"/>
            <w:vAlign w:val="center"/>
            <w:hideMark/>
          </w:tcPr>
          <w:p w14:paraId="625F9544"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ISO 22301</w:t>
            </w:r>
          </w:p>
        </w:tc>
        <w:tc>
          <w:tcPr>
            <w:tcW w:w="0" w:type="auto"/>
            <w:vAlign w:val="center"/>
            <w:hideMark/>
          </w:tcPr>
          <w:p w14:paraId="07EE4B77"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Continuidad del Negocio</w:t>
            </w:r>
          </w:p>
        </w:tc>
        <w:tc>
          <w:tcPr>
            <w:tcW w:w="0" w:type="auto"/>
            <w:vAlign w:val="center"/>
            <w:hideMark/>
          </w:tcPr>
          <w:p w14:paraId="5BD1CE13"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ISO</w:t>
            </w:r>
          </w:p>
        </w:tc>
        <w:tc>
          <w:tcPr>
            <w:tcW w:w="0" w:type="auto"/>
            <w:vAlign w:val="center"/>
            <w:hideMark/>
          </w:tcPr>
          <w:p w14:paraId="1ADB9170"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Aplicable</w:t>
            </w:r>
          </w:p>
        </w:tc>
      </w:tr>
      <w:tr w:rsidR="002B3623" w:rsidRPr="002B3623" w14:paraId="65C724EB" w14:textId="77777777" w:rsidTr="00F43BA7">
        <w:trPr>
          <w:tblCellSpacing w:w="15" w:type="dxa"/>
        </w:trPr>
        <w:tc>
          <w:tcPr>
            <w:tcW w:w="0" w:type="auto"/>
            <w:vAlign w:val="center"/>
            <w:hideMark/>
          </w:tcPr>
          <w:p w14:paraId="33D12B5F"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Ley de Protección de Datos Personales</w:t>
            </w:r>
          </w:p>
        </w:tc>
        <w:tc>
          <w:tcPr>
            <w:tcW w:w="0" w:type="auto"/>
            <w:vAlign w:val="center"/>
            <w:hideMark/>
          </w:tcPr>
          <w:p w14:paraId="7A79AEE7"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Regulación sobre el tratamiento de datos personales</w:t>
            </w:r>
          </w:p>
        </w:tc>
        <w:tc>
          <w:tcPr>
            <w:tcW w:w="0" w:type="auto"/>
            <w:vAlign w:val="center"/>
            <w:hideMark/>
          </w:tcPr>
          <w:p w14:paraId="2937DA7E"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Autoridad Nacional de Protección de Datos</w:t>
            </w:r>
          </w:p>
        </w:tc>
        <w:tc>
          <w:tcPr>
            <w:tcW w:w="0" w:type="auto"/>
            <w:vAlign w:val="center"/>
            <w:hideMark/>
          </w:tcPr>
          <w:p w14:paraId="5EC5CFF0"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Obligatorio</w:t>
            </w:r>
          </w:p>
        </w:tc>
      </w:tr>
      <w:tr w:rsidR="002B3623" w:rsidRPr="002B3623" w14:paraId="68B16F48" w14:textId="77777777" w:rsidTr="00F43BA7">
        <w:trPr>
          <w:tblCellSpacing w:w="15" w:type="dxa"/>
        </w:trPr>
        <w:tc>
          <w:tcPr>
            <w:tcW w:w="0" w:type="auto"/>
            <w:vAlign w:val="center"/>
            <w:hideMark/>
          </w:tcPr>
          <w:p w14:paraId="23E03971"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Reglamento General de Protección de Datos (GDPR)</w:t>
            </w:r>
          </w:p>
        </w:tc>
        <w:tc>
          <w:tcPr>
            <w:tcW w:w="0" w:type="auto"/>
            <w:vAlign w:val="center"/>
            <w:hideMark/>
          </w:tcPr>
          <w:p w14:paraId="6C08775E"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Protección de datos personales de ciudadanos de la UE</w:t>
            </w:r>
          </w:p>
        </w:tc>
        <w:tc>
          <w:tcPr>
            <w:tcW w:w="0" w:type="auto"/>
            <w:vAlign w:val="center"/>
            <w:hideMark/>
          </w:tcPr>
          <w:p w14:paraId="1BD850C1"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Comisión Europea</w:t>
            </w:r>
          </w:p>
        </w:tc>
        <w:tc>
          <w:tcPr>
            <w:tcW w:w="0" w:type="auto"/>
            <w:vAlign w:val="center"/>
            <w:hideMark/>
          </w:tcPr>
          <w:p w14:paraId="549EBC7A"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Aplicable si se manejan datos de la UE</w:t>
            </w:r>
          </w:p>
        </w:tc>
      </w:tr>
      <w:tr w:rsidR="002B3623" w:rsidRPr="002B3623" w14:paraId="1D63D86E" w14:textId="77777777" w:rsidTr="00F43BA7">
        <w:trPr>
          <w:tblCellSpacing w:w="15" w:type="dxa"/>
        </w:trPr>
        <w:tc>
          <w:tcPr>
            <w:tcW w:w="0" w:type="auto"/>
            <w:vAlign w:val="center"/>
            <w:hideMark/>
          </w:tcPr>
          <w:p w14:paraId="7A070AA0"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lastRenderedPageBreak/>
              <w:t>Ley de Ciberseguridad</w:t>
            </w:r>
          </w:p>
        </w:tc>
        <w:tc>
          <w:tcPr>
            <w:tcW w:w="0" w:type="auto"/>
            <w:vAlign w:val="center"/>
            <w:hideMark/>
          </w:tcPr>
          <w:p w14:paraId="7B2F846C"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Normas para la protección de infraestructuras críticas</w:t>
            </w:r>
          </w:p>
        </w:tc>
        <w:tc>
          <w:tcPr>
            <w:tcW w:w="0" w:type="auto"/>
            <w:vAlign w:val="center"/>
            <w:hideMark/>
          </w:tcPr>
          <w:p w14:paraId="68F81D71"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Autoridad Nacional de Ciberseguridad</w:t>
            </w:r>
          </w:p>
        </w:tc>
        <w:tc>
          <w:tcPr>
            <w:tcW w:w="0" w:type="auto"/>
            <w:vAlign w:val="center"/>
            <w:hideMark/>
          </w:tcPr>
          <w:p w14:paraId="118E5BC9"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Obligatorio</w:t>
            </w:r>
          </w:p>
        </w:tc>
      </w:tr>
      <w:tr w:rsidR="002B3623" w:rsidRPr="002B3623" w14:paraId="37695BE6" w14:textId="77777777" w:rsidTr="00F43BA7">
        <w:trPr>
          <w:tblCellSpacing w:w="15" w:type="dxa"/>
        </w:trPr>
        <w:tc>
          <w:tcPr>
            <w:tcW w:w="0" w:type="auto"/>
            <w:vAlign w:val="center"/>
            <w:hideMark/>
          </w:tcPr>
          <w:p w14:paraId="1A72C676"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Ley de Firmas Electrónicas</w:t>
            </w:r>
          </w:p>
        </w:tc>
        <w:tc>
          <w:tcPr>
            <w:tcW w:w="0" w:type="auto"/>
            <w:vAlign w:val="center"/>
            <w:hideMark/>
          </w:tcPr>
          <w:p w14:paraId="40344FD2"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Uso legal de firmas digitales en documentación</w:t>
            </w:r>
          </w:p>
        </w:tc>
        <w:tc>
          <w:tcPr>
            <w:tcW w:w="0" w:type="auto"/>
            <w:vAlign w:val="center"/>
            <w:hideMark/>
          </w:tcPr>
          <w:p w14:paraId="31E6F28C"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Autoridad Reguladora Digital</w:t>
            </w:r>
          </w:p>
        </w:tc>
        <w:tc>
          <w:tcPr>
            <w:tcW w:w="0" w:type="auto"/>
            <w:vAlign w:val="center"/>
            <w:hideMark/>
          </w:tcPr>
          <w:p w14:paraId="03F3B4BD"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Aplicable</w:t>
            </w:r>
          </w:p>
        </w:tc>
      </w:tr>
      <w:tr w:rsidR="002B3623" w:rsidRPr="002B3623" w14:paraId="5EC94342" w14:textId="77777777" w:rsidTr="00F43BA7">
        <w:trPr>
          <w:tblCellSpacing w:w="15" w:type="dxa"/>
        </w:trPr>
        <w:tc>
          <w:tcPr>
            <w:tcW w:w="0" w:type="auto"/>
            <w:vAlign w:val="center"/>
            <w:hideMark/>
          </w:tcPr>
          <w:p w14:paraId="5FF76AF5"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Contratos con Clientes</w:t>
            </w:r>
          </w:p>
        </w:tc>
        <w:tc>
          <w:tcPr>
            <w:tcW w:w="0" w:type="auto"/>
            <w:vAlign w:val="center"/>
            <w:hideMark/>
          </w:tcPr>
          <w:p w14:paraId="31CF2221"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Obligaciones de confidencialidad y seguridad</w:t>
            </w:r>
          </w:p>
        </w:tc>
        <w:tc>
          <w:tcPr>
            <w:tcW w:w="0" w:type="auto"/>
            <w:vAlign w:val="center"/>
            <w:hideMark/>
          </w:tcPr>
          <w:p w14:paraId="725D1FC1"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Clientes Corporativos</w:t>
            </w:r>
          </w:p>
        </w:tc>
        <w:tc>
          <w:tcPr>
            <w:tcW w:w="0" w:type="auto"/>
            <w:vAlign w:val="center"/>
            <w:hideMark/>
          </w:tcPr>
          <w:p w14:paraId="79983229"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Contractual</w:t>
            </w:r>
          </w:p>
        </w:tc>
      </w:tr>
      <w:tr w:rsidR="002B3623" w:rsidRPr="002B3623" w14:paraId="6752174C" w14:textId="77777777" w:rsidTr="00F43BA7">
        <w:trPr>
          <w:tblCellSpacing w:w="15" w:type="dxa"/>
        </w:trPr>
        <w:tc>
          <w:tcPr>
            <w:tcW w:w="0" w:type="auto"/>
            <w:vAlign w:val="center"/>
            <w:hideMark/>
          </w:tcPr>
          <w:p w14:paraId="6A261843"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Acuerdos con Proveedores</w:t>
            </w:r>
          </w:p>
        </w:tc>
        <w:tc>
          <w:tcPr>
            <w:tcW w:w="0" w:type="auto"/>
            <w:vAlign w:val="center"/>
            <w:hideMark/>
          </w:tcPr>
          <w:p w14:paraId="527DA1A6"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Requisitos de seguridad en el manejo de información</w:t>
            </w:r>
          </w:p>
        </w:tc>
        <w:tc>
          <w:tcPr>
            <w:tcW w:w="0" w:type="auto"/>
            <w:vAlign w:val="center"/>
            <w:hideMark/>
          </w:tcPr>
          <w:p w14:paraId="38AF38F1"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Proveedores Tecnológicos</w:t>
            </w:r>
          </w:p>
        </w:tc>
        <w:tc>
          <w:tcPr>
            <w:tcW w:w="0" w:type="auto"/>
            <w:vAlign w:val="center"/>
            <w:hideMark/>
          </w:tcPr>
          <w:p w14:paraId="35285503"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Contractual</w:t>
            </w:r>
          </w:p>
        </w:tc>
      </w:tr>
    </w:tbl>
    <w:p w14:paraId="5354BC30"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 xml:space="preserve">Estos requisitos han sido seleccionados en función de su impacto en la gestión de la seguridad de la información, la integridad de los servicios del </w:t>
      </w:r>
      <w:proofErr w:type="spellStart"/>
      <w:r w:rsidRPr="002B3623">
        <w:rPr>
          <w:rFonts w:asciiTheme="minorHAnsi" w:hAnsiTheme="minorHAnsi" w:cstheme="minorHAnsi"/>
          <w:lang w:val="es-CL"/>
        </w:rPr>
        <w:t>datacenter</w:t>
      </w:r>
      <w:proofErr w:type="spellEnd"/>
      <w:r w:rsidRPr="002B3623">
        <w:rPr>
          <w:rFonts w:asciiTheme="minorHAnsi" w:hAnsiTheme="minorHAnsi" w:cstheme="minorHAnsi"/>
          <w:lang w:val="es-CL"/>
        </w:rPr>
        <w:t xml:space="preserve"> y la prevención de riesgos legales. Cada regulación es monitoreada de manera activa para detectar posibles cambios o actualizaciones que deban ser incorporadas en la estrategia de cumplimiento.</w:t>
      </w:r>
    </w:p>
    <w:p w14:paraId="74C467C2"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Para garantizar la correcta implementación de estos requisitos, se ha establecido un proceso de validación cruzada con expertos legales, auditores internos y equipos de seguridad informática. Esta validación se realiza semestralmente y busca identificar lagunas normativas o mejoras en la aplicación de las regulaciones.</w:t>
      </w:r>
    </w:p>
    <w:p w14:paraId="2DCD7404" w14:textId="77777777" w:rsidR="002B3623" w:rsidRPr="002B3623" w:rsidRDefault="002B3623" w:rsidP="002B3623">
      <w:pPr>
        <w:pStyle w:val="NormalWeb"/>
        <w:jc w:val="both"/>
        <w:rPr>
          <w:rFonts w:asciiTheme="minorHAnsi" w:hAnsiTheme="minorHAnsi" w:cstheme="minorHAnsi"/>
          <w:lang w:val="es-CL"/>
        </w:rPr>
      </w:pPr>
      <w:r w:rsidRPr="002B3623">
        <w:rPr>
          <w:rFonts w:asciiTheme="minorHAnsi" w:hAnsiTheme="minorHAnsi" w:cstheme="minorHAnsi"/>
          <w:lang w:val="es-CL"/>
        </w:rPr>
        <w:t xml:space="preserve">Adicionalmente, cada normativa identificada es desglosada en controles específicos que permiten su correcta implementación dentro de las operaciones del </w:t>
      </w:r>
      <w:proofErr w:type="spellStart"/>
      <w:r w:rsidRPr="002B3623">
        <w:rPr>
          <w:rFonts w:asciiTheme="minorHAnsi" w:hAnsiTheme="minorHAnsi" w:cstheme="minorHAnsi"/>
          <w:lang w:val="es-CL"/>
        </w:rPr>
        <w:t>datacenter</w:t>
      </w:r>
      <w:proofErr w:type="spellEnd"/>
      <w:r w:rsidRPr="002B3623">
        <w:rPr>
          <w:rFonts w:asciiTheme="minorHAnsi" w:hAnsiTheme="minorHAnsi" w:cstheme="minorHAnsi"/>
          <w:lang w:val="es-CL"/>
        </w:rPr>
        <w:t>. Este enfoque estructurado facilita la integración de requisitos regulatorios en los procesos de gestión de seguridad de la información, minimizando la carga operativa y maximizando la eficiencia del cumplimiento.</w:t>
      </w:r>
    </w:p>
    <w:p w14:paraId="5DBFA00D" w14:textId="77777777" w:rsidR="00F43BA7" w:rsidRPr="00F43BA7" w:rsidRDefault="00F43BA7" w:rsidP="00F43BA7">
      <w:pPr>
        <w:pStyle w:val="NormalWeb"/>
        <w:numPr>
          <w:ilvl w:val="0"/>
          <w:numId w:val="4"/>
        </w:numPr>
        <w:jc w:val="both"/>
        <w:rPr>
          <w:rFonts w:asciiTheme="minorHAnsi" w:hAnsiTheme="minorHAnsi" w:cstheme="minorHAnsi"/>
          <w:b/>
          <w:bCs/>
          <w:lang w:val="es-CL"/>
        </w:rPr>
      </w:pPr>
      <w:r w:rsidRPr="00F43BA7">
        <w:rPr>
          <w:rFonts w:asciiTheme="minorHAnsi" w:hAnsiTheme="minorHAnsi" w:cstheme="minorHAnsi"/>
          <w:b/>
          <w:bCs/>
          <w:lang w:val="es-CL"/>
        </w:rPr>
        <w:t>Cumplimiento y Responsabilidades</w:t>
      </w:r>
    </w:p>
    <w:p w14:paraId="1B6BF542"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El cumplimiento de los requisitos legales y regulatorios en Anaconda Web se lleva a cabo a través de una estructura de gestión bien definida. Cada área organizativa tiene asignadas responsabilidades específicas para garantizar la adecuada implementación y seguimiento de las normativas aplicables. Por ejemplo, el departamento de Seguridad de la Información es responsable de la aplicación de controles técnicos para proteger los datos y prevenir incidentes de seguridad. El equipo legal supervisa la conformidad con regulaciones nacionales e internacionales, asegurando que los contratos con clientes y proveedores incluyan cláusulas de cumplimiento normativo.</w:t>
      </w:r>
    </w:p>
    <w:p w14:paraId="17AC92FC"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 xml:space="preserve">Además, el área de Recursos Humanos gestiona la capacitación y concienciación del personal en temas de seguridad y normativas, asegurando que todos los empleados conozcan sus responsabilidades en materia de cumplimiento. El equipo de Auditoría Interna, por su parte, </w:t>
      </w:r>
      <w:r w:rsidRPr="00F43BA7">
        <w:rPr>
          <w:rFonts w:asciiTheme="minorHAnsi" w:hAnsiTheme="minorHAnsi" w:cstheme="minorHAnsi"/>
          <w:lang w:val="es-CL"/>
        </w:rPr>
        <w:lastRenderedPageBreak/>
        <w:t>realiza revisiones periódicas para evaluar la efectividad de las políticas implementadas y proponer mejoras cuando sea necesario. Esto incluye la revisión periódica de políticas internas, la actualización de procedimientos y la implementación de controles de seguridad para mitigar riesgos asociados al incumplimiento normativo.</w:t>
      </w:r>
    </w:p>
    <w:p w14:paraId="528F9541"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Para asegurar el cumplimiento, se ha establecido un comité de cumplimiento normativo, integrado por representantes del equipo legal, seguridad de la información y operaciones. Este comité se encarga de evaluar el estado de cumplimiento de la organización, identificar áreas de mejora y proponer planes de acción para abordar posibles brechas. Además, realiza reuniones trimestrales para revisar cambios en la legislación y garantizar que todas las actualizaciones sean reflejadas en los procesos internos.</w:t>
      </w:r>
    </w:p>
    <w:p w14:paraId="695DB1EE"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 xml:space="preserve">Los procesos de auditoría interna son una herramienta fundamental para verificar el cumplimiento de los requisitos regulatorios. Estas auditorías se llevan a cabo de forma semestral y analizan la correcta aplicación de controles de seguridad, la gestión de accesos, la protección de datos personales y la continuidad operativa del </w:t>
      </w:r>
      <w:proofErr w:type="spellStart"/>
      <w:r w:rsidRPr="00F43BA7">
        <w:rPr>
          <w:rFonts w:asciiTheme="minorHAnsi" w:hAnsiTheme="minorHAnsi" w:cstheme="minorHAnsi"/>
          <w:lang w:val="es-CL"/>
        </w:rPr>
        <w:t>datacenter</w:t>
      </w:r>
      <w:proofErr w:type="spellEnd"/>
      <w:r w:rsidRPr="00F43BA7">
        <w:rPr>
          <w:rFonts w:asciiTheme="minorHAnsi" w:hAnsiTheme="minorHAnsi" w:cstheme="minorHAnsi"/>
          <w:lang w:val="es-CL"/>
        </w:rPr>
        <w:t>. Los hallazgos se documentan en informes detallados y se implementan acciones correctivas según corresponda.</w:t>
      </w:r>
    </w:p>
    <w:p w14:paraId="4A7FF710"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Asimismo, se han definido métricas clave de desempeño (</w:t>
      </w:r>
      <w:proofErr w:type="spellStart"/>
      <w:r w:rsidRPr="00F43BA7">
        <w:rPr>
          <w:rFonts w:asciiTheme="minorHAnsi" w:hAnsiTheme="minorHAnsi" w:cstheme="minorHAnsi"/>
          <w:lang w:val="es-CL"/>
        </w:rPr>
        <w:t>KPIs</w:t>
      </w:r>
      <w:proofErr w:type="spellEnd"/>
      <w:r w:rsidRPr="00F43BA7">
        <w:rPr>
          <w:rFonts w:asciiTheme="minorHAnsi" w:hAnsiTheme="minorHAnsi" w:cstheme="minorHAnsi"/>
          <w:lang w:val="es-CL"/>
        </w:rPr>
        <w:t>) para medir la efectividad de las estrategias de cumplimiento. Entre estos indicadores se incluyen el porcentaje de auditorías exitosas, la cantidad de incidentes relacionados con incumplimientos normativos y el nivel de formación del personal en aspectos regulatorios. Estos datos permiten realizar ajustes proactivos en la estrategia de cumplimiento y asegurar una mejora continua en la gestión normativa.</w:t>
      </w:r>
    </w:p>
    <w:p w14:paraId="2A360777" w14:textId="77777777" w:rsidR="00F43BA7" w:rsidRPr="00F43BA7" w:rsidRDefault="00F43BA7" w:rsidP="00F43BA7">
      <w:pPr>
        <w:pStyle w:val="NormalWeb"/>
        <w:numPr>
          <w:ilvl w:val="0"/>
          <w:numId w:val="4"/>
        </w:numPr>
        <w:jc w:val="both"/>
        <w:rPr>
          <w:rFonts w:asciiTheme="minorHAnsi" w:hAnsiTheme="minorHAnsi" w:cstheme="minorHAnsi"/>
          <w:b/>
          <w:bCs/>
          <w:lang w:val="es-CL"/>
        </w:rPr>
      </w:pPr>
      <w:r w:rsidRPr="00F43BA7">
        <w:rPr>
          <w:rFonts w:asciiTheme="minorHAnsi" w:hAnsiTheme="minorHAnsi" w:cstheme="minorHAnsi"/>
          <w:b/>
          <w:bCs/>
          <w:lang w:val="es-CL"/>
        </w:rPr>
        <w:t>Evidencia de Cumplimiento</w:t>
      </w:r>
    </w:p>
    <w:p w14:paraId="75C93439"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Para demostrar el cumplimiento de los requisitos legales y regulatorios en Anaconda Web, se han establecido mecanismos de documentación y auditoría. La recopilación de evidencias se realiza a través de registros electrónicos, informes de auditoría, certificaciones y verificaciones periódicas que aseguran que las prácticas de seguridad y cumplimiento sean efectivas y actualizadas.</w:t>
      </w:r>
    </w:p>
    <w:p w14:paraId="42E5604C"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Cada requisito identificado en la matriz cuenta con documentación que respalda su cumplimiento, incluyendo políticas internas, procedimientos de seguridad, registros de accesos y reportes de incidentes. Estos documentos son revisados y actualizados regularmente para garantizar su vigencia y alineación con la normativa aplicable.</w:t>
      </w:r>
    </w:p>
    <w:p w14:paraId="74AC2B88"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Además, se han implementado sistemas de gestión documental que permiten almacenar y recuperar evidencias de cumplimiento de manera eficiente. Estos sistemas utilizan tecnología de firma digital y cifrado para proteger la integridad de los documentos y evitar manipulaciones no autorizadas.</w:t>
      </w:r>
    </w:p>
    <w:p w14:paraId="0C0EFE24"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lastRenderedPageBreak/>
        <w:t>El comité de cumplimiento normativo es responsable de validar la evidencia recopilada y garantizar que cumpla con los estándares requeridos. En caso de detectar inconsistencias, se emiten recomendaciones para mejorar la documentación y fortalecer los procesos de cumplimiento.</w:t>
      </w:r>
    </w:p>
    <w:p w14:paraId="363856C3" w14:textId="77777777" w:rsidR="00F43BA7" w:rsidRPr="00F43BA7" w:rsidRDefault="00F43BA7" w:rsidP="00F43BA7">
      <w:pPr>
        <w:pStyle w:val="NormalWeb"/>
        <w:numPr>
          <w:ilvl w:val="0"/>
          <w:numId w:val="4"/>
        </w:numPr>
        <w:jc w:val="both"/>
        <w:rPr>
          <w:rFonts w:asciiTheme="minorHAnsi" w:hAnsiTheme="minorHAnsi" w:cstheme="minorHAnsi"/>
          <w:b/>
          <w:bCs/>
          <w:lang w:val="es-CL"/>
        </w:rPr>
      </w:pPr>
      <w:r w:rsidRPr="00F43BA7">
        <w:rPr>
          <w:rFonts w:asciiTheme="minorHAnsi" w:hAnsiTheme="minorHAnsi" w:cstheme="minorHAnsi"/>
          <w:b/>
          <w:bCs/>
          <w:lang w:val="es-CL"/>
        </w:rPr>
        <w:t>Monitoreo y Actualización</w:t>
      </w:r>
    </w:p>
    <w:p w14:paraId="2A654CB6"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El monitoreo y actualización de la matriz de requisitos legales y regulatorios es un proceso continuo que permite mantener la conformidad con las normativas vigentes. Para ello, se ha implementado un sistema de revisión periódica en el que se evalúan los cambios en la legislación y se ajustan las políticas internas según corresponda.</w:t>
      </w:r>
    </w:p>
    <w:p w14:paraId="0B3C9BBE"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El equipo de cumplimiento normativo utiliza herramientas de monitoreo automatizado para identificar modificaciones en las regulaciones aplicables. Estas herramientas permiten recibir alertas tempranas sobre cambios legales y garantizar que la organización se adapte de manera proactiva a las nuevas exigencias.</w:t>
      </w:r>
    </w:p>
    <w:p w14:paraId="2F2F6F4A"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 xml:space="preserve">Además, se realizan sesiones de actualización interna en las que se capacita al personal sobre las modificaciones normativas y su impacto en los procesos operativos del </w:t>
      </w:r>
      <w:proofErr w:type="spellStart"/>
      <w:r w:rsidRPr="00F43BA7">
        <w:rPr>
          <w:rFonts w:asciiTheme="minorHAnsi" w:hAnsiTheme="minorHAnsi" w:cstheme="minorHAnsi"/>
          <w:lang w:val="es-CL"/>
        </w:rPr>
        <w:t>datacenter</w:t>
      </w:r>
      <w:proofErr w:type="spellEnd"/>
      <w:r w:rsidRPr="00F43BA7">
        <w:rPr>
          <w:rFonts w:asciiTheme="minorHAnsi" w:hAnsiTheme="minorHAnsi" w:cstheme="minorHAnsi"/>
          <w:lang w:val="es-CL"/>
        </w:rPr>
        <w:t>. Esto permite que todos los equipos estén alineados con las nuevas disposiciones regulatorias y actúen en consecuencia.</w:t>
      </w:r>
    </w:p>
    <w:p w14:paraId="49CD2440"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El proceso de actualización se documenta en informes trimestrales que detallan los cambios aplicados, las medidas implementadas y los resultados obtenidos. Estos informes son presentados al comité de cumplimiento normativo para su validación y posterior integración en la estrategia de seguridad de la información.</w:t>
      </w:r>
    </w:p>
    <w:p w14:paraId="5DF49832" w14:textId="77777777" w:rsidR="00F43BA7" w:rsidRPr="00F43BA7" w:rsidRDefault="00F43BA7" w:rsidP="00F43BA7">
      <w:pPr>
        <w:pStyle w:val="NormalWeb"/>
        <w:numPr>
          <w:ilvl w:val="0"/>
          <w:numId w:val="4"/>
        </w:numPr>
        <w:jc w:val="both"/>
        <w:rPr>
          <w:rFonts w:asciiTheme="minorHAnsi" w:hAnsiTheme="minorHAnsi" w:cstheme="minorHAnsi"/>
          <w:b/>
          <w:bCs/>
          <w:lang w:val="es-CL"/>
        </w:rPr>
      </w:pPr>
      <w:r w:rsidRPr="00F43BA7">
        <w:rPr>
          <w:rFonts w:asciiTheme="minorHAnsi" w:hAnsiTheme="minorHAnsi" w:cstheme="minorHAnsi"/>
          <w:b/>
          <w:bCs/>
          <w:lang w:val="es-CL"/>
        </w:rPr>
        <w:t>Evaluación de Riesgos Regulatorios</w:t>
      </w:r>
    </w:p>
    <w:p w14:paraId="0B7F940E"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La evaluación de riesgos regulatorios en Anaconda Web es un proceso crítico para identificar amenazas potenciales derivadas del incumplimiento normativo. Se aplican metodologías de análisis de riesgos que permiten detectar vulnerabilidades y establecer planes de mitigación adecuados.</w:t>
      </w:r>
    </w:p>
    <w:p w14:paraId="385F810D"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Cada riesgo identificado es clasificado en función de su impacto y probabilidad de ocurrencia. Los riesgos de alto impacto requieren una respuesta inmediata y la aplicación de medidas correctivas, mientras que los riesgos de menor impacto son monitoreados y gestionados en función de su evolución.</w:t>
      </w:r>
    </w:p>
    <w:p w14:paraId="42E6B0C1"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El equipo de cumplimiento trabaja en conjunto con los departamentos de seguridad de la información y legal para establecer estrategias de mitigación basadas en controles internos, auditorías frecuentes y capacitaciones especializadas. La integración de estos enfoques garantiza una gestión efectiva del riesgo y una reducción en la exposición a sanciones regulatorias.</w:t>
      </w:r>
    </w:p>
    <w:p w14:paraId="2717BE92"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lastRenderedPageBreak/>
        <w:t>Se elaboran reportes de evaluación de riesgos de manera semestral, en los que se detallan los hallazgos, las acciones correctivas aplicadas y las mejoras recomendadas para fortalecer el marco de cumplimiento normativo.</w:t>
      </w:r>
    </w:p>
    <w:p w14:paraId="54F6B470" w14:textId="77777777" w:rsidR="00F43BA7" w:rsidRPr="00F43BA7" w:rsidRDefault="00F43BA7" w:rsidP="00F43BA7">
      <w:pPr>
        <w:pStyle w:val="NormalWeb"/>
        <w:numPr>
          <w:ilvl w:val="0"/>
          <w:numId w:val="4"/>
        </w:numPr>
        <w:jc w:val="both"/>
        <w:rPr>
          <w:rFonts w:asciiTheme="minorHAnsi" w:hAnsiTheme="minorHAnsi" w:cstheme="minorHAnsi"/>
          <w:b/>
          <w:bCs/>
          <w:lang w:val="es-CL"/>
        </w:rPr>
      </w:pPr>
      <w:r w:rsidRPr="00F43BA7">
        <w:rPr>
          <w:rFonts w:asciiTheme="minorHAnsi" w:hAnsiTheme="minorHAnsi" w:cstheme="minorHAnsi"/>
          <w:b/>
          <w:bCs/>
          <w:lang w:val="es-CL"/>
        </w:rPr>
        <w:t>Plan de Acción y Mejora Continua</w:t>
      </w:r>
    </w:p>
    <w:p w14:paraId="17751EE2"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El Plan de Acción y Mejora Continua en Anaconda Web está diseñado para garantizar la evolución constante del marco normativo y el cumplimiento de los requisitos legales. Este plan establece objetivos específicos, indicadores de desempeño y estrategias de optimización para mejorar la eficacia de los controles regulatorios.</w:t>
      </w:r>
    </w:p>
    <w:p w14:paraId="032E70B0"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 xml:space="preserve">Entre las acciones prioritarias se incluyen la actualización de políticas internas, la modernización de herramientas de auditoría y la optimización de los procesos de verificación de cumplimiento. Estos esfuerzos buscan fortalecer la capacidad del </w:t>
      </w:r>
      <w:proofErr w:type="spellStart"/>
      <w:r w:rsidRPr="00F43BA7">
        <w:rPr>
          <w:rFonts w:asciiTheme="minorHAnsi" w:hAnsiTheme="minorHAnsi" w:cstheme="minorHAnsi"/>
          <w:lang w:val="es-CL"/>
        </w:rPr>
        <w:t>datacenter</w:t>
      </w:r>
      <w:proofErr w:type="spellEnd"/>
      <w:r w:rsidRPr="00F43BA7">
        <w:rPr>
          <w:rFonts w:asciiTheme="minorHAnsi" w:hAnsiTheme="minorHAnsi" w:cstheme="minorHAnsi"/>
          <w:lang w:val="es-CL"/>
        </w:rPr>
        <w:t xml:space="preserve"> para adaptarse a nuevas regulaciones y mejorar la gestión de la seguridad de la información.</w:t>
      </w:r>
    </w:p>
    <w:p w14:paraId="27A5C656"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El comité de cumplimiento normativo supervisa la ejecución del plan de acción y realiza revisiones periódicas para evaluar su impacto. Se aplican métricas clave para medir la efectividad de las mejoras implementadas y garantizar que cumplan con los estándares de calidad y seguridad.</w:t>
      </w:r>
    </w:p>
    <w:p w14:paraId="1DB6A624"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El enfoque de mejora continua se basa en la retroalimentación de las auditorías, la evaluación de incidentes de seguridad y la adopción de mejores prácticas internacionales. Este ciclo de optimización permite que Anaconda Web mantenga un alto nivel de cumplimiento y competitividad en el sector tecnológico.</w:t>
      </w:r>
    </w:p>
    <w:p w14:paraId="031075D8" w14:textId="77777777" w:rsidR="00F43BA7" w:rsidRPr="00F43BA7" w:rsidRDefault="00F43BA7" w:rsidP="00F43BA7">
      <w:pPr>
        <w:pStyle w:val="NormalWeb"/>
        <w:numPr>
          <w:ilvl w:val="0"/>
          <w:numId w:val="4"/>
        </w:numPr>
        <w:jc w:val="both"/>
        <w:rPr>
          <w:rFonts w:asciiTheme="minorHAnsi" w:hAnsiTheme="minorHAnsi" w:cstheme="minorHAnsi"/>
          <w:b/>
          <w:bCs/>
          <w:lang w:val="es-CL"/>
        </w:rPr>
      </w:pPr>
      <w:r w:rsidRPr="00F43BA7">
        <w:rPr>
          <w:rFonts w:asciiTheme="minorHAnsi" w:hAnsiTheme="minorHAnsi" w:cstheme="minorHAnsi"/>
          <w:b/>
          <w:bCs/>
          <w:lang w:val="es-CL"/>
        </w:rPr>
        <w:t>Procedimientos de Auditoría y Verificación</w:t>
      </w:r>
    </w:p>
    <w:p w14:paraId="29858CE1"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Los procedimientos de auditoría y verificación en Anaconda Web son fundamentales para garantizar la correcta implementación y cumplimiento de los requisitos regulatorios. Las auditorías se realizan en ciclos semestrales e incluyen la revisión de controles de seguridad, protección de datos y continuidad del negocio. Estas auditorías pueden ser internas, realizadas por el equipo de cumplimiento, o externas, ejecutadas por organismos certificadores o consultores independientes.</w:t>
      </w:r>
    </w:p>
    <w:p w14:paraId="037A4A11"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El proceso de auditoría sigue una metodología estructurada que comienza con la planificación, donde se definen los objetivos y alcance, seguido de la ejecución, en la que se recopilan pruebas y registros. Finalmente, se presentan los hallazgos en un informe detallado con acciones correctivas y recomendaciones para mejorar el cumplimiento normativo.</w:t>
      </w:r>
    </w:p>
    <w:p w14:paraId="05782CBF"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 xml:space="preserve">Además, se han implementado auditorías sorpresa en áreas críticas del </w:t>
      </w:r>
      <w:proofErr w:type="spellStart"/>
      <w:r w:rsidRPr="00F43BA7">
        <w:rPr>
          <w:rFonts w:asciiTheme="minorHAnsi" w:hAnsiTheme="minorHAnsi" w:cstheme="minorHAnsi"/>
          <w:lang w:val="es-CL"/>
        </w:rPr>
        <w:t>datacenter</w:t>
      </w:r>
      <w:proofErr w:type="spellEnd"/>
      <w:r w:rsidRPr="00F43BA7">
        <w:rPr>
          <w:rFonts w:asciiTheme="minorHAnsi" w:hAnsiTheme="minorHAnsi" w:cstheme="minorHAnsi"/>
          <w:lang w:val="es-CL"/>
        </w:rPr>
        <w:t xml:space="preserve"> para evaluar la efectividad de los controles en tiempo real. En una de estas auditorías, se detectó una vulnerabilidad en la configuración de permisos de acceso a servidores, lo que permitía que ciertos usuarios tuvieran privilegios no autorizados. Como respuesta inmediata, se </w:t>
      </w:r>
      <w:r w:rsidRPr="00F43BA7">
        <w:rPr>
          <w:rFonts w:asciiTheme="minorHAnsi" w:hAnsiTheme="minorHAnsi" w:cstheme="minorHAnsi"/>
          <w:lang w:val="es-CL"/>
        </w:rPr>
        <w:lastRenderedPageBreak/>
        <w:t>revocaron los accesos indebidos y se implementó una revisión más rigurosa de los privilegios asignados a cada rol.</w:t>
      </w:r>
    </w:p>
    <w:p w14:paraId="6E594232"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Otra auditoría reveló que ciertos registros de seguridad no estaban siendo almacenados correctamente, lo que comprometía la trazabilidad de eventos críticos. Para solucionar esto, se optimizó el sistema de almacenamiento de logs, asegurando su integridad y disponibilidad para futuras auditorías y análisis forenses.</w:t>
      </w:r>
    </w:p>
    <w:p w14:paraId="714D7BCF"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También, en una inspección sorpresa realizada en un área de almacenamiento de datos, se detectó que algunos dispositivos de respaldo no estaban cifrados adecuadamente, lo que suponía un riesgo potencial en caso de extravío o robo. Se procedió a cifrar todos los dispositivos de respaldo y se estableció un protocolo de revisión mensual para evitar situaciones similares.</w:t>
      </w:r>
    </w:p>
    <w:p w14:paraId="4493B9F2"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 xml:space="preserve">Estas auditorías no solo han permitido corregir fallos antes de que se conviertan en incidentes de seguridad, sino que también han mejorado la capacidad de respuesta del equipo de cumplimiento y reforzado la cultura de seguridad dentro del </w:t>
      </w:r>
      <w:proofErr w:type="spellStart"/>
      <w:r w:rsidRPr="00F43BA7">
        <w:rPr>
          <w:rFonts w:asciiTheme="minorHAnsi" w:hAnsiTheme="minorHAnsi" w:cstheme="minorHAnsi"/>
          <w:lang w:val="es-CL"/>
        </w:rPr>
        <w:t>datacenter</w:t>
      </w:r>
      <w:proofErr w:type="spellEnd"/>
      <w:r w:rsidRPr="00F43BA7">
        <w:rPr>
          <w:rFonts w:asciiTheme="minorHAnsi" w:hAnsiTheme="minorHAnsi" w:cstheme="minorHAnsi"/>
          <w:lang w:val="es-CL"/>
        </w:rPr>
        <w:t>. Estas auditorías permiten detectar posibles vulnerabilidades antes de que sean explotadas y asegurar la continuidad de las operaciones bajo estrictos estándares regulatorios.</w:t>
      </w:r>
    </w:p>
    <w:p w14:paraId="72515B98"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Los resultados de las auditorías son compartidos con el comité de cumplimiento normativo, que se encarga de supervisar la implementación de las medidas correctivas y asegurar la mejora continua en los procedimientos de seguridad y regulación.</w:t>
      </w:r>
    </w:p>
    <w:p w14:paraId="3633B887" w14:textId="77777777" w:rsidR="00F43BA7" w:rsidRPr="00F43BA7" w:rsidRDefault="00F43BA7" w:rsidP="00F43BA7">
      <w:pPr>
        <w:pStyle w:val="NormalWeb"/>
        <w:numPr>
          <w:ilvl w:val="0"/>
          <w:numId w:val="4"/>
        </w:numPr>
        <w:jc w:val="both"/>
        <w:rPr>
          <w:rFonts w:asciiTheme="minorHAnsi" w:hAnsiTheme="minorHAnsi" w:cstheme="minorHAnsi"/>
          <w:b/>
          <w:bCs/>
          <w:lang w:val="es-CL"/>
        </w:rPr>
      </w:pPr>
      <w:r w:rsidRPr="00F43BA7">
        <w:rPr>
          <w:rFonts w:asciiTheme="minorHAnsi" w:hAnsiTheme="minorHAnsi" w:cstheme="minorHAnsi"/>
          <w:b/>
          <w:bCs/>
          <w:lang w:val="es-CL"/>
        </w:rPr>
        <w:t>Implementación de Tecnologías para Cumplimiento</w:t>
      </w:r>
    </w:p>
    <w:p w14:paraId="793AD281"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En Anaconda Web, se han adoptado tecnologías avanzadas para facilitar el cumplimiento normativo y mejorar la gestión de riesgos regulatorios. Entre estas tecnologías se incluyen plataformas de gestión documental, herramientas de monitoreo automatizado y sistemas de inteligencia artificial que analizan grandes volúmenes de datos para identificar posibles incumplimientos.</w:t>
      </w:r>
    </w:p>
    <w:p w14:paraId="60AA994B"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 xml:space="preserve">Se han implementado sistemas de firma digital y </w:t>
      </w:r>
      <w:proofErr w:type="spellStart"/>
      <w:r w:rsidRPr="00F43BA7">
        <w:rPr>
          <w:rFonts w:asciiTheme="minorHAnsi" w:hAnsiTheme="minorHAnsi" w:cstheme="minorHAnsi"/>
          <w:lang w:val="es-CL"/>
        </w:rPr>
        <w:t>blockchain</w:t>
      </w:r>
      <w:proofErr w:type="spellEnd"/>
      <w:r w:rsidRPr="00F43BA7">
        <w:rPr>
          <w:rFonts w:asciiTheme="minorHAnsi" w:hAnsiTheme="minorHAnsi" w:cstheme="minorHAnsi"/>
          <w:lang w:val="es-CL"/>
        </w:rPr>
        <w:t xml:space="preserve"> para garantizar la integridad y autenticidad de la documentación legal y contractual. Esto permite reducir el riesgo de manipulación y asegurar la trazabilidad de cada cambio realizado en los registros normativos.</w:t>
      </w:r>
    </w:p>
    <w:p w14:paraId="0BC7CAF6"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Además, el uso de plataformas de cumplimiento basadas en la nube ha permitido centralizar la gestión de requisitos regulatorios y mejorar la colaboración entre equipos de seguridad, legal y cumplimiento. Estas herramientas generan reportes automatizados sobre el estado de cumplimiento y envían alertas en tiempo real cuando se detectan desviaciones.</w:t>
      </w:r>
    </w:p>
    <w:p w14:paraId="0AC1E463"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El equipo de cumplimiento normativo trabaja en estrecha colaboración con los equipos de tecnología para evaluar continuamente nuevas soluciones que mejoren la eficiencia y precisión en el monitoreo de regulaciones y auditorías internas.</w:t>
      </w:r>
    </w:p>
    <w:p w14:paraId="4B63531A" w14:textId="77777777" w:rsidR="00F43BA7" w:rsidRPr="00F43BA7" w:rsidRDefault="00F43BA7" w:rsidP="00F43BA7">
      <w:pPr>
        <w:pStyle w:val="NormalWeb"/>
        <w:numPr>
          <w:ilvl w:val="0"/>
          <w:numId w:val="4"/>
        </w:numPr>
        <w:jc w:val="both"/>
        <w:rPr>
          <w:rFonts w:asciiTheme="minorHAnsi" w:hAnsiTheme="minorHAnsi" w:cstheme="minorHAnsi"/>
          <w:b/>
          <w:bCs/>
          <w:lang w:val="es-CL"/>
        </w:rPr>
      </w:pPr>
      <w:r w:rsidRPr="00F43BA7">
        <w:rPr>
          <w:rFonts w:asciiTheme="minorHAnsi" w:hAnsiTheme="minorHAnsi" w:cstheme="minorHAnsi"/>
          <w:b/>
          <w:bCs/>
          <w:lang w:val="es-CL"/>
        </w:rPr>
        <w:lastRenderedPageBreak/>
        <w:t>Análisis de Impacto Legal y Regulatorio</w:t>
      </w:r>
    </w:p>
    <w:p w14:paraId="3C77DB92"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 xml:space="preserve">El análisis de impacto legal y regulatorio en Anaconda Web es un proceso clave para evaluar el efecto de nuevas normativas en las operaciones del </w:t>
      </w:r>
      <w:proofErr w:type="spellStart"/>
      <w:r w:rsidRPr="00F43BA7">
        <w:rPr>
          <w:rFonts w:asciiTheme="minorHAnsi" w:hAnsiTheme="minorHAnsi" w:cstheme="minorHAnsi"/>
          <w:lang w:val="es-CL"/>
        </w:rPr>
        <w:t>datacenter</w:t>
      </w:r>
      <w:proofErr w:type="spellEnd"/>
      <w:r w:rsidRPr="00F43BA7">
        <w:rPr>
          <w:rFonts w:asciiTheme="minorHAnsi" w:hAnsiTheme="minorHAnsi" w:cstheme="minorHAnsi"/>
          <w:lang w:val="es-CL"/>
        </w:rPr>
        <w:t>. Se analizan las implicaciones legales de cada nueva regulación y se desarrollan estrategias para su adopción sin afectar la continuidad del negocio.</w:t>
      </w:r>
    </w:p>
    <w:p w14:paraId="5D2F42AF"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 xml:space="preserve">Este análisis se realiza en colaboración con asesores legales internos y externos, quienes interpretan las nuevas normativas y evalúan su aplicabilidad en los procesos operativos del </w:t>
      </w:r>
      <w:proofErr w:type="spellStart"/>
      <w:r w:rsidRPr="00F43BA7">
        <w:rPr>
          <w:rFonts w:asciiTheme="minorHAnsi" w:hAnsiTheme="minorHAnsi" w:cstheme="minorHAnsi"/>
          <w:lang w:val="es-CL"/>
        </w:rPr>
        <w:t>datacenter</w:t>
      </w:r>
      <w:proofErr w:type="spellEnd"/>
      <w:r w:rsidRPr="00F43BA7">
        <w:rPr>
          <w:rFonts w:asciiTheme="minorHAnsi" w:hAnsiTheme="minorHAnsi" w:cstheme="minorHAnsi"/>
          <w:lang w:val="es-CL"/>
        </w:rPr>
        <w:t>. Se generan informes de impacto que detallan los ajustes necesarios en políticas, procedimientos y tecnología para garantizar la conformidad con los nuevos requisitos.</w:t>
      </w:r>
    </w:p>
    <w:p w14:paraId="791E1AD2"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Además, se han desarrollado modelos predictivos basados en inteligencia artificial que permiten anticipar cambios regulatorios y adaptar proactivamente la estrategia de cumplimiento. Esto ha reducido el tiempo de implementación de nuevas normativas y ha mejorado la capacidad de respuesta ante cambios regulatorios inesperados.</w:t>
      </w:r>
    </w:p>
    <w:p w14:paraId="12F7F609"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 xml:space="preserve">El comité de cumplimiento revisa trimestralmente los análisis de impacto y aprueba las estrategias de mitigación para garantizar que el </w:t>
      </w:r>
      <w:proofErr w:type="spellStart"/>
      <w:r w:rsidRPr="00F43BA7">
        <w:rPr>
          <w:rFonts w:asciiTheme="minorHAnsi" w:hAnsiTheme="minorHAnsi" w:cstheme="minorHAnsi"/>
          <w:lang w:val="es-CL"/>
        </w:rPr>
        <w:t>datacenter</w:t>
      </w:r>
      <w:proofErr w:type="spellEnd"/>
      <w:r w:rsidRPr="00F43BA7">
        <w:rPr>
          <w:rFonts w:asciiTheme="minorHAnsi" w:hAnsiTheme="minorHAnsi" w:cstheme="minorHAnsi"/>
          <w:lang w:val="es-CL"/>
        </w:rPr>
        <w:t xml:space="preserve"> continúe operando bajo los estándares más exigentes de seguridad y cumplimiento normativo. Entre las estrategias implementadas en el pasado se encuentra la mejora en la segmentación de accesos, limitando los privilegios de usuarios según el principio de mínimo privilegio, lo que redujo en un 30% los intentos de acceso indebido a información confidencial.</w:t>
      </w:r>
    </w:p>
    <w:p w14:paraId="4DA6619A"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Otra estrategia efectiva ha sido la adopción de herramientas de monitoreo continuo y respuesta automatizada, permitiendo identificar irregularidades en tiempo real y aplicar bloqueos preventivos ante comportamientos sospechosos. Este enfoque ha reducido significativamente el tiempo de reacción ante posibles incidentes regulatorios.</w:t>
      </w:r>
    </w:p>
    <w:p w14:paraId="02FB42D7"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 xml:space="preserve">Además, se han llevado a cabo revisiones integrales de los acuerdos contractuales con proveedores y clientes para garantizar que todos los compromisos legales estén alineados con los requisitos normativos vigentes. Estas revisiones han permitido mitigar riesgos de incumplimiento y fortalecer la relación con </w:t>
      </w:r>
      <w:proofErr w:type="spellStart"/>
      <w:r w:rsidRPr="00F43BA7">
        <w:rPr>
          <w:rFonts w:asciiTheme="minorHAnsi" w:hAnsiTheme="minorHAnsi" w:cstheme="minorHAnsi"/>
          <w:lang w:val="es-CL"/>
        </w:rPr>
        <w:t>stakeholders</w:t>
      </w:r>
      <w:proofErr w:type="spellEnd"/>
      <w:r w:rsidRPr="00F43BA7">
        <w:rPr>
          <w:rFonts w:asciiTheme="minorHAnsi" w:hAnsiTheme="minorHAnsi" w:cstheme="minorHAnsi"/>
          <w:lang w:val="es-CL"/>
        </w:rPr>
        <w:t xml:space="preserve"> clave.</w:t>
      </w:r>
    </w:p>
    <w:p w14:paraId="7C3FE92D"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Por último, se han desarrollado programas de capacitación obligatoria en cumplimiento normativo y seguridad de la información para todos los colaboradores, asegurando que el personal esté preparado para cumplir con las exigencias regulatorias y minimizar el riesgo de errores humanos que puedan derivar en incumplimientos.</w:t>
      </w:r>
    </w:p>
    <w:p w14:paraId="3AE15099" w14:textId="77777777" w:rsidR="00F43BA7" w:rsidRPr="00F43BA7" w:rsidRDefault="00F43BA7" w:rsidP="00F43BA7">
      <w:pPr>
        <w:pStyle w:val="NormalWeb"/>
        <w:numPr>
          <w:ilvl w:val="0"/>
          <w:numId w:val="4"/>
        </w:numPr>
        <w:jc w:val="both"/>
        <w:rPr>
          <w:rFonts w:asciiTheme="minorHAnsi" w:hAnsiTheme="minorHAnsi" w:cstheme="minorHAnsi"/>
          <w:b/>
          <w:bCs/>
          <w:lang w:val="es-CL"/>
        </w:rPr>
      </w:pPr>
      <w:r w:rsidRPr="00F43BA7">
        <w:rPr>
          <w:rFonts w:asciiTheme="minorHAnsi" w:hAnsiTheme="minorHAnsi" w:cstheme="minorHAnsi"/>
          <w:b/>
          <w:bCs/>
          <w:lang w:val="es-CL"/>
        </w:rPr>
        <w:t>Capacitación y Sensibilización en Cumplimiento</w:t>
      </w:r>
    </w:p>
    <w:p w14:paraId="70DDC1B0"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La capacitación y sensibilización en cumplimiento normativo es un pilar fundamental en Anaconda Web para asegurar que todos los colaboradores comprendan y apliquen las regulaciones vigentes. Se ha desarrollado un programa de formación continua que incluye cursos, talleres y simulaciones de auditorías regulatorias.</w:t>
      </w:r>
    </w:p>
    <w:p w14:paraId="065C816A"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lastRenderedPageBreak/>
        <w:t>Cada empleado recibe capacitación específica según su rol dentro de la organización. Por ejemplo, el personal de TI recibe formación en ciberseguridad y protección de datos, mientras que el equipo legal se especializa en la interpretación y aplicación de normativas internacionales. Este enfoque segmentado permite que cada área cuente con conocimientos especializados adaptados a sus responsabilidades.</w:t>
      </w:r>
    </w:p>
    <w:p w14:paraId="25DD7861"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Además, se realizan campañas de concienciación sobre las consecuencias de los incumplimientos normativos, incluyendo ejemplos reales de sanciones y sus impactos en la reputación y estabilidad del negocio. Estas campañas refuerzan la importancia de seguir los procedimientos y mantener altos estándares de cumplimiento.</w:t>
      </w:r>
    </w:p>
    <w:p w14:paraId="3C5FF5E8"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El programa de capacitación se actualiza periódicamente para reflejar cambios en la normativa y asegurar que el equipo de Anaconda Web esté siempre preparado para enfrentar nuevos desafíos regulatorios y garantizar la conformidad con los requisitos legales aplicables.</w:t>
      </w:r>
    </w:p>
    <w:p w14:paraId="4869A8DC" w14:textId="77777777" w:rsidR="00F43BA7" w:rsidRPr="00F43BA7" w:rsidRDefault="00F43BA7" w:rsidP="00F43BA7">
      <w:pPr>
        <w:pStyle w:val="NormalWeb"/>
        <w:numPr>
          <w:ilvl w:val="0"/>
          <w:numId w:val="4"/>
        </w:numPr>
        <w:jc w:val="both"/>
        <w:rPr>
          <w:rFonts w:asciiTheme="minorHAnsi" w:hAnsiTheme="minorHAnsi" w:cstheme="minorHAnsi"/>
          <w:b/>
          <w:bCs/>
          <w:lang w:val="es-CL"/>
        </w:rPr>
      </w:pPr>
      <w:r w:rsidRPr="00F43BA7">
        <w:rPr>
          <w:rFonts w:asciiTheme="minorHAnsi" w:hAnsiTheme="minorHAnsi" w:cstheme="minorHAnsi"/>
          <w:b/>
          <w:bCs/>
          <w:lang w:val="es-CL"/>
        </w:rPr>
        <w:t>Procedimientos de Respuesta ante Incumplimientos</w:t>
      </w:r>
    </w:p>
    <w:p w14:paraId="187FE920"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Anaconda Web ha establecido un protocolo de respuesta ante incumplimientos normativos que permite actuar de manera rápida y efectiva en caso de detectar irregularidades. Este procedimiento incluye la identificación del problema, la evaluación de su impacto y la implementación de medidas correctivas para minimizar riesgos y evitar sanciones.</w:t>
      </w:r>
    </w:p>
    <w:p w14:paraId="7E1F24FF"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Cada caso de incumplimiento es investigado por un equipo multidisciplinario que incluye representantes del área legal, seguridad de la información y cumplimiento normativo. Se llevan a cabo análisis forenses para determinar las causas del incumplimiento y definir estrategias de prevención para evitar su recurrencia.</w:t>
      </w:r>
    </w:p>
    <w:p w14:paraId="0BDB4992"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Además, se han implementado sistemas de reporte anónimo que permiten a los empleados informar posibles violaciones normativas sin temor a represalias. Esto fomenta una cultura de transparencia y responsabilidad en toda la organización, asegurando que cualquier desviación sea atendida de inmediato.</w:t>
      </w:r>
    </w:p>
    <w:p w14:paraId="76A20E1F"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Todos los incidentes de incumplimiento son documentados y reportados al comité de cumplimiento, que se encarga de supervisar las acciones correctivas y garantizar la mejora continua en los procesos regulatorios. Se realizan auditorías posteriores para evaluar la efectividad de las medidas implementadas y ajustar estrategias según sea necesario.</w:t>
      </w:r>
    </w:p>
    <w:p w14:paraId="4204C248" w14:textId="77777777" w:rsidR="00F43BA7" w:rsidRPr="00F43BA7" w:rsidRDefault="00F43BA7" w:rsidP="00F43BA7">
      <w:pPr>
        <w:pStyle w:val="NormalWeb"/>
        <w:numPr>
          <w:ilvl w:val="0"/>
          <w:numId w:val="4"/>
        </w:numPr>
        <w:jc w:val="both"/>
        <w:rPr>
          <w:rFonts w:asciiTheme="minorHAnsi" w:hAnsiTheme="minorHAnsi" w:cstheme="minorHAnsi"/>
          <w:b/>
          <w:bCs/>
          <w:lang w:val="es-CL"/>
        </w:rPr>
      </w:pPr>
      <w:r w:rsidRPr="00F43BA7">
        <w:rPr>
          <w:rFonts w:asciiTheme="minorHAnsi" w:hAnsiTheme="minorHAnsi" w:cstheme="minorHAnsi"/>
          <w:b/>
          <w:bCs/>
          <w:lang w:val="es-CL"/>
        </w:rPr>
        <w:t>Relación con la Norma ISO 27001:2022</w:t>
      </w:r>
    </w:p>
    <w:p w14:paraId="4B9E2A48"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 xml:space="preserve">Este documento está alineado con el </w:t>
      </w:r>
      <w:r w:rsidRPr="00F43BA7">
        <w:rPr>
          <w:rFonts w:asciiTheme="minorHAnsi" w:hAnsiTheme="minorHAnsi" w:cstheme="minorHAnsi"/>
          <w:b/>
          <w:bCs/>
          <w:lang w:val="es-CL"/>
        </w:rPr>
        <w:t>Anexo A.5.31</w:t>
      </w:r>
      <w:r w:rsidRPr="00F43BA7">
        <w:rPr>
          <w:rFonts w:asciiTheme="minorHAnsi" w:hAnsiTheme="minorHAnsi" w:cstheme="minorHAnsi"/>
          <w:lang w:val="es-CL"/>
        </w:rPr>
        <w:t xml:space="preserve"> de la norma </w:t>
      </w:r>
      <w:r w:rsidRPr="00F43BA7">
        <w:rPr>
          <w:rFonts w:asciiTheme="minorHAnsi" w:hAnsiTheme="minorHAnsi" w:cstheme="minorHAnsi"/>
          <w:b/>
          <w:bCs/>
          <w:lang w:val="es-CL"/>
        </w:rPr>
        <w:t>ISO 27001:2022</w:t>
      </w:r>
      <w:r w:rsidRPr="00F43BA7">
        <w:rPr>
          <w:rFonts w:asciiTheme="minorHAnsi" w:hAnsiTheme="minorHAnsi" w:cstheme="minorHAnsi"/>
          <w:lang w:val="es-CL"/>
        </w:rPr>
        <w:t xml:space="preserve">, que establece la necesidad de cumplir con los requisitos legales, regulatorios y contractuales aplicables a la organización. Esta matriz permite asegurar la conformidad con normativas internacionales y locales, minimizando riesgos legales y fortaleciendo la seguridad de la información en el </w:t>
      </w:r>
      <w:proofErr w:type="spellStart"/>
      <w:r w:rsidRPr="00F43BA7">
        <w:rPr>
          <w:rFonts w:asciiTheme="minorHAnsi" w:hAnsiTheme="minorHAnsi" w:cstheme="minorHAnsi"/>
          <w:lang w:val="es-CL"/>
        </w:rPr>
        <w:t>datacenter</w:t>
      </w:r>
      <w:proofErr w:type="spellEnd"/>
      <w:r w:rsidRPr="00F43BA7">
        <w:rPr>
          <w:rFonts w:asciiTheme="minorHAnsi" w:hAnsiTheme="minorHAnsi" w:cstheme="minorHAnsi"/>
          <w:lang w:val="es-CL"/>
        </w:rPr>
        <w:t xml:space="preserve"> de Anaconda Web.</w:t>
      </w:r>
    </w:p>
    <w:p w14:paraId="0DC8FC1A"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lastRenderedPageBreak/>
        <w:t>Además, este documento también está vinculado con otros anexos de la norma, tales como:</w:t>
      </w:r>
    </w:p>
    <w:p w14:paraId="727C3328" w14:textId="77777777" w:rsidR="00F43BA7" w:rsidRPr="00F43BA7" w:rsidRDefault="00F43BA7" w:rsidP="00F43BA7">
      <w:pPr>
        <w:pStyle w:val="NormalWeb"/>
        <w:numPr>
          <w:ilvl w:val="0"/>
          <w:numId w:val="64"/>
        </w:numPr>
        <w:jc w:val="both"/>
        <w:rPr>
          <w:rFonts w:asciiTheme="minorHAnsi" w:hAnsiTheme="minorHAnsi" w:cstheme="minorHAnsi"/>
          <w:lang w:val="es-CL"/>
        </w:rPr>
      </w:pPr>
      <w:r w:rsidRPr="00F43BA7">
        <w:rPr>
          <w:rFonts w:asciiTheme="minorHAnsi" w:hAnsiTheme="minorHAnsi" w:cstheme="minorHAnsi"/>
          <w:b/>
          <w:bCs/>
          <w:lang w:val="es-CL"/>
        </w:rPr>
        <w:t>Anexo A.5.1 - Políticas para la seguridad de la información</w:t>
      </w:r>
      <w:r w:rsidRPr="00F43BA7">
        <w:rPr>
          <w:rFonts w:asciiTheme="minorHAnsi" w:hAnsiTheme="minorHAnsi" w:cstheme="minorHAnsi"/>
          <w:lang w:val="es-CL"/>
        </w:rPr>
        <w:t>, ya que define los lineamientos para la gestión de normativas dentro de la organización.</w:t>
      </w:r>
    </w:p>
    <w:p w14:paraId="21C36AD6" w14:textId="77777777" w:rsidR="00F43BA7" w:rsidRPr="00F43BA7" w:rsidRDefault="00F43BA7" w:rsidP="00F43BA7">
      <w:pPr>
        <w:pStyle w:val="NormalWeb"/>
        <w:numPr>
          <w:ilvl w:val="0"/>
          <w:numId w:val="64"/>
        </w:numPr>
        <w:jc w:val="both"/>
        <w:rPr>
          <w:rFonts w:asciiTheme="minorHAnsi" w:hAnsiTheme="minorHAnsi" w:cstheme="minorHAnsi"/>
          <w:lang w:val="es-CL"/>
        </w:rPr>
      </w:pPr>
      <w:r w:rsidRPr="00F43BA7">
        <w:rPr>
          <w:rFonts w:asciiTheme="minorHAnsi" w:hAnsiTheme="minorHAnsi" w:cstheme="minorHAnsi"/>
          <w:b/>
          <w:bCs/>
          <w:lang w:val="es-CL"/>
        </w:rPr>
        <w:t>Anexo A.5.9 - Responsabilidades de la gestión de la seguridad de la información</w:t>
      </w:r>
      <w:r w:rsidRPr="00F43BA7">
        <w:rPr>
          <w:rFonts w:asciiTheme="minorHAnsi" w:hAnsiTheme="minorHAnsi" w:cstheme="minorHAnsi"/>
          <w:lang w:val="es-CL"/>
        </w:rPr>
        <w:t>, asegurando que cada área tenga funciones y responsabilidades definidas en relación con el cumplimiento normativo.</w:t>
      </w:r>
    </w:p>
    <w:p w14:paraId="60E65D65" w14:textId="77777777" w:rsidR="00F43BA7" w:rsidRPr="00F43BA7" w:rsidRDefault="00F43BA7" w:rsidP="00F43BA7">
      <w:pPr>
        <w:pStyle w:val="NormalWeb"/>
        <w:numPr>
          <w:ilvl w:val="0"/>
          <w:numId w:val="64"/>
        </w:numPr>
        <w:jc w:val="both"/>
        <w:rPr>
          <w:rFonts w:asciiTheme="minorHAnsi" w:hAnsiTheme="minorHAnsi" w:cstheme="minorHAnsi"/>
          <w:lang w:val="es-CL"/>
        </w:rPr>
      </w:pPr>
      <w:r w:rsidRPr="00F43BA7">
        <w:rPr>
          <w:rFonts w:asciiTheme="minorHAnsi" w:hAnsiTheme="minorHAnsi" w:cstheme="minorHAnsi"/>
          <w:b/>
          <w:bCs/>
          <w:lang w:val="es-CL"/>
        </w:rPr>
        <w:t>Anexo A.8.2 - Clasificación de la información</w:t>
      </w:r>
      <w:r w:rsidRPr="00F43BA7">
        <w:rPr>
          <w:rFonts w:asciiTheme="minorHAnsi" w:hAnsiTheme="minorHAnsi" w:cstheme="minorHAnsi"/>
          <w:lang w:val="es-CL"/>
        </w:rPr>
        <w:t>, pues establece cómo debe manejarse la información regulatoria y contractual de acuerdo con su nivel de confidencialidad.</w:t>
      </w:r>
    </w:p>
    <w:p w14:paraId="0099DABD" w14:textId="77777777" w:rsidR="00F43BA7" w:rsidRPr="00F43BA7" w:rsidRDefault="00F43BA7" w:rsidP="00F43BA7">
      <w:pPr>
        <w:pStyle w:val="NormalWeb"/>
        <w:numPr>
          <w:ilvl w:val="0"/>
          <w:numId w:val="64"/>
        </w:numPr>
        <w:jc w:val="both"/>
        <w:rPr>
          <w:rFonts w:asciiTheme="minorHAnsi" w:hAnsiTheme="minorHAnsi" w:cstheme="minorHAnsi"/>
          <w:lang w:val="es-CL"/>
        </w:rPr>
      </w:pPr>
      <w:r w:rsidRPr="00F43BA7">
        <w:rPr>
          <w:rFonts w:asciiTheme="minorHAnsi" w:hAnsiTheme="minorHAnsi" w:cstheme="minorHAnsi"/>
          <w:b/>
          <w:bCs/>
          <w:lang w:val="es-CL"/>
        </w:rPr>
        <w:t>Anexo A.18.1 - Cumplimiento con requisitos legales y contractuales</w:t>
      </w:r>
      <w:r w:rsidRPr="00F43BA7">
        <w:rPr>
          <w:rFonts w:asciiTheme="minorHAnsi" w:hAnsiTheme="minorHAnsi" w:cstheme="minorHAnsi"/>
          <w:lang w:val="es-CL"/>
        </w:rPr>
        <w:t>, reforzando la necesidad de documentación, auditoría y monitoreo de obligaciones regulatorias.</w:t>
      </w:r>
    </w:p>
    <w:p w14:paraId="29693F7B"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 xml:space="preserve">Estos anexos, en conjunto con el </w:t>
      </w:r>
      <w:r w:rsidRPr="00F43BA7">
        <w:rPr>
          <w:rFonts w:asciiTheme="minorHAnsi" w:hAnsiTheme="minorHAnsi" w:cstheme="minorHAnsi"/>
          <w:b/>
          <w:bCs/>
          <w:lang w:val="es-CL"/>
        </w:rPr>
        <w:t>Anexo A.5.31</w:t>
      </w:r>
      <w:r w:rsidRPr="00F43BA7">
        <w:rPr>
          <w:rFonts w:asciiTheme="minorHAnsi" w:hAnsiTheme="minorHAnsi" w:cstheme="minorHAnsi"/>
          <w:lang w:val="es-CL"/>
        </w:rPr>
        <w:t>, permiten una gestión integral del cumplimiento legal en el marco del SGSI (Sistema de Gestión de Seguridad de la Información) de Anaconda Web.</w:t>
      </w:r>
    </w:p>
    <w:p w14:paraId="45B51BB7" w14:textId="77777777" w:rsidR="00F43BA7" w:rsidRPr="00F43BA7" w:rsidRDefault="00F43BA7" w:rsidP="00F43BA7">
      <w:pPr>
        <w:pStyle w:val="NormalWeb"/>
        <w:numPr>
          <w:ilvl w:val="0"/>
          <w:numId w:val="4"/>
        </w:numPr>
        <w:jc w:val="both"/>
        <w:rPr>
          <w:rFonts w:asciiTheme="minorHAnsi" w:hAnsiTheme="minorHAnsi" w:cstheme="minorHAnsi"/>
          <w:b/>
          <w:bCs/>
          <w:lang w:val="es-CL"/>
        </w:rPr>
      </w:pPr>
      <w:r w:rsidRPr="00F43BA7">
        <w:rPr>
          <w:rFonts w:asciiTheme="minorHAnsi" w:hAnsiTheme="minorHAnsi" w:cstheme="minorHAnsi"/>
          <w:b/>
          <w:bCs/>
          <w:lang w:val="es-CL"/>
        </w:rPr>
        <w:t>Conclusión</w:t>
      </w:r>
    </w:p>
    <w:p w14:paraId="4FF50C24"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La Matriz de Requisitos Legales y Regulatorios de Anaconda Web es una herramienta esencial para garantizar el cumplimiento normativo y fortalecer la seguridad de la información. A través de la implementación de auditorías rigurosas, tecnologías avanzadas, capacitación especializada y estrategias proactivas, la organización se mantiene alineada con los estándares internacionales de seguridad y regulación.</w:t>
      </w:r>
    </w:p>
    <w:p w14:paraId="06DF9C58"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El monitoreo continuo de cambios normativos y la evaluación constante del impacto legal aseguran que Anaconda Web pueda adaptarse rápidamente a nuevos requerimientos sin afectar la estabilidad de sus operaciones. La integración de procesos automatizados y la colaboración entre equipos internos han permitido optimizar la gestión del cumplimiento y reducir los riesgos asociados a sanciones o brechas regulatorias.</w:t>
      </w:r>
    </w:p>
    <w:p w14:paraId="4B7D9896"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El enfoque de mejora continua garantiza que los procedimientos de cumplimiento evolucionen en paralelo con los cambios en la legislación y las mejores prácticas del sector. Esto no solo protege a la empresa contra riesgos legales, sino que también fortalece su reputación y confianza en el mercado.</w:t>
      </w:r>
    </w:p>
    <w:p w14:paraId="2C538A4F"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En conclusión, el compromiso con el cumplimiento normativo no solo es una exigencia regulatoria, sino un valor estratégico que permite a Anaconda Web consolidarse como un referente en la gestión segura y confiable de la información, asegurando la continuidad y crecimiento de sus operaciones en un entorno cada vez más exigente y dinámico.</w:t>
      </w:r>
    </w:p>
    <w:p w14:paraId="1BEDCE0C"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La Matriz de Requisitos Legales y Regulatorios de Anaconda Web es una herramienta esencial para garantizar el cumplimiento normativo y fortalecer la seguridad de la información. A través de la implementación de auditorías rigurosas, tecnologías avanzadas, capacitación especializada y estrategias proactivas, la organización se mantiene alineada con los estándares internacionales de seguridad y regulación.</w:t>
      </w:r>
    </w:p>
    <w:p w14:paraId="0D065191"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lastRenderedPageBreak/>
        <w:t>El monitoreo continuo de cambios normativos y la evaluación constante del impacto legal aseguran que Anaconda Web pueda adaptarse rápidamente a nuevos requerimientos sin afectar la estabilidad de sus operaciones. La integración de procesos automatizados y la colaboración entre equipos internos han permitido optimizar la gestión del cumplimiento y reducir los riesgos asociados a sanciones o brechas regulatorias.</w:t>
      </w:r>
    </w:p>
    <w:p w14:paraId="4673EBC9"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El enfoque de mejora continua garantiza que los procedimientos de cumplimiento evolucionen en paralelo con los cambios en la legislación y las mejores prácticas del sector. Esto no solo protege a la empresa contra riesgos legales, sino que también fortalece su reputación y confianza en el mercado.</w:t>
      </w:r>
    </w:p>
    <w:p w14:paraId="68295C21" w14:textId="77777777" w:rsidR="00F43BA7" w:rsidRPr="00F43BA7" w:rsidRDefault="00F43BA7" w:rsidP="00F43BA7">
      <w:pPr>
        <w:pStyle w:val="NormalWeb"/>
        <w:jc w:val="both"/>
        <w:rPr>
          <w:rFonts w:asciiTheme="minorHAnsi" w:hAnsiTheme="minorHAnsi" w:cstheme="minorHAnsi"/>
          <w:lang w:val="es-CL"/>
        </w:rPr>
      </w:pPr>
      <w:r w:rsidRPr="00F43BA7">
        <w:rPr>
          <w:rFonts w:asciiTheme="minorHAnsi" w:hAnsiTheme="minorHAnsi" w:cstheme="minorHAnsi"/>
          <w:lang w:val="es-CL"/>
        </w:rPr>
        <w:t>En conclusión, el compromiso con el cumplimiento normativo no solo es una exigencia regulatoria, sino un valor estratégico que permite a Anaconda Web consolidarse como un referente en la gestión segura y confiable de la información, asegurando la continuidad y crecimiento de sus operaciones en un entorno cada vez más exigente y dinámico.</w:t>
      </w:r>
    </w:p>
    <w:p w14:paraId="5EE8924C" w14:textId="3DE87EB7" w:rsidR="00452E7F" w:rsidRPr="00237AFB" w:rsidRDefault="00452E7F" w:rsidP="00237AFB">
      <w:pPr>
        <w:pStyle w:val="NormalWeb"/>
        <w:jc w:val="both"/>
        <w:rPr>
          <w:rFonts w:asciiTheme="minorHAnsi" w:hAnsiTheme="minorHAnsi" w:cstheme="minorHAnsi"/>
          <w:lang w:val="es-CL"/>
        </w:rPr>
      </w:pPr>
    </w:p>
    <w:sectPr w:rsidR="00452E7F" w:rsidRPr="00237AFB"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F3558" w14:textId="77777777" w:rsidR="00FD054B" w:rsidRPr="00F43BA7" w:rsidRDefault="00FD054B">
      <w:r w:rsidRPr="00F43BA7">
        <w:separator/>
      </w:r>
    </w:p>
    <w:p w14:paraId="575E52C0" w14:textId="77777777" w:rsidR="00FD054B" w:rsidRPr="00F43BA7" w:rsidRDefault="00FD054B"/>
    <w:p w14:paraId="58996B29" w14:textId="77777777" w:rsidR="00FD054B" w:rsidRPr="00F43BA7" w:rsidRDefault="00FD054B"/>
    <w:p w14:paraId="10B0F4D1" w14:textId="77777777" w:rsidR="00FD054B" w:rsidRPr="00F43BA7" w:rsidRDefault="00FD054B" w:rsidP="00C1318C"/>
  </w:endnote>
  <w:endnote w:type="continuationSeparator" w:id="0">
    <w:p w14:paraId="4C61D7CF" w14:textId="77777777" w:rsidR="00FD054B" w:rsidRPr="00F43BA7" w:rsidRDefault="00FD054B">
      <w:r w:rsidRPr="00F43BA7">
        <w:continuationSeparator/>
      </w:r>
    </w:p>
    <w:p w14:paraId="60A0EECC" w14:textId="77777777" w:rsidR="00FD054B" w:rsidRPr="00F43BA7" w:rsidRDefault="00FD054B"/>
    <w:p w14:paraId="18F5F6B5" w14:textId="77777777" w:rsidR="00FD054B" w:rsidRPr="00F43BA7" w:rsidRDefault="00FD054B"/>
    <w:p w14:paraId="2F063521" w14:textId="77777777" w:rsidR="00FD054B" w:rsidRPr="00F43BA7" w:rsidRDefault="00FD054B"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30BC" w14:textId="77777777" w:rsidR="00F43BA7" w:rsidRPr="00F43BA7" w:rsidRDefault="00F43BA7" w:rsidP="00F43BA7">
    <w:pPr>
      <w:pStyle w:val="Piedepgina"/>
      <w:jc w:val="center"/>
      <w:rPr>
        <w:rFonts w:asciiTheme="minorHAnsi" w:hAnsiTheme="minorHAnsi" w:cstheme="minorHAnsi"/>
        <w:sz w:val="24"/>
        <w:szCs w:val="24"/>
        <w:lang w:eastAsia="en-GB"/>
      </w:rPr>
    </w:pPr>
    <w:r w:rsidRPr="00F43BA7">
      <w:rPr>
        <w:rFonts w:asciiTheme="minorHAnsi" w:hAnsiTheme="minorHAnsi" w:cstheme="minorHAnsi"/>
        <w:sz w:val="24"/>
        <w:szCs w:val="24"/>
        <w:lang w:eastAsia="en-GB"/>
      </w:rPr>
      <w:t>Anexo A.</w:t>
    </w:r>
    <w:r>
      <w:rPr>
        <w:rFonts w:asciiTheme="minorHAnsi" w:hAnsiTheme="minorHAnsi" w:cstheme="minorHAnsi"/>
        <w:sz w:val="24"/>
        <w:szCs w:val="24"/>
        <w:lang w:eastAsia="en-GB"/>
      </w:rPr>
      <w:t>5.31</w:t>
    </w:r>
    <w:r w:rsidRPr="00F43BA7">
      <w:rPr>
        <w:rFonts w:asciiTheme="minorHAnsi" w:hAnsiTheme="minorHAnsi" w:cstheme="minorHAnsi"/>
        <w:sz w:val="24"/>
        <w:szCs w:val="24"/>
        <w:lang w:eastAsia="en-GB"/>
      </w:rPr>
      <w:t xml:space="preserve"> </w:t>
    </w:r>
    <w:r w:rsidRPr="00F43BA7">
      <w:rPr>
        <w:rFonts w:asciiTheme="minorHAnsi" w:hAnsiTheme="minorHAnsi" w:cstheme="minorHAnsi"/>
        <w:b/>
        <w:bCs/>
      </w:rPr>
      <w:t>MATRIZ DE REQUISITOS LEGALES Y REGULATORIOS</w:t>
    </w:r>
  </w:p>
  <w:p w14:paraId="7575EA04" w14:textId="77777777" w:rsidR="00237AFB" w:rsidRPr="00F43BA7"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35C83" w14:textId="77777777" w:rsidR="00FD054B" w:rsidRPr="00F43BA7" w:rsidRDefault="00FD054B">
      <w:r w:rsidRPr="00F43BA7">
        <w:separator/>
      </w:r>
    </w:p>
    <w:p w14:paraId="6650CB67" w14:textId="77777777" w:rsidR="00FD054B" w:rsidRPr="00F43BA7" w:rsidRDefault="00FD054B"/>
    <w:p w14:paraId="44982900" w14:textId="77777777" w:rsidR="00FD054B" w:rsidRPr="00F43BA7" w:rsidRDefault="00FD054B"/>
    <w:p w14:paraId="1C69C523" w14:textId="77777777" w:rsidR="00FD054B" w:rsidRPr="00F43BA7" w:rsidRDefault="00FD054B" w:rsidP="00C1318C"/>
  </w:footnote>
  <w:footnote w:type="continuationSeparator" w:id="0">
    <w:p w14:paraId="7B43DD7F" w14:textId="77777777" w:rsidR="00FD054B" w:rsidRPr="00F43BA7" w:rsidRDefault="00FD054B">
      <w:r w:rsidRPr="00F43BA7">
        <w:continuationSeparator/>
      </w:r>
    </w:p>
    <w:p w14:paraId="75953ED4" w14:textId="77777777" w:rsidR="00FD054B" w:rsidRPr="00F43BA7" w:rsidRDefault="00FD054B"/>
    <w:p w14:paraId="79984838" w14:textId="77777777" w:rsidR="00FD054B" w:rsidRPr="00F43BA7" w:rsidRDefault="00FD054B"/>
    <w:p w14:paraId="62177A43" w14:textId="77777777" w:rsidR="00FD054B" w:rsidRPr="00F43BA7" w:rsidRDefault="00FD054B"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F43BA7" w:rsidRDefault="001637D6">
    <w:r w:rsidRPr="00F43BA7">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6FC6B86"/>
    <w:multiLevelType w:val="multilevel"/>
    <w:tmpl w:val="8162F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4"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13422E2"/>
    <w:multiLevelType w:val="multilevel"/>
    <w:tmpl w:val="E5D6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2"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6"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1"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4"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3"/>
  </w:num>
  <w:num w:numId="2" w16cid:durableId="74938854">
    <w:abstractNumId w:val="18"/>
  </w:num>
  <w:num w:numId="3" w16cid:durableId="1494763561">
    <w:abstractNumId w:val="16"/>
  </w:num>
  <w:num w:numId="4" w16cid:durableId="2135100286">
    <w:abstractNumId w:val="41"/>
  </w:num>
  <w:num w:numId="5" w16cid:durableId="1000818834">
    <w:abstractNumId w:val="22"/>
  </w:num>
  <w:num w:numId="6" w16cid:durableId="1632788525">
    <w:abstractNumId w:val="54"/>
  </w:num>
  <w:num w:numId="7" w16cid:durableId="1321421067">
    <w:abstractNumId w:val="37"/>
  </w:num>
  <w:num w:numId="8" w16cid:durableId="352341285">
    <w:abstractNumId w:val="45"/>
  </w:num>
  <w:num w:numId="9" w16cid:durableId="27727978">
    <w:abstractNumId w:val="35"/>
  </w:num>
  <w:num w:numId="10" w16cid:durableId="1859850961">
    <w:abstractNumId w:val="14"/>
  </w:num>
  <w:num w:numId="11" w16cid:durableId="1630670735">
    <w:abstractNumId w:val="19"/>
  </w:num>
  <w:num w:numId="12" w16cid:durableId="1692032352">
    <w:abstractNumId w:val="22"/>
  </w:num>
  <w:num w:numId="13" w16cid:durableId="1393849829">
    <w:abstractNumId w:val="22"/>
  </w:num>
  <w:num w:numId="14" w16cid:durableId="815293384">
    <w:abstractNumId w:val="22"/>
  </w:num>
  <w:num w:numId="15" w16cid:durableId="1977754839">
    <w:abstractNumId w:val="52"/>
  </w:num>
  <w:num w:numId="16" w16cid:durableId="240061859">
    <w:abstractNumId w:val="24"/>
  </w:num>
  <w:num w:numId="17" w16cid:durableId="1741440573">
    <w:abstractNumId w:val="38"/>
  </w:num>
  <w:num w:numId="18" w16cid:durableId="404303887">
    <w:abstractNumId w:val="25"/>
  </w:num>
  <w:num w:numId="19" w16cid:durableId="1072853763">
    <w:abstractNumId w:val="7"/>
  </w:num>
  <w:num w:numId="20" w16cid:durableId="888345100">
    <w:abstractNumId w:val="28"/>
  </w:num>
  <w:num w:numId="21" w16cid:durableId="2083486945">
    <w:abstractNumId w:val="32"/>
  </w:num>
  <w:num w:numId="22" w16cid:durableId="1412317948">
    <w:abstractNumId w:val="0"/>
  </w:num>
  <w:num w:numId="23" w16cid:durableId="1332220685">
    <w:abstractNumId w:val="50"/>
  </w:num>
  <w:num w:numId="24" w16cid:durableId="587539902">
    <w:abstractNumId w:val="53"/>
  </w:num>
  <w:num w:numId="25" w16cid:durableId="1814641950">
    <w:abstractNumId w:val="13"/>
  </w:num>
  <w:num w:numId="26" w16cid:durableId="805513463">
    <w:abstractNumId w:val="3"/>
  </w:num>
  <w:num w:numId="27" w16cid:durableId="1555776139">
    <w:abstractNumId w:val="56"/>
  </w:num>
  <w:num w:numId="28" w16cid:durableId="2123913244">
    <w:abstractNumId w:val="15"/>
  </w:num>
  <w:num w:numId="29" w16cid:durableId="874922778">
    <w:abstractNumId w:val="26"/>
  </w:num>
  <w:num w:numId="30" w16cid:durableId="1757896361">
    <w:abstractNumId w:val="5"/>
  </w:num>
  <w:num w:numId="31" w16cid:durableId="1888297015">
    <w:abstractNumId w:val="22"/>
  </w:num>
  <w:num w:numId="32" w16cid:durableId="1875121296">
    <w:abstractNumId w:val="22"/>
  </w:num>
  <w:num w:numId="33" w16cid:durableId="711199856">
    <w:abstractNumId w:val="22"/>
  </w:num>
  <w:num w:numId="34" w16cid:durableId="1914506562">
    <w:abstractNumId w:val="22"/>
  </w:num>
  <w:num w:numId="35" w16cid:durableId="1030836293">
    <w:abstractNumId w:val="47"/>
  </w:num>
  <w:num w:numId="36" w16cid:durableId="674503644">
    <w:abstractNumId w:val="12"/>
  </w:num>
  <w:num w:numId="37" w16cid:durableId="1888105176">
    <w:abstractNumId w:val="55"/>
  </w:num>
  <w:num w:numId="38" w16cid:durableId="342171148">
    <w:abstractNumId w:val="17"/>
  </w:num>
  <w:num w:numId="39" w16cid:durableId="1308512191">
    <w:abstractNumId w:val="46"/>
  </w:num>
  <w:num w:numId="40" w16cid:durableId="751203121">
    <w:abstractNumId w:val="9"/>
  </w:num>
  <w:num w:numId="41" w16cid:durableId="1001616379">
    <w:abstractNumId w:val="49"/>
  </w:num>
  <w:num w:numId="42" w16cid:durableId="157235028">
    <w:abstractNumId w:val="33"/>
  </w:num>
  <w:num w:numId="43" w16cid:durableId="1076974531">
    <w:abstractNumId w:val="31"/>
  </w:num>
  <w:num w:numId="44" w16cid:durableId="908157133">
    <w:abstractNumId w:val="11"/>
  </w:num>
  <w:num w:numId="45" w16cid:durableId="1528714069">
    <w:abstractNumId w:val="48"/>
  </w:num>
  <w:num w:numId="46" w16cid:durableId="1350448151">
    <w:abstractNumId w:val="39"/>
  </w:num>
  <w:num w:numId="47" w16cid:durableId="134489178">
    <w:abstractNumId w:val="27"/>
  </w:num>
  <w:num w:numId="48" w16cid:durableId="904069908">
    <w:abstractNumId w:val="36"/>
  </w:num>
  <w:num w:numId="49" w16cid:durableId="876355981">
    <w:abstractNumId w:val="21"/>
  </w:num>
  <w:num w:numId="50" w16cid:durableId="1270042179">
    <w:abstractNumId w:val="40"/>
  </w:num>
  <w:num w:numId="51" w16cid:durableId="610477338">
    <w:abstractNumId w:val="10"/>
  </w:num>
  <w:num w:numId="52" w16cid:durableId="1976401646">
    <w:abstractNumId w:val="4"/>
  </w:num>
  <w:num w:numId="53" w16cid:durableId="1718821827">
    <w:abstractNumId w:val="30"/>
  </w:num>
  <w:num w:numId="54" w16cid:durableId="404844148">
    <w:abstractNumId w:val="8"/>
  </w:num>
  <w:num w:numId="55" w16cid:durableId="819855879">
    <w:abstractNumId w:val="23"/>
  </w:num>
  <w:num w:numId="56" w16cid:durableId="362633569">
    <w:abstractNumId w:val="51"/>
  </w:num>
  <w:num w:numId="57" w16cid:durableId="1293904960">
    <w:abstractNumId w:val="2"/>
  </w:num>
  <w:num w:numId="58" w16cid:durableId="2072266967">
    <w:abstractNumId w:val="44"/>
  </w:num>
  <w:num w:numId="59" w16cid:durableId="1449856183">
    <w:abstractNumId w:val="20"/>
  </w:num>
  <w:num w:numId="60" w16cid:durableId="264847693">
    <w:abstractNumId w:val="1"/>
  </w:num>
  <w:num w:numId="61" w16cid:durableId="140850691">
    <w:abstractNumId w:val="42"/>
  </w:num>
  <w:num w:numId="62" w16cid:durableId="1923098859">
    <w:abstractNumId w:val="34"/>
  </w:num>
  <w:num w:numId="63" w16cid:durableId="167061896">
    <w:abstractNumId w:val="6"/>
  </w:num>
  <w:num w:numId="64" w16cid:durableId="368989252">
    <w:abstractNumId w:val="2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3FC0"/>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3623"/>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394A"/>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25D5"/>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B3EBA"/>
    <w:rsid w:val="006C1F5A"/>
    <w:rsid w:val="006C2EEF"/>
    <w:rsid w:val="006D03C7"/>
    <w:rsid w:val="006D3E6C"/>
    <w:rsid w:val="006D4487"/>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085B"/>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0613"/>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3BA7"/>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054B"/>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256060867">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68018326">
      <w:bodyDiv w:val="1"/>
      <w:marLeft w:val="0"/>
      <w:marRight w:val="0"/>
      <w:marTop w:val="0"/>
      <w:marBottom w:val="0"/>
      <w:divBdr>
        <w:top w:val="none" w:sz="0" w:space="0" w:color="auto"/>
        <w:left w:val="none" w:sz="0" w:space="0" w:color="auto"/>
        <w:bottom w:val="none" w:sz="0" w:space="0" w:color="auto"/>
        <w:right w:val="none" w:sz="0" w:space="0" w:color="auto"/>
      </w:divBdr>
      <w:divsChild>
        <w:div w:id="1537087413">
          <w:marLeft w:val="0"/>
          <w:marRight w:val="0"/>
          <w:marTop w:val="0"/>
          <w:marBottom w:val="0"/>
          <w:divBdr>
            <w:top w:val="none" w:sz="0" w:space="0" w:color="auto"/>
            <w:left w:val="none" w:sz="0" w:space="0" w:color="auto"/>
            <w:bottom w:val="none" w:sz="0" w:space="0" w:color="auto"/>
            <w:right w:val="none" w:sz="0" w:space="0" w:color="auto"/>
          </w:divBdr>
        </w:div>
        <w:div w:id="1515069883">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44289978">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 w:id="2127194150">
      <w:bodyDiv w:val="1"/>
      <w:marLeft w:val="0"/>
      <w:marRight w:val="0"/>
      <w:marTop w:val="0"/>
      <w:marBottom w:val="0"/>
      <w:divBdr>
        <w:top w:val="none" w:sz="0" w:space="0" w:color="auto"/>
        <w:left w:val="none" w:sz="0" w:space="0" w:color="auto"/>
        <w:bottom w:val="none" w:sz="0" w:space="0" w:color="auto"/>
        <w:right w:val="none" w:sz="0" w:space="0" w:color="auto"/>
      </w:divBdr>
      <w:divsChild>
        <w:div w:id="916211697">
          <w:marLeft w:val="0"/>
          <w:marRight w:val="0"/>
          <w:marTop w:val="0"/>
          <w:marBottom w:val="0"/>
          <w:divBdr>
            <w:top w:val="none" w:sz="0" w:space="0" w:color="auto"/>
            <w:left w:val="none" w:sz="0" w:space="0" w:color="auto"/>
            <w:bottom w:val="none" w:sz="0" w:space="0" w:color="auto"/>
            <w:right w:val="none" w:sz="0" w:space="0" w:color="auto"/>
          </w:divBdr>
        </w:div>
        <w:div w:id="19437584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C37"/>
    <w:rsid w:val="00383C66"/>
    <w:rsid w:val="00383C88"/>
    <w:rsid w:val="00390CD5"/>
    <w:rsid w:val="00483F4E"/>
    <w:rsid w:val="004F1616"/>
    <w:rsid w:val="00503E58"/>
    <w:rsid w:val="00522502"/>
    <w:rsid w:val="005910A7"/>
    <w:rsid w:val="005C1AE3"/>
    <w:rsid w:val="00611E4E"/>
    <w:rsid w:val="006C7BDF"/>
    <w:rsid w:val="006D4487"/>
    <w:rsid w:val="00737BAE"/>
    <w:rsid w:val="00871B28"/>
    <w:rsid w:val="00882017"/>
    <w:rsid w:val="00912671"/>
    <w:rsid w:val="00930D52"/>
    <w:rsid w:val="009C1F3E"/>
    <w:rsid w:val="00B63AF7"/>
    <w:rsid w:val="00B92933"/>
    <w:rsid w:val="00BB0613"/>
    <w:rsid w:val="00C81A8B"/>
    <w:rsid w:val="00CB26E6"/>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4232</Words>
  <Characters>23276</Characters>
  <Application>Microsoft Office Word</Application>
  <DocSecurity>0</DocSecurity>
  <Lines>193</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27454</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2025-02-26T05:41:00Z</dcterms:created>
  <dcterms:modified xsi:type="dcterms:W3CDTF">2025-03-31T01:45:00Z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