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DD72DC" w:rsidRDefault="00657883" w:rsidP="00237AFB">
      <w:pPr>
        <w:jc w:val="both"/>
        <w:rPr>
          <w:rFonts w:asciiTheme="minorHAnsi" w:hAnsiTheme="minorHAnsi" w:cstheme="minorHAnsi"/>
        </w:rPr>
      </w:pPr>
    </w:p>
    <w:p w14:paraId="7415A3EE" w14:textId="77777777" w:rsidR="001705EC" w:rsidRPr="00DD72DC" w:rsidRDefault="001705EC" w:rsidP="00237AFB">
      <w:pPr>
        <w:jc w:val="both"/>
        <w:rPr>
          <w:rFonts w:asciiTheme="minorHAnsi" w:hAnsiTheme="minorHAnsi" w:cstheme="minorHAnsi"/>
          <w:sz w:val="44"/>
          <w:szCs w:val="44"/>
        </w:rPr>
      </w:pPr>
    </w:p>
    <w:p w14:paraId="7D3EE362" w14:textId="77777777" w:rsidR="001705EC" w:rsidRPr="00DD72DC" w:rsidRDefault="001705EC" w:rsidP="00237AFB">
      <w:pPr>
        <w:jc w:val="both"/>
        <w:rPr>
          <w:rFonts w:asciiTheme="minorHAnsi" w:hAnsiTheme="minorHAnsi" w:cstheme="minorHAnsi"/>
          <w:sz w:val="44"/>
          <w:szCs w:val="44"/>
        </w:rPr>
      </w:pPr>
    </w:p>
    <w:p w14:paraId="30FD80A7" w14:textId="0CAA739A" w:rsidR="006533BC" w:rsidRPr="00DD72DC" w:rsidRDefault="00DD72DC" w:rsidP="00237AFB">
      <w:pPr>
        <w:pStyle w:val="Piedepgina"/>
        <w:jc w:val="center"/>
        <w:rPr>
          <w:rFonts w:asciiTheme="minorHAnsi" w:hAnsiTheme="minorHAnsi" w:cstheme="minorHAnsi"/>
          <w:sz w:val="24"/>
          <w:szCs w:val="24"/>
          <w:lang w:eastAsia="en-GB"/>
        </w:rPr>
      </w:pPr>
      <w:r w:rsidRPr="00DD72DC">
        <w:rPr>
          <w:rFonts w:asciiTheme="minorHAnsi" w:hAnsiTheme="minorHAnsi" w:cstheme="minorHAnsi"/>
          <w:sz w:val="24"/>
          <w:szCs w:val="24"/>
          <w:lang w:eastAsia="en-GB"/>
        </w:rPr>
        <w:t>Anexos A.5.1, A.6.1 y A.8.2</w:t>
      </w:r>
      <w:r>
        <w:rPr>
          <w:rFonts w:asciiTheme="minorHAnsi" w:hAnsiTheme="minorHAnsi" w:cstheme="minorHAnsi"/>
          <w:sz w:val="24"/>
          <w:szCs w:val="24"/>
          <w:lang w:eastAsia="en-GB"/>
        </w:rPr>
        <w:t xml:space="preserve"> </w:t>
      </w:r>
      <w:r w:rsidRPr="00DD72DC">
        <w:rPr>
          <w:rFonts w:asciiTheme="minorHAnsi" w:hAnsiTheme="minorHAnsi" w:cstheme="minorHAnsi"/>
          <w:b/>
          <w:bCs/>
          <w:szCs w:val="24"/>
          <w:lang w:eastAsia="en-GB"/>
        </w:rPr>
        <w:t>ANÁLISIS DE RIESGOS</w:t>
      </w:r>
    </w:p>
    <w:tbl>
      <w:tblPr>
        <w:tblStyle w:val="Tablaconcuadrcula"/>
        <w:tblW w:w="10368" w:type="dxa"/>
        <w:tblInd w:w="-342" w:type="dxa"/>
        <w:tblLook w:val="04A0" w:firstRow="1" w:lastRow="0" w:firstColumn="1" w:lastColumn="0" w:noHBand="0" w:noVBand="1"/>
      </w:tblPr>
      <w:tblGrid>
        <w:gridCol w:w="1826"/>
        <w:gridCol w:w="1513"/>
        <w:gridCol w:w="1716"/>
        <w:gridCol w:w="2196"/>
        <w:gridCol w:w="987"/>
        <w:gridCol w:w="2130"/>
      </w:tblGrid>
      <w:tr w:rsidR="00452E7F" w:rsidRPr="00DD72DC" w14:paraId="273B0C4B" w14:textId="77777777" w:rsidTr="00D02A7F">
        <w:tc>
          <w:tcPr>
            <w:tcW w:w="1908" w:type="dxa"/>
            <w:shd w:val="clear" w:color="auto" w:fill="D9D9D9" w:themeFill="background1" w:themeFillShade="D9"/>
          </w:tcPr>
          <w:p w14:paraId="083D5C51"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DD72DC" w:rsidRDefault="001705EC" w:rsidP="00237AFB">
            <w:pPr>
              <w:jc w:val="both"/>
              <w:rPr>
                <w:rFonts w:asciiTheme="minorHAnsi" w:hAnsiTheme="minorHAnsi" w:cstheme="minorHAnsi"/>
                <w:b/>
                <w:bCs/>
                <w:sz w:val="24"/>
                <w:szCs w:val="24"/>
              </w:rPr>
            </w:pPr>
            <w:r w:rsidRPr="00DD72DC">
              <w:rPr>
                <w:rFonts w:asciiTheme="minorHAnsi" w:hAnsiTheme="minorHAnsi" w:cstheme="minorHAnsi"/>
                <w:b/>
                <w:bCs/>
                <w:sz w:val="24"/>
                <w:szCs w:val="24"/>
              </w:rPr>
              <w:t>Descripción</w:t>
            </w:r>
          </w:p>
        </w:tc>
      </w:tr>
      <w:tr w:rsidR="00452E7F" w:rsidRPr="00DD72DC" w14:paraId="23D5C307" w14:textId="77777777" w:rsidTr="00D02A7F">
        <w:tc>
          <w:tcPr>
            <w:tcW w:w="1908" w:type="dxa"/>
          </w:tcPr>
          <w:p w14:paraId="1F536261" w14:textId="77777777" w:rsidR="001705EC" w:rsidRPr="00DD72DC" w:rsidRDefault="001705EC" w:rsidP="00237AFB">
            <w:pPr>
              <w:jc w:val="both"/>
              <w:rPr>
                <w:rFonts w:asciiTheme="minorHAnsi" w:hAnsiTheme="minorHAnsi" w:cstheme="minorHAnsi"/>
                <w:sz w:val="24"/>
                <w:szCs w:val="24"/>
              </w:rPr>
            </w:pPr>
            <w:bookmarkStart w:id="0" w:name="_Hlk187601937"/>
            <w:r w:rsidRPr="00DD72DC">
              <w:rPr>
                <w:rFonts w:asciiTheme="minorHAnsi" w:hAnsiTheme="minorHAnsi" w:cstheme="minorHAnsi"/>
                <w:sz w:val="24"/>
                <w:szCs w:val="24"/>
              </w:rPr>
              <w:t>V1.0</w:t>
            </w:r>
          </w:p>
        </w:tc>
        <w:tc>
          <w:tcPr>
            <w:tcW w:w="1570" w:type="dxa"/>
          </w:tcPr>
          <w:p w14:paraId="5CF1E181" w14:textId="23D50EDA" w:rsidR="001705EC" w:rsidRPr="00DD72DC" w:rsidRDefault="001637D6" w:rsidP="00237AFB">
            <w:pPr>
              <w:jc w:val="both"/>
              <w:rPr>
                <w:rFonts w:asciiTheme="minorHAnsi" w:hAnsiTheme="minorHAnsi" w:cstheme="minorHAnsi"/>
                <w:sz w:val="24"/>
                <w:szCs w:val="24"/>
              </w:rPr>
            </w:pPr>
            <w:r w:rsidRPr="00DD72DC">
              <w:rPr>
                <w:rFonts w:asciiTheme="minorHAnsi" w:hAnsiTheme="minorHAnsi" w:cstheme="minorHAnsi"/>
                <w:sz w:val="24"/>
                <w:szCs w:val="24"/>
              </w:rPr>
              <w:t>Auditorex Chile</w:t>
            </w:r>
          </w:p>
        </w:tc>
        <w:tc>
          <w:tcPr>
            <w:tcW w:w="1810" w:type="dxa"/>
          </w:tcPr>
          <w:p w14:paraId="48DCB9A0" w14:textId="77777777" w:rsidR="001637D6" w:rsidRPr="00DD72DC" w:rsidRDefault="001637D6" w:rsidP="00237AFB">
            <w:pPr>
              <w:jc w:val="both"/>
              <w:rPr>
                <w:rFonts w:asciiTheme="minorHAnsi" w:hAnsiTheme="minorHAnsi" w:cstheme="minorHAnsi"/>
                <w:sz w:val="24"/>
                <w:szCs w:val="24"/>
              </w:rPr>
            </w:pPr>
            <w:r w:rsidRPr="00DD72DC">
              <w:rPr>
                <w:rFonts w:asciiTheme="minorHAnsi" w:hAnsiTheme="minorHAnsi" w:cstheme="minorHAnsi"/>
                <w:sz w:val="24"/>
                <w:szCs w:val="24"/>
              </w:rPr>
              <w:t>Mauricio Antonio Colomera Villarroel</w:t>
            </w:r>
          </w:p>
          <w:p w14:paraId="4664E988" w14:textId="77777777" w:rsidR="001705EC" w:rsidRPr="00DD72DC" w:rsidRDefault="001705EC" w:rsidP="00237AFB">
            <w:pPr>
              <w:jc w:val="both"/>
              <w:rPr>
                <w:rFonts w:asciiTheme="minorHAnsi" w:hAnsiTheme="minorHAnsi" w:cstheme="minorHAnsi"/>
                <w:sz w:val="24"/>
                <w:szCs w:val="24"/>
              </w:rPr>
            </w:pPr>
          </w:p>
        </w:tc>
        <w:tc>
          <w:tcPr>
            <w:tcW w:w="1811" w:type="dxa"/>
          </w:tcPr>
          <w:p w14:paraId="285FCDD1" w14:textId="0FAEB9DF" w:rsidR="001705EC" w:rsidRPr="00DD72DC" w:rsidRDefault="00452E7F" w:rsidP="00237AFB">
            <w:pPr>
              <w:jc w:val="both"/>
              <w:rPr>
                <w:rFonts w:asciiTheme="minorHAnsi" w:hAnsiTheme="minorHAnsi" w:cstheme="minorHAnsi"/>
                <w:sz w:val="24"/>
                <w:szCs w:val="24"/>
              </w:rPr>
            </w:pPr>
            <w:r w:rsidRPr="00DD72DC">
              <w:rPr>
                <w:rFonts w:asciiTheme="minorHAnsi" w:hAnsiTheme="minorHAnsi" w:cstheme="minorHAnsi"/>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DD72DC" w:rsidRDefault="00D02999" w:rsidP="00237AFB">
            <w:pPr>
              <w:jc w:val="both"/>
              <w:rPr>
                <w:rFonts w:asciiTheme="minorHAnsi" w:hAnsiTheme="minorHAnsi" w:cstheme="minorHAnsi"/>
                <w:szCs w:val="22"/>
              </w:rPr>
            </w:pPr>
            <w:r w:rsidRPr="00DD72DC">
              <w:rPr>
                <w:rFonts w:asciiTheme="minorHAnsi" w:hAnsiTheme="minorHAnsi" w:cstheme="minorHAnsi"/>
                <w:szCs w:val="22"/>
              </w:rPr>
              <w:t>12-01-2024</w:t>
            </w:r>
          </w:p>
        </w:tc>
        <w:tc>
          <w:tcPr>
            <w:tcW w:w="2250" w:type="dxa"/>
          </w:tcPr>
          <w:p w14:paraId="6401603C" w14:textId="26D86D8A" w:rsidR="001705EC" w:rsidRPr="00DD72DC" w:rsidRDefault="00DD72DC" w:rsidP="00443ABE">
            <w:pPr>
              <w:pStyle w:val="NormalWeb"/>
              <w:rPr>
                <w:rFonts w:asciiTheme="minorHAnsi" w:hAnsiTheme="minorHAnsi" w:cstheme="minorHAnsi"/>
                <w:lang w:val="es-CL"/>
              </w:rPr>
            </w:pPr>
            <w:r w:rsidRPr="00DD72DC">
              <w:rPr>
                <w:rFonts w:asciiTheme="minorHAnsi" w:hAnsiTheme="minorHAnsi" w:cstheme="minorHAnsi"/>
                <w:b/>
                <w:bCs/>
                <w:lang w:val="es-CL"/>
              </w:rPr>
              <w:t>ANÁLISIS DE RIESGOS</w:t>
            </w:r>
          </w:p>
        </w:tc>
      </w:tr>
      <w:bookmarkEnd w:id="0"/>
      <w:tr w:rsidR="00452E7F" w:rsidRPr="00DD72DC" w14:paraId="2A38A0FB" w14:textId="77777777" w:rsidTr="00D02A7F">
        <w:tc>
          <w:tcPr>
            <w:tcW w:w="1908" w:type="dxa"/>
          </w:tcPr>
          <w:p w14:paraId="5AA7A63A" w14:textId="77777777" w:rsidR="001705EC" w:rsidRPr="00DD72DC" w:rsidRDefault="001705EC" w:rsidP="00237AFB">
            <w:pPr>
              <w:jc w:val="both"/>
              <w:rPr>
                <w:rFonts w:asciiTheme="minorHAnsi" w:hAnsiTheme="minorHAnsi" w:cstheme="minorHAnsi"/>
                <w:sz w:val="24"/>
                <w:szCs w:val="24"/>
              </w:rPr>
            </w:pPr>
          </w:p>
        </w:tc>
        <w:tc>
          <w:tcPr>
            <w:tcW w:w="1570" w:type="dxa"/>
          </w:tcPr>
          <w:p w14:paraId="6CA0F23C" w14:textId="77777777" w:rsidR="001705EC" w:rsidRPr="00DD72DC" w:rsidRDefault="001705EC" w:rsidP="00237AFB">
            <w:pPr>
              <w:jc w:val="both"/>
              <w:rPr>
                <w:rFonts w:asciiTheme="minorHAnsi" w:hAnsiTheme="minorHAnsi" w:cstheme="minorHAnsi"/>
                <w:sz w:val="24"/>
                <w:szCs w:val="24"/>
              </w:rPr>
            </w:pPr>
          </w:p>
        </w:tc>
        <w:tc>
          <w:tcPr>
            <w:tcW w:w="1810" w:type="dxa"/>
          </w:tcPr>
          <w:p w14:paraId="7579C89A" w14:textId="77777777" w:rsidR="001705EC" w:rsidRPr="00DD72DC" w:rsidRDefault="001705EC" w:rsidP="00237AFB">
            <w:pPr>
              <w:jc w:val="both"/>
              <w:rPr>
                <w:rFonts w:asciiTheme="minorHAnsi" w:hAnsiTheme="minorHAnsi" w:cstheme="minorHAnsi"/>
                <w:sz w:val="24"/>
                <w:szCs w:val="24"/>
              </w:rPr>
            </w:pPr>
          </w:p>
        </w:tc>
        <w:tc>
          <w:tcPr>
            <w:tcW w:w="1811" w:type="dxa"/>
          </w:tcPr>
          <w:p w14:paraId="5C11AFDC" w14:textId="77777777" w:rsidR="001705EC" w:rsidRPr="00DD72DC" w:rsidRDefault="001705EC" w:rsidP="00237AFB">
            <w:pPr>
              <w:jc w:val="both"/>
              <w:rPr>
                <w:rFonts w:asciiTheme="minorHAnsi" w:hAnsiTheme="minorHAnsi" w:cstheme="minorHAnsi"/>
                <w:sz w:val="24"/>
                <w:szCs w:val="24"/>
              </w:rPr>
            </w:pPr>
          </w:p>
        </w:tc>
        <w:tc>
          <w:tcPr>
            <w:tcW w:w="1019" w:type="dxa"/>
          </w:tcPr>
          <w:p w14:paraId="2D9464C3" w14:textId="77777777" w:rsidR="001705EC" w:rsidRPr="00DD72DC" w:rsidRDefault="001705EC" w:rsidP="00237AFB">
            <w:pPr>
              <w:jc w:val="both"/>
              <w:rPr>
                <w:rFonts w:asciiTheme="minorHAnsi" w:hAnsiTheme="minorHAnsi" w:cstheme="minorHAnsi"/>
                <w:sz w:val="24"/>
                <w:szCs w:val="24"/>
              </w:rPr>
            </w:pPr>
          </w:p>
        </w:tc>
        <w:tc>
          <w:tcPr>
            <w:tcW w:w="2250" w:type="dxa"/>
          </w:tcPr>
          <w:p w14:paraId="30EA5E83" w14:textId="77777777" w:rsidR="001705EC" w:rsidRPr="00DD72DC" w:rsidRDefault="001705EC" w:rsidP="00237AFB">
            <w:pPr>
              <w:jc w:val="both"/>
              <w:rPr>
                <w:rFonts w:asciiTheme="minorHAnsi" w:hAnsiTheme="minorHAnsi" w:cstheme="minorHAnsi"/>
                <w:sz w:val="24"/>
                <w:szCs w:val="24"/>
              </w:rPr>
            </w:pPr>
          </w:p>
        </w:tc>
      </w:tr>
      <w:tr w:rsidR="00452E7F" w:rsidRPr="00DD72DC" w14:paraId="5D084FF7" w14:textId="77777777" w:rsidTr="00D02A7F">
        <w:tc>
          <w:tcPr>
            <w:tcW w:w="1908" w:type="dxa"/>
          </w:tcPr>
          <w:p w14:paraId="59848B68" w14:textId="77777777" w:rsidR="001705EC" w:rsidRPr="00DD72DC" w:rsidRDefault="001705EC" w:rsidP="00237AFB">
            <w:pPr>
              <w:jc w:val="both"/>
              <w:rPr>
                <w:rFonts w:asciiTheme="minorHAnsi" w:hAnsiTheme="minorHAnsi" w:cstheme="minorHAnsi"/>
                <w:sz w:val="24"/>
                <w:szCs w:val="24"/>
              </w:rPr>
            </w:pPr>
          </w:p>
        </w:tc>
        <w:tc>
          <w:tcPr>
            <w:tcW w:w="1570" w:type="dxa"/>
          </w:tcPr>
          <w:p w14:paraId="4CE506E6" w14:textId="77777777" w:rsidR="001705EC" w:rsidRPr="00DD72DC" w:rsidRDefault="001705EC" w:rsidP="00237AFB">
            <w:pPr>
              <w:jc w:val="both"/>
              <w:rPr>
                <w:rFonts w:asciiTheme="minorHAnsi" w:hAnsiTheme="minorHAnsi" w:cstheme="minorHAnsi"/>
                <w:sz w:val="24"/>
                <w:szCs w:val="24"/>
              </w:rPr>
            </w:pPr>
          </w:p>
        </w:tc>
        <w:tc>
          <w:tcPr>
            <w:tcW w:w="1810" w:type="dxa"/>
          </w:tcPr>
          <w:p w14:paraId="09467189" w14:textId="77777777" w:rsidR="001705EC" w:rsidRPr="00DD72DC" w:rsidRDefault="001705EC" w:rsidP="00237AFB">
            <w:pPr>
              <w:jc w:val="both"/>
              <w:rPr>
                <w:rFonts w:asciiTheme="minorHAnsi" w:hAnsiTheme="minorHAnsi" w:cstheme="minorHAnsi"/>
                <w:sz w:val="24"/>
                <w:szCs w:val="24"/>
              </w:rPr>
            </w:pPr>
          </w:p>
        </w:tc>
        <w:tc>
          <w:tcPr>
            <w:tcW w:w="1811" w:type="dxa"/>
          </w:tcPr>
          <w:p w14:paraId="6E7E4F49" w14:textId="77777777" w:rsidR="001705EC" w:rsidRPr="00DD72DC" w:rsidRDefault="001705EC" w:rsidP="00237AFB">
            <w:pPr>
              <w:jc w:val="both"/>
              <w:rPr>
                <w:rFonts w:asciiTheme="minorHAnsi" w:hAnsiTheme="minorHAnsi" w:cstheme="minorHAnsi"/>
                <w:sz w:val="24"/>
                <w:szCs w:val="24"/>
              </w:rPr>
            </w:pPr>
          </w:p>
        </w:tc>
        <w:tc>
          <w:tcPr>
            <w:tcW w:w="1019" w:type="dxa"/>
          </w:tcPr>
          <w:p w14:paraId="7EB49E66" w14:textId="77777777" w:rsidR="001705EC" w:rsidRPr="00DD72DC" w:rsidRDefault="001705EC" w:rsidP="00237AFB">
            <w:pPr>
              <w:jc w:val="both"/>
              <w:rPr>
                <w:rFonts w:asciiTheme="minorHAnsi" w:hAnsiTheme="minorHAnsi" w:cstheme="minorHAnsi"/>
                <w:sz w:val="24"/>
                <w:szCs w:val="24"/>
              </w:rPr>
            </w:pPr>
          </w:p>
        </w:tc>
        <w:tc>
          <w:tcPr>
            <w:tcW w:w="2250" w:type="dxa"/>
          </w:tcPr>
          <w:p w14:paraId="722DAB0F" w14:textId="77777777" w:rsidR="001705EC" w:rsidRPr="00DD72DC" w:rsidRDefault="001705EC" w:rsidP="00237AFB">
            <w:pPr>
              <w:jc w:val="both"/>
              <w:rPr>
                <w:rFonts w:asciiTheme="minorHAnsi" w:hAnsiTheme="minorHAnsi" w:cstheme="minorHAnsi"/>
                <w:sz w:val="24"/>
                <w:szCs w:val="24"/>
              </w:rPr>
            </w:pPr>
          </w:p>
        </w:tc>
      </w:tr>
      <w:tr w:rsidR="001705EC" w:rsidRPr="00DD72DC" w14:paraId="7875EE64" w14:textId="77777777" w:rsidTr="00D02A7F">
        <w:tc>
          <w:tcPr>
            <w:tcW w:w="1908" w:type="dxa"/>
            <w:shd w:val="clear" w:color="auto" w:fill="D9D9D9" w:themeFill="background1" w:themeFillShade="D9"/>
          </w:tcPr>
          <w:p w14:paraId="22F097C4" w14:textId="77777777" w:rsidR="001705EC" w:rsidRPr="00DD72DC" w:rsidRDefault="001705EC" w:rsidP="00237AFB">
            <w:pPr>
              <w:jc w:val="both"/>
              <w:rPr>
                <w:rFonts w:asciiTheme="minorHAnsi" w:hAnsiTheme="minorHAnsi" w:cstheme="minorHAnsi"/>
                <w:sz w:val="24"/>
                <w:szCs w:val="24"/>
              </w:rPr>
            </w:pPr>
            <w:r w:rsidRPr="00DD72DC">
              <w:rPr>
                <w:rFonts w:asciiTheme="minorHAnsi" w:hAnsiTheme="minorHAnsi" w:cstheme="minorHAnsi"/>
                <w:sz w:val="24"/>
                <w:szCs w:val="24"/>
              </w:rPr>
              <w:t>Número de referencia del documento</w:t>
            </w:r>
          </w:p>
        </w:tc>
        <w:tc>
          <w:tcPr>
            <w:tcW w:w="3380" w:type="dxa"/>
            <w:gridSpan w:val="2"/>
          </w:tcPr>
          <w:p w14:paraId="02FAF64D" w14:textId="227570F8" w:rsidR="001705EC" w:rsidRPr="00DD72DC" w:rsidRDefault="00DD72DC" w:rsidP="00237AFB">
            <w:pPr>
              <w:jc w:val="both"/>
              <w:rPr>
                <w:rFonts w:asciiTheme="minorHAnsi" w:hAnsiTheme="minorHAnsi" w:cstheme="minorHAnsi"/>
                <w:sz w:val="24"/>
                <w:szCs w:val="24"/>
              </w:rPr>
            </w:pPr>
            <w:r w:rsidRPr="00DD72DC">
              <w:rPr>
                <w:rFonts w:asciiTheme="minorHAnsi" w:hAnsiTheme="minorHAnsi" w:cstheme="minorHAnsi"/>
                <w:sz w:val="24"/>
                <w:szCs w:val="24"/>
                <w:lang w:eastAsia="en-GB"/>
              </w:rPr>
              <w:t>Anexos A.5.1, A.6.1 y A.8.2</w:t>
            </w:r>
          </w:p>
        </w:tc>
        <w:tc>
          <w:tcPr>
            <w:tcW w:w="2830" w:type="dxa"/>
            <w:gridSpan w:val="2"/>
            <w:shd w:val="clear" w:color="auto" w:fill="D9D9D9" w:themeFill="background1" w:themeFillShade="D9"/>
          </w:tcPr>
          <w:p w14:paraId="70C78F02" w14:textId="77777777" w:rsidR="001705EC" w:rsidRPr="00DD72DC" w:rsidRDefault="001705EC" w:rsidP="00237AFB">
            <w:pPr>
              <w:jc w:val="both"/>
              <w:rPr>
                <w:rFonts w:asciiTheme="minorHAnsi" w:hAnsiTheme="minorHAnsi" w:cstheme="minorHAnsi"/>
                <w:sz w:val="24"/>
                <w:szCs w:val="24"/>
              </w:rPr>
            </w:pPr>
            <w:r w:rsidRPr="00DD72DC">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DD72DC" w:rsidRDefault="001705EC" w:rsidP="00237AFB">
                <w:pPr>
                  <w:jc w:val="both"/>
                  <w:rPr>
                    <w:rFonts w:asciiTheme="minorHAnsi" w:hAnsiTheme="minorHAnsi" w:cstheme="minorHAnsi"/>
                    <w:sz w:val="24"/>
                    <w:szCs w:val="24"/>
                  </w:rPr>
                </w:pPr>
                <w:r w:rsidRPr="00DD72DC">
                  <w:rPr>
                    <w:rFonts w:asciiTheme="minorHAnsi" w:hAnsiTheme="minorHAnsi" w:cstheme="minorHAnsi"/>
                    <w:sz w:val="24"/>
                    <w:szCs w:val="24"/>
                  </w:rPr>
                  <w:t>Confidencial</w:t>
                </w:r>
              </w:p>
            </w:tc>
          </w:sdtContent>
        </w:sdt>
      </w:tr>
    </w:tbl>
    <w:p w14:paraId="5F47735A" w14:textId="77777777" w:rsidR="001705EC" w:rsidRPr="00DD72DC" w:rsidRDefault="001705EC" w:rsidP="00237AFB">
      <w:pPr>
        <w:jc w:val="both"/>
        <w:rPr>
          <w:rFonts w:asciiTheme="minorHAnsi" w:hAnsiTheme="minorHAnsi" w:cstheme="minorHAnsi"/>
          <w:sz w:val="24"/>
          <w:szCs w:val="24"/>
        </w:rPr>
      </w:pPr>
    </w:p>
    <w:p w14:paraId="24B85043" w14:textId="77777777" w:rsidR="00DD72DC" w:rsidRPr="00DD72DC" w:rsidRDefault="001705EC" w:rsidP="00DD72DC">
      <w:pPr>
        <w:pStyle w:val="NormalWeb"/>
        <w:numPr>
          <w:ilvl w:val="2"/>
          <w:numId w:val="4"/>
        </w:numPr>
        <w:jc w:val="both"/>
        <w:rPr>
          <w:rFonts w:asciiTheme="minorHAnsi" w:hAnsiTheme="minorHAnsi" w:cstheme="minorHAnsi"/>
          <w:b/>
          <w:bCs/>
          <w:lang w:val="es-CL"/>
        </w:rPr>
      </w:pPr>
      <w:r w:rsidRPr="00DD72DC">
        <w:rPr>
          <w:rFonts w:asciiTheme="minorHAnsi" w:hAnsiTheme="minorHAnsi" w:cstheme="minorHAnsi"/>
          <w:lang w:val="es-CL"/>
        </w:rPr>
        <w:br w:type="page"/>
      </w:r>
      <w:r w:rsidR="00DD72DC" w:rsidRPr="00DD72DC">
        <w:rPr>
          <w:rFonts w:asciiTheme="minorHAnsi" w:hAnsiTheme="minorHAnsi" w:cstheme="minorHAnsi"/>
          <w:b/>
          <w:bCs/>
          <w:lang w:val="es-CL"/>
        </w:rPr>
        <w:lastRenderedPageBreak/>
        <w:t>ANÁLISIS DE RIESGOS – ANACONDA WEB CHILE</w:t>
      </w:r>
    </w:p>
    <w:p w14:paraId="4DEBE8A4" w14:textId="77777777" w:rsidR="00DD72DC" w:rsidRPr="00DD72DC" w:rsidRDefault="00DD72DC" w:rsidP="00DD72DC">
      <w:pPr>
        <w:pStyle w:val="NormalWeb"/>
        <w:rPr>
          <w:rFonts w:asciiTheme="minorHAnsi" w:hAnsiTheme="minorHAnsi" w:cstheme="minorHAnsi"/>
          <w:lang w:val="es-CL"/>
        </w:rPr>
      </w:pPr>
      <w:r w:rsidRPr="00DD72DC">
        <w:rPr>
          <w:rFonts w:asciiTheme="minorHAnsi" w:hAnsiTheme="minorHAnsi" w:cstheme="minorHAnsi"/>
          <w:b/>
          <w:bCs/>
          <w:lang w:val="es-CL"/>
        </w:rPr>
        <w:t>Versión:</w:t>
      </w:r>
      <w:r w:rsidRPr="00DD72DC">
        <w:rPr>
          <w:rFonts w:asciiTheme="minorHAnsi" w:hAnsiTheme="minorHAnsi" w:cstheme="minorHAnsi"/>
          <w:lang w:val="es-CL"/>
        </w:rPr>
        <w:t xml:space="preserve"> 1.0</w:t>
      </w:r>
      <w:r w:rsidRPr="00DD72DC">
        <w:rPr>
          <w:rFonts w:asciiTheme="minorHAnsi" w:hAnsiTheme="minorHAnsi" w:cstheme="minorHAnsi"/>
          <w:lang w:val="es-CL"/>
        </w:rPr>
        <w:br/>
      </w:r>
      <w:r w:rsidRPr="00DD72DC">
        <w:rPr>
          <w:rFonts w:asciiTheme="minorHAnsi" w:hAnsiTheme="minorHAnsi" w:cstheme="minorHAnsi"/>
          <w:b/>
          <w:bCs/>
          <w:lang w:val="es-CL"/>
        </w:rPr>
        <w:t>Autor:</w:t>
      </w:r>
      <w:r w:rsidRPr="00DD72DC">
        <w:rPr>
          <w:rFonts w:asciiTheme="minorHAnsi" w:hAnsiTheme="minorHAnsi" w:cstheme="minorHAnsi"/>
          <w:lang w:val="es-CL"/>
        </w:rPr>
        <w:t xml:space="preserve"> Auditorex Chile</w:t>
      </w:r>
      <w:r w:rsidRPr="00DD72DC">
        <w:rPr>
          <w:rFonts w:asciiTheme="minorHAnsi" w:hAnsiTheme="minorHAnsi" w:cstheme="minorHAnsi"/>
          <w:lang w:val="es-CL"/>
        </w:rPr>
        <w:br/>
      </w:r>
      <w:r w:rsidRPr="00DD72DC">
        <w:rPr>
          <w:rFonts w:asciiTheme="minorHAnsi" w:hAnsiTheme="minorHAnsi" w:cstheme="minorHAnsi"/>
          <w:b/>
          <w:bCs/>
          <w:lang w:val="es-CL"/>
        </w:rPr>
        <w:t>Revisado por:</w:t>
      </w:r>
      <w:r w:rsidRPr="00DD72DC">
        <w:rPr>
          <w:rFonts w:asciiTheme="minorHAnsi" w:hAnsiTheme="minorHAnsi" w:cstheme="minorHAnsi"/>
          <w:lang w:val="es-CL"/>
        </w:rPr>
        <w:t xml:space="preserve"> Mauricio Antonio Colomera Villarroel</w:t>
      </w:r>
      <w:r w:rsidRPr="00DD72DC">
        <w:rPr>
          <w:rFonts w:asciiTheme="minorHAnsi" w:hAnsiTheme="minorHAnsi" w:cstheme="minorHAnsi"/>
          <w:lang w:val="es-CL"/>
        </w:rPr>
        <w:br/>
      </w:r>
      <w:r w:rsidRPr="00DD72DC">
        <w:rPr>
          <w:rFonts w:asciiTheme="minorHAnsi" w:hAnsiTheme="minorHAnsi" w:cstheme="minorHAnsi"/>
          <w:b/>
          <w:bCs/>
          <w:lang w:val="es-CL"/>
        </w:rPr>
        <w:t>Fecha:</w:t>
      </w:r>
      <w:r w:rsidRPr="00DD72DC">
        <w:rPr>
          <w:rFonts w:asciiTheme="minorHAnsi" w:hAnsiTheme="minorHAnsi" w:cstheme="minorHAnsi"/>
          <w:lang w:val="es-CL"/>
        </w:rPr>
        <w:t xml:space="preserve"> 17 de febrero de 2025</w:t>
      </w:r>
      <w:r w:rsidRPr="00DD72DC">
        <w:rPr>
          <w:rFonts w:asciiTheme="minorHAnsi" w:hAnsiTheme="minorHAnsi" w:cstheme="minorHAnsi"/>
          <w:lang w:val="es-CL"/>
        </w:rPr>
        <w:br/>
      </w:r>
      <w:r w:rsidRPr="00DD72DC">
        <w:rPr>
          <w:rFonts w:asciiTheme="minorHAnsi" w:hAnsiTheme="minorHAnsi" w:cstheme="minorHAnsi"/>
          <w:b/>
          <w:bCs/>
          <w:lang w:val="es-CL"/>
        </w:rPr>
        <w:t>Clasificación:</w:t>
      </w:r>
      <w:r w:rsidRPr="00DD72DC">
        <w:rPr>
          <w:rFonts w:asciiTheme="minorHAnsi" w:hAnsiTheme="minorHAnsi" w:cstheme="minorHAnsi"/>
          <w:lang w:val="es-CL"/>
        </w:rPr>
        <w:t xml:space="preserve"> Confidencial</w:t>
      </w:r>
    </w:p>
    <w:p w14:paraId="6E48AE4C" w14:textId="77777777" w:rsidR="00DD72DC" w:rsidRPr="00DD72DC" w:rsidRDefault="00DD72DC" w:rsidP="00DD72DC">
      <w:pPr>
        <w:pStyle w:val="NormalWeb"/>
        <w:rPr>
          <w:rFonts w:asciiTheme="minorHAnsi" w:hAnsiTheme="minorHAnsi" w:cstheme="minorHAnsi"/>
          <w:lang w:val="es-CL"/>
        </w:rPr>
      </w:pPr>
      <w:r w:rsidRPr="00DD72DC">
        <w:rPr>
          <w:rFonts w:asciiTheme="minorHAnsi" w:hAnsiTheme="minorHAnsi" w:cstheme="minorHAnsi"/>
          <w:lang w:val="es-CL"/>
        </w:rPr>
        <w:pict w14:anchorId="3DF8ACE2">
          <v:rect id="_x0000_i1073" style="width:0;height:1.5pt" o:hrstd="t" o:hr="t" fillcolor="#a0a0a0" stroked="f"/>
        </w:pict>
      </w:r>
    </w:p>
    <w:p w14:paraId="755387D3" w14:textId="77777777" w:rsidR="00DD72DC" w:rsidRPr="00DD72DC" w:rsidRDefault="00DD72DC" w:rsidP="00DD72DC">
      <w:pPr>
        <w:pStyle w:val="NormalWeb"/>
        <w:numPr>
          <w:ilvl w:val="0"/>
          <w:numId w:val="4"/>
        </w:numPr>
        <w:rPr>
          <w:rFonts w:asciiTheme="minorHAnsi" w:hAnsiTheme="minorHAnsi" w:cstheme="minorHAnsi"/>
          <w:b/>
          <w:bCs/>
          <w:lang w:val="es-CL"/>
        </w:rPr>
      </w:pPr>
      <w:r w:rsidRPr="00DD72DC">
        <w:rPr>
          <w:rFonts w:asciiTheme="minorHAnsi" w:hAnsiTheme="minorHAnsi" w:cstheme="minorHAnsi"/>
          <w:b/>
          <w:bCs/>
          <w:lang w:val="es-CL"/>
        </w:rPr>
        <w:t>ÍNDICE</w:t>
      </w:r>
    </w:p>
    <w:p w14:paraId="208EB15A"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Introducción</w:t>
      </w:r>
      <w:r w:rsidRPr="00DD72DC">
        <w:rPr>
          <w:rFonts w:asciiTheme="minorHAnsi" w:hAnsiTheme="minorHAnsi" w:cstheme="minorHAnsi"/>
          <w:lang w:val="es-CL"/>
        </w:rPr>
        <w:br/>
        <w:t>1.1 Objetivo</w:t>
      </w:r>
      <w:r w:rsidRPr="00DD72DC">
        <w:rPr>
          <w:rFonts w:asciiTheme="minorHAnsi" w:hAnsiTheme="minorHAnsi" w:cstheme="minorHAnsi"/>
          <w:lang w:val="es-CL"/>
        </w:rPr>
        <w:br/>
        <w:t>1.2 Alcance</w:t>
      </w:r>
      <w:r w:rsidRPr="00DD72DC">
        <w:rPr>
          <w:rFonts w:asciiTheme="minorHAnsi" w:hAnsiTheme="minorHAnsi" w:cstheme="minorHAnsi"/>
          <w:lang w:val="es-CL"/>
        </w:rPr>
        <w:br/>
        <w:t>1.3 Responsabilidades</w:t>
      </w:r>
    </w:p>
    <w:p w14:paraId="1D367B60"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Metodología de Análisis de Riesgos</w:t>
      </w:r>
      <w:r w:rsidRPr="00DD72DC">
        <w:rPr>
          <w:rFonts w:asciiTheme="minorHAnsi" w:hAnsiTheme="minorHAnsi" w:cstheme="minorHAnsi"/>
          <w:lang w:val="es-CL"/>
        </w:rPr>
        <w:br/>
        <w:t>2.1 Descripción de la Metodología</w:t>
      </w:r>
      <w:r w:rsidRPr="00DD72DC">
        <w:rPr>
          <w:rFonts w:asciiTheme="minorHAnsi" w:hAnsiTheme="minorHAnsi" w:cstheme="minorHAnsi"/>
          <w:lang w:val="es-CL"/>
        </w:rPr>
        <w:br/>
        <w:t>2.2 Herramientas Utilizadas</w:t>
      </w:r>
      <w:r w:rsidRPr="00DD72DC">
        <w:rPr>
          <w:rFonts w:asciiTheme="minorHAnsi" w:hAnsiTheme="minorHAnsi" w:cstheme="minorHAnsi"/>
          <w:lang w:val="es-CL"/>
        </w:rPr>
        <w:br/>
        <w:t>2.3 Cronograma de Evaluación</w:t>
      </w:r>
    </w:p>
    <w:p w14:paraId="4E27D5C2"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Identificación de Activos y Amenazas</w:t>
      </w:r>
      <w:r w:rsidRPr="00DD72DC">
        <w:rPr>
          <w:rFonts w:asciiTheme="minorHAnsi" w:hAnsiTheme="minorHAnsi" w:cstheme="minorHAnsi"/>
          <w:lang w:val="es-CL"/>
        </w:rPr>
        <w:br/>
        <w:t>3.1 Listado de Activos</w:t>
      </w:r>
      <w:r w:rsidRPr="00DD72DC">
        <w:rPr>
          <w:rFonts w:asciiTheme="minorHAnsi" w:hAnsiTheme="minorHAnsi" w:cstheme="minorHAnsi"/>
          <w:lang w:val="es-CL"/>
        </w:rPr>
        <w:br/>
        <w:t>3.2 Amenazas Identificadas</w:t>
      </w:r>
      <w:r w:rsidRPr="00DD72DC">
        <w:rPr>
          <w:rFonts w:asciiTheme="minorHAnsi" w:hAnsiTheme="minorHAnsi" w:cstheme="minorHAnsi"/>
          <w:lang w:val="es-CL"/>
        </w:rPr>
        <w:br/>
        <w:t>3.3 Impacto Potencial</w:t>
      </w:r>
    </w:p>
    <w:p w14:paraId="6940630B"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Evaluación de Riesgos</w:t>
      </w:r>
      <w:r w:rsidRPr="00DD72DC">
        <w:rPr>
          <w:rFonts w:asciiTheme="minorHAnsi" w:hAnsiTheme="minorHAnsi" w:cstheme="minorHAnsi"/>
          <w:lang w:val="es-CL"/>
        </w:rPr>
        <w:br/>
        <w:t>4.1 Criterios de Evaluación</w:t>
      </w:r>
      <w:r w:rsidRPr="00DD72DC">
        <w:rPr>
          <w:rFonts w:asciiTheme="minorHAnsi" w:hAnsiTheme="minorHAnsi" w:cstheme="minorHAnsi"/>
          <w:lang w:val="es-CL"/>
        </w:rPr>
        <w:br/>
        <w:t>4.2 Resultados de la Evaluación</w:t>
      </w:r>
      <w:r w:rsidRPr="00DD72DC">
        <w:rPr>
          <w:rFonts w:asciiTheme="minorHAnsi" w:hAnsiTheme="minorHAnsi" w:cstheme="minorHAnsi"/>
          <w:lang w:val="es-CL"/>
        </w:rPr>
        <w:br/>
        <w:t>4.3 Análisis Cuantitativo</w:t>
      </w:r>
    </w:p>
    <w:p w14:paraId="66248897"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Tratamiento de Riesgos</w:t>
      </w:r>
      <w:r w:rsidRPr="00DD72DC">
        <w:rPr>
          <w:rFonts w:asciiTheme="minorHAnsi" w:hAnsiTheme="minorHAnsi" w:cstheme="minorHAnsi"/>
          <w:lang w:val="es-CL"/>
        </w:rPr>
        <w:br/>
        <w:t>5.1 Controles Implementados</w:t>
      </w:r>
      <w:r w:rsidRPr="00DD72DC">
        <w:rPr>
          <w:rFonts w:asciiTheme="minorHAnsi" w:hAnsiTheme="minorHAnsi" w:cstheme="minorHAnsi"/>
          <w:lang w:val="es-CL"/>
        </w:rPr>
        <w:br/>
        <w:t>5.2 Procedimientos de Mitigación</w:t>
      </w:r>
      <w:r w:rsidRPr="00DD72DC">
        <w:rPr>
          <w:rFonts w:asciiTheme="minorHAnsi" w:hAnsiTheme="minorHAnsi" w:cstheme="minorHAnsi"/>
          <w:lang w:val="es-CL"/>
        </w:rPr>
        <w:br/>
        <w:t>5.3 Revisión y Actualización</w:t>
      </w:r>
    </w:p>
    <w:p w14:paraId="229902C4"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Evidencias Visuales</w:t>
      </w:r>
      <w:r w:rsidRPr="00DD72DC">
        <w:rPr>
          <w:rFonts w:asciiTheme="minorHAnsi" w:hAnsiTheme="minorHAnsi" w:cstheme="minorHAnsi"/>
          <w:lang w:val="es-CL"/>
        </w:rPr>
        <w:br/>
        <w:t>6.1 Capturas de Matrices</w:t>
      </w:r>
      <w:r w:rsidRPr="00DD72DC">
        <w:rPr>
          <w:rFonts w:asciiTheme="minorHAnsi" w:hAnsiTheme="minorHAnsi" w:cstheme="minorHAnsi"/>
          <w:lang w:val="es-CL"/>
        </w:rPr>
        <w:br/>
        <w:t>6.2 Registros de Análisis</w:t>
      </w:r>
      <w:r w:rsidRPr="00DD72DC">
        <w:rPr>
          <w:rFonts w:asciiTheme="minorHAnsi" w:hAnsiTheme="minorHAnsi" w:cstheme="minorHAnsi"/>
          <w:lang w:val="es-CL"/>
        </w:rPr>
        <w:br/>
        <w:t>6.3 Fotografías de Seguridad</w:t>
      </w:r>
    </w:p>
    <w:p w14:paraId="630BE0FC" w14:textId="77777777" w:rsidR="00DD72DC" w:rsidRPr="00DD72DC" w:rsidRDefault="00DD72DC" w:rsidP="00DD72DC">
      <w:pPr>
        <w:pStyle w:val="NormalWeb"/>
        <w:numPr>
          <w:ilvl w:val="0"/>
          <w:numId w:val="63"/>
        </w:numPr>
        <w:rPr>
          <w:rFonts w:asciiTheme="minorHAnsi" w:hAnsiTheme="minorHAnsi" w:cstheme="minorHAnsi"/>
          <w:lang w:val="es-CL"/>
        </w:rPr>
      </w:pPr>
      <w:r w:rsidRPr="00DD72DC">
        <w:rPr>
          <w:rFonts w:asciiTheme="minorHAnsi" w:hAnsiTheme="minorHAnsi" w:cstheme="minorHAnsi"/>
          <w:lang w:val="es-CL"/>
        </w:rPr>
        <w:t>Anexo ISO 27001:2022</w:t>
      </w:r>
      <w:r w:rsidRPr="00DD72DC">
        <w:rPr>
          <w:rFonts w:asciiTheme="minorHAnsi" w:hAnsiTheme="minorHAnsi" w:cstheme="minorHAnsi"/>
          <w:lang w:val="es-CL"/>
        </w:rPr>
        <w:br/>
        <w:t>7.1 Referencias Normativas</w:t>
      </w:r>
      <w:r w:rsidRPr="00DD72DC">
        <w:rPr>
          <w:rFonts w:asciiTheme="minorHAnsi" w:hAnsiTheme="minorHAnsi" w:cstheme="minorHAnsi"/>
          <w:lang w:val="es-CL"/>
        </w:rPr>
        <w:br/>
        <w:t>7.2 Documentos Relacionados</w:t>
      </w:r>
      <w:r w:rsidRPr="00DD72DC">
        <w:rPr>
          <w:rFonts w:asciiTheme="minorHAnsi" w:hAnsiTheme="minorHAnsi" w:cstheme="minorHAnsi"/>
          <w:lang w:val="es-CL"/>
        </w:rPr>
        <w:br/>
        <w:t>7.3 Mantenimiento y Revisión</w:t>
      </w:r>
    </w:p>
    <w:p w14:paraId="59C2FDD6" w14:textId="5F534C7C" w:rsidR="00DD72DC" w:rsidRPr="00DD72DC" w:rsidRDefault="00DD72DC" w:rsidP="00DD72DC">
      <w:pPr>
        <w:pStyle w:val="NormalWeb"/>
        <w:jc w:val="both"/>
        <w:rPr>
          <w:rFonts w:asciiTheme="minorHAnsi" w:hAnsiTheme="minorHAnsi" w:cstheme="minorHAnsi"/>
          <w:lang w:val="es-CL"/>
        </w:rPr>
      </w:pPr>
    </w:p>
    <w:p w14:paraId="4C43C02C" w14:textId="77777777" w:rsidR="00DD72DC" w:rsidRPr="00DD72DC" w:rsidRDefault="00DD72DC" w:rsidP="00DD72DC">
      <w:pPr>
        <w:pStyle w:val="NormalWeb"/>
        <w:ind w:left="432"/>
        <w:jc w:val="both"/>
        <w:rPr>
          <w:rFonts w:asciiTheme="minorHAnsi" w:hAnsiTheme="minorHAnsi" w:cstheme="minorHAnsi"/>
          <w:b/>
          <w:bCs/>
          <w:lang w:val="es-CL"/>
        </w:rPr>
      </w:pPr>
    </w:p>
    <w:p w14:paraId="2890CFDD" w14:textId="6354EE38"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lastRenderedPageBreak/>
        <w:t>Introducción</w:t>
      </w:r>
    </w:p>
    <w:p w14:paraId="568311F2" w14:textId="48497A1A"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 xml:space="preserve">El análisis de riesgos en </w:t>
      </w:r>
      <w:proofErr w:type="spellStart"/>
      <w:r w:rsidR="00443ABE" w:rsidRPr="00DD72DC">
        <w:rPr>
          <w:rFonts w:asciiTheme="minorHAnsi" w:hAnsiTheme="minorHAnsi" w:cstheme="minorHAnsi"/>
          <w:lang w:val="es-CL"/>
        </w:rPr>
        <w:t>Datacenter</w:t>
      </w:r>
      <w:r w:rsidR="00443ABE">
        <w:rPr>
          <w:rFonts w:asciiTheme="minorHAnsi" w:hAnsiTheme="minorHAnsi" w:cstheme="minorHAnsi"/>
          <w:lang w:val="es-CL"/>
        </w:rPr>
        <w:t>s</w:t>
      </w:r>
      <w:proofErr w:type="spellEnd"/>
      <w:r w:rsidRPr="00DD72DC">
        <w:rPr>
          <w:rFonts w:asciiTheme="minorHAnsi" w:hAnsiTheme="minorHAnsi" w:cstheme="minorHAnsi"/>
          <w:lang w:val="es-CL"/>
        </w:rPr>
        <w:t xml:space="preserve"> es fundamental debido a la complejidad y criticidad de su infraestructura, ya que cualquier interrupción puede afectar gravemente las operaciones. Para Anaconda Web, este análisis es vital para garantizar la disponibilidad y seguridad de sus servicios digitales. La infraestructura crítica de Anaconda Web incluye servidores, redes y sistemas de almacenamiento, cuya protección es esencial para mantener la confianza de clientes y socios. Un análisis exhaustivo permite identificar vulnerabilidades y planificar medidas de mitigación. Este informe destaca los beneficios específicos para Anaconda Web, como la reducción de incidentes, optimización de recursos y cumplimiento normativo, proporcionando una ventaja competitiva. Además, se presenta el contexto detallado de la infraestructura del </w:t>
      </w:r>
      <w:r w:rsidR="00443ABE" w:rsidRPr="00DD72DC">
        <w:rPr>
          <w:rFonts w:asciiTheme="minorHAnsi" w:hAnsiTheme="minorHAnsi" w:cstheme="minorHAnsi"/>
          <w:lang w:val="es-CL"/>
        </w:rPr>
        <w:t>Datacenter</w:t>
      </w:r>
      <w:r w:rsidRPr="00DD72DC">
        <w:rPr>
          <w:rFonts w:asciiTheme="minorHAnsi" w:hAnsiTheme="minorHAnsi" w:cstheme="minorHAnsi"/>
          <w:lang w:val="es-CL"/>
        </w:rPr>
        <w:t>, abordando sus activos, procesos y controles implementados, asegurando una visión integral de la gestión de riesgos.</w:t>
      </w:r>
    </w:p>
    <w:p w14:paraId="7D5467BF"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Objetivo:</w:t>
      </w:r>
      <w:r w:rsidRPr="00DD72DC">
        <w:rPr>
          <w:rFonts w:asciiTheme="minorHAnsi" w:hAnsiTheme="minorHAnsi" w:cstheme="minorHAnsi"/>
          <w:lang w:val="es-CL"/>
        </w:rPr>
        <w:t xml:space="preserve"> Este análisis tiene como objetivo identificar, evaluar y mitigar riesgos, asegurando la confidencialidad, integridad y disponibilidad de la información. Además, busca fortalecer la resiliencia operativa y reducir vulnerabilidades mediante controles efectivos.</w:t>
      </w:r>
    </w:p>
    <w:p w14:paraId="2A1D0DBD" w14:textId="67775B6B"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 xml:space="preserve">El análisis también apunta a mejorar la gestión de riesgos en el </w:t>
      </w:r>
      <w:r w:rsidR="00443ABE" w:rsidRPr="00DD72DC">
        <w:rPr>
          <w:rFonts w:asciiTheme="minorHAnsi" w:hAnsiTheme="minorHAnsi" w:cstheme="minorHAnsi"/>
          <w:lang w:val="es-CL"/>
        </w:rPr>
        <w:t>Datacenter</w:t>
      </w:r>
      <w:r w:rsidRPr="00DD72DC">
        <w:rPr>
          <w:rFonts w:asciiTheme="minorHAnsi" w:hAnsiTheme="minorHAnsi" w:cstheme="minorHAnsi"/>
          <w:lang w:val="es-CL"/>
        </w:rPr>
        <w:t>, optimizando la asignación de recursos y priorizando riesgos críticos. Se ha diseñado para cumplir con ISO 27001:2022, proporcionando un marco claro de actuación.</w:t>
      </w:r>
    </w:p>
    <w:p w14:paraId="37A4CF2C"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Alcance:</w:t>
      </w:r>
      <w:r w:rsidRPr="00DD72DC">
        <w:rPr>
          <w:rFonts w:asciiTheme="minorHAnsi" w:hAnsiTheme="minorHAnsi" w:cstheme="minorHAnsi"/>
          <w:lang w:val="es-CL"/>
        </w:rPr>
        <w:t xml:space="preserve"> Este análisis cubre hardware como servidores, </w:t>
      </w:r>
      <w:proofErr w:type="spellStart"/>
      <w:r w:rsidRPr="00DD72DC">
        <w:rPr>
          <w:rFonts w:asciiTheme="minorHAnsi" w:hAnsiTheme="minorHAnsi" w:cstheme="minorHAnsi"/>
          <w:lang w:val="es-CL"/>
        </w:rPr>
        <w:t>routers</w:t>
      </w:r>
      <w:proofErr w:type="spellEnd"/>
      <w:r w:rsidRPr="00DD72DC">
        <w:rPr>
          <w:rFonts w:asciiTheme="minorHAnsi" w:hAnsiTheme="minorHAnsi" w:cstheme="minorHAnsi"/>
          <w:lang w:val="es-CL"/>
        </w:rPr>
        <w:t>, sistemas de respaldo, dispositivos de red y software crítico, aplicando los estándares de ISO 27001:2022. También incluye procesos en áreas clave como Sistemas/Datacenter, Ventas, Soporte y Desarrollo Web. Se evaluaron escenarios internos y externos, como ciberataques, fallas técnicas y errores humanos. Este alcance garantiza la protección integral de activos críticos y la continuidad operativa, manteniendo la confianza de clientes y socios, y se alinea con las expectativas y requisitos de la norma ISO 27001:2022.</w:t>
      </w:r>
    </w:p>
    <w:p w14:paraId="48AC97B6" w14:textId="012E6388"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Responsabilidades:</w:t>
      </w:r>
      <w:r w:rsidRPr="00DD72DC">
        <w:rPr>
          <w:rFonts w:asciiTheme="minorHAnsi" w:hAnsiTheme="minorHAnsi" w:cstheme="minorHAnsi"/>
          <w:lang w:val="es-CL"/>
        </w:rPr>
        <w:t xml:space="preserve"> El equipo de SGSI lidera este proceso, coordinando evaluaciones de riesgos, implementación de controles y auditorías periódicas. Además, gestionan la capacitación continua y supervisan el mantenimiento de políticas de seguridad. TI y operaciones colaboran en la gestión de activos, monitoreo de sistemas y respuesta a incidentes, garantizando la protección del </w:t>
      </w:r>
      <w:r w:rsidR="00443ABE" w:rsidRPr="00DD72DC">
        <w:rPr>
          <w:rFonts w:asciiTheme="minorHAnsi" w:hAnsiTheme="minorHAnsi" w:cstheme="minorHAnsi"/>
          <w:lang w:val="es-CL"/>
        </w:rPr>
        <w:t>Datacenter</w:t>
      </w:r>
      <w:r w:rsidRPr="00DD72DC">
        <w:rPr>
          <w:rFonts w:asciiTheme="minorHAnsi" w:hAnsiTheme="minorHAnsi" w:cstheme="minorHAnsi"/>
          <w:lang w:val="es-CL"/>
        </w:rPr>
        <w:t>. Auditorex Chile supervisa, valida los resultados y asegura que cada fase cumpla con los requisitos de ISO 27001, participando en auditorías externas, revisiones de cumplimiento y mejora continua.</w:t>
      </w:r>
    </w:p>
    <w:p w14:paraId="115C5AAE" w14:textId="77777777"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Metodología de Análisis de Riesgos</w:t>
      </w:r>
    </w:p>
    <w:p w14:paraId="1F0F783D"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 xml:space="preserve">Este apartado incluye un análisis detallado del contexto normativo de ISO 27001:2022, explicando su importancia en la gestión de riesgos de Anaconda Web. Además, describe paso a paso la aplicación de la metodología IPERC, desde la identificación de riesgos hasta la implementación de controles. También se detalla la colaboración entre SGSI, TI y operaciones, </w:t>
      </w:r>
      <w:r w:rsidRPr="00DD72DC">
        <w:rPr>
          <w:rFonts w:asciiTheme="minorHAnsi" w:hAnsiTheme="minorHAnsi" w:cstheme="minorHAnsi"/>
          <w:lang w:val="es-CL"/>
        </w:rPr>
        <w:lastRenderedPageBreak/>
        <w:t>garantizando un enfoque integral. Finalmente, se abordan las revisiones periódicas y auditorías que aseguran la mejora continua, cumpliendo con los estándares de certificación.</w:t>
      </w:r>
    </w:p>
    <w:p w14:paraId="2F848A63" w14:textId="5415D5FA"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Descripción de la Metodología:</w:t>
      </w:r>
      <w:r w:rsidRPr="00DD72DC">
        <w:rPr>
          <w:rFonts w:asciiTheme="minorHAnsi" w:hAnsiTheme="minorHAnsi" w:cstheme="minorHAnsi"/>
          <w:lang w:val="es-CL"/>
        </w:rPr>
        <w:t xml:space="preserve"> Se utilizó IPERC, adaptada al entorno del </w:t>
      </w:r>
      <w:r w:rsidR="00443ABE" w:rsidRPr="00DD72DC">
        <w:rPr>
          <w:rFonts w:asciiTheme="minorHAnsi" w:hAnsiTheme="minorHAnsi" w:cstheme="minorHAnsi"/>
          <w:lang w:val="es-CL"/>
        </w:rPr>
        <w:t>Datacenter</w:t>
      </w:r>
      <w:r w:rsidRPr="00DD72DC">
        <w:rPr>
          <w:rFonts w:asciiTheme="minorHAnsi" w:hAnsiTheme="minorHAnsi" w:cstheme="minorHAnsi"/>
          <w:lang w:val="es-CL"/>
        </w:rPr>
        <w:t>, evaluando riesgos técnicos, físicos y humanos. Además, se incorporó un análisis detallado del contexto normativo de ISO 27001, explicando su importancia en la gestión de riesgos de Anaconda Web. Se detalló paso a paso la aplicación de la metodología IPERC, desde la identificación de riesgos hasta la implementación de controles, incluyendo reuniones interdepartamentales y colaboración entre SGSI, TI y operaciones, garantizando un enfoque integral. Finalmente, se abordaron revisiones periódicas y auditorías para asegurar la mejora continua, cumpliendo con los estándares de certificación ISO 27001.</w:t>
      </w:r>
    </w:p>
    <w:p w14:paraId="0ABDC3B9" w14:textId="66AA9286"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Herramientas Utilizadas:</w:t>
      </w:r>
      <w:r w:rsidRPr="00DD72DC">
        <w:rPr>
          <w:rFonts w:asciiTheme="minorHAnsi" w:hAnsiTheme="minorHAnsi" w:cstheme="minorHAnsi"/>
          <w:lang w:val="es-CL"/>
        </w:rPr>
        <w:t xml:space="preserve"> Se incluyen GLPI, Nessus, </w:t>
      </w:r>
      <w:proofErr w:type="spellStart"/>
      <w:r w:rsidRPr="00DD72DC">
        <w:rPr>
          <w:rFonts w:asciiTheme="minorHAnsi" w:hAnsiTheme="minorHAnsi" w:cstheme="minorHAnsi"/>
          <w:lang w:val="es-CL"/>
        </w:rPr>
        <w:t>OpenVAS</w:t>
      </w:r>
      <w:proofErr w:type="spellEnd"/>
      <w:r w:rsidRPr="00DD72DC">
        <w:rPr>
          <w:rFonts w:asciiTheme="minorHAnsi" w:hAnsiTheme="minorHAnsi" w:cstheme="minorHAnsi"/>
          <w:lang w:val="es-CL"/>
        </w:rPr>
        <w:t xml:space="preserve"> y matrices de Excel para clasificación y seguimiento. GLPI se utiliza para la gestión de activos y </w:t>
      </w:r>
      <w:proofErr w:type="gramStart"/>
      <w:r w:rsidRPr="00DD72DC">
        <w:rPr>
          <w:rFonts w:asciiTheme="minorHAnsi" w:hAnsiTheme="minorHAnsi" w:cstheme="minorHAnsi"/>
          <w:lang w:val="es-CL"/>
        </w:rPr>
        <w:t>tickets</w:t>
      </w:r>
      <w:proofErr w:type="gramEnd"/>
      <w:r w:rsidRPr="00DD72DC">
        <w:rPr>
          <w:rFonts w:asciiTheme="minorHAnsi" w:hAnsiTheme="minorHAnsi" w:cstheme="minorHAnsi"/>
          <w:lang w:val="es-CL"/>
        </w:rPr>
        <w:t xml:space="preserve">, documentando cada riesgo identificado. Nessus permite escaneos detallados de vulnerabilidades con informes precisos. </w:t>
      </w:r>
      <w:proofErr w:type="spellStart"/>
      <w:r w:rsidRPr="00DD72DC">
        <w:rPr>
          <w:rFonts w:asciiTheme="minorHAnsi" w:hAnsiTheme="minorHAnsi" w:cstheme="minorHAnsi"/>
          <w:lang w:val="es-CL"/>
        </w:rPr>
        <w:t>OpenVAS</w:t>
      </w:r>
      <w:proofErr w:type="spellEnd"/>
      <w:r w:rsidRPr="00DD72DC">
        <w:rPr>
          <w:rFonts w:asciiTheme="minorHAnsi" w:hAnsiTheme="minorHAnsi" w:cstheme="minorHAnsi"/>
          <w:lang w:val="es-CL"/>
        </w:rPr>
        <w:t xml:space="preserve"> complementa la detección de amenazas, con un enfoque en análisis continuo. Las matrices de Excel permiten clasificar riesgos, asignar responsables y generar reportes automatizados, integrando datos de escaneos y revisiones periódicas. Este conjunto de herramientas facilita una gestión proactiva de riesgos, documentando, analizando y mitigando amenazas de manera eficiente en el </w:t>
      </w:r>
      <w:r w:rsidR="00443ABE" w:rsidRPr="00DD72DC">
        <w:rPr>
          <w:rFonts w:asciiTheme="minorHAnsi" w:hAnsiTheme="minorHAnsi" w:cstheme="minorHAnsi"/>
          <w:lang w:val="es-CL"/>
        </w:rPr>
        <w:t>Datacenter</w:t>
      </w:r>
      <w:r w:rsidRPr="00DD72DC">
        <w:rPr>
          <w:rFonts w:asciiTheme="minorHAnsi" w:hAnsiTheme="minorHAnsi" w:cstheme="minorHAnsi"/>
          <w:lang w:val="es-CL"/>
        </w:rPr>
        <w:t xml:space="preserve"> de Anaconda Web, cumpliendo con ISO 27001.</w:t>
      </w:r>
    </w:p>
    <w:p w14:paraId="7BBF9A2B" w14:textId="3414C95B"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Cronograma de Evaluación:</w:t>
      </w:r>
      <w:r w:rsidRPr="00DD72DC">
        <w:rPr>
          <w:rFonts w:asciiTheme="minorHAnsi" w:hAnsiTheme="minorHAnsi" w:cstheme="minorHAnsi"/>
          <w:lang w:val="es-CL"/>
        </w:rPr>
        <w:t xml:space="preserve"> El análisis se realizó trimestralmente, con revisiones mensuales de incidentes. Este cronograma detallado incluyó reuniones programadas entre SGSI, TI y operaciones para revisar hallazgos y ajustar controles. Se documentaron fechas exactas de cada evaluación, responsables asignados y resultados obtenidos. Además, se definieron auditorías internas bianuales y revisiones ad-hoc tras incidentes críticos, asegurando un seguimiento continuo y mejora permanente, cumpliendo con los requisitos de ISO 27001.</w:t>
      </w:r>
    </w:p>
    <w:p w14:paraId="29A74874" w14:textId="77777777"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Identificación de Activos y Amenazas</w:t>
      </w:r>
    </w:p>
    <w:p w14:paraId="11936089" w14:textId="31C6AE85"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Listado de Activos:</w:t>
      </w:r>
      <w:r w:rsidRPr="00DD72DC">
        <w:rPr>
          <w:rFonts w:asciiTheme="minorHAnsi" w:hAnsiTheme="minorHAnsi" w:cstheme="minorHAnsi"/>
          <w:lang w:val="es-CL"/>
        </w:rPr>
        <w:t xml:space="preserve"> Servidores Dell, firewalls Cisco, almacenamiento NetApp, cableado Cat6, software </w:t>
      </w:r>
      <w:proofErr w:type="spellStart"/>
      <w:r w:rsidRPr="00DD72DC">
        <w:rPr>
          <w:rFonts w:asciiTheme="minorHAnsi" w:hAnsiTheme="minorHAnsi" w:cstheme="minorHAnsi"/>
          <w:lang w:val="es-CL"/>
        </w:rPr>
        <w:t>VMWare</w:t>
      </w:r>
      <w:proofErr w:type="spellEnd"/>
      <w:r w:rsidRPr="00DD72DC">
        <w:rPr>
          <w:rFonts w:asciiTheme="minorHAnsi" w:hAnsiTheme="minorHAnsi" w:cstheme="minorHAnsi"/>
          <w:lang w:val="es-CL"/>
        </w:rPr>
        <w:t xml:space="preserve">, sistemas de alimentación ininterrumpida (SAI), soluciones de virtualización, herramientas de monitoreo, bases de datos críticas y dispositivos de seguridad, todos documentados con detalles técnicos, responsables asignados, ubicaciones exactas en el </w:t>
      </w:r>
      <w:r w:rsidR="00443ABE" w:rsidRPr="00DD72DC">
        <w:rPr>
          <w:rFonts w:asciiTheme="minorHAnsi" w:hAnsiTheme="minorHAnsi" w:cstheme="minorHAnsi"/>
          <w:lang w:val="es-CL"/>
        </w:rPr>
        <w:t>Datacenter</w:t>
      </w:r>
      <w:r w:rsidRPr="00DD72DC">
        <w:rPr>
          <w:rFonts w:asciiTheme="minorHAnsi" w:hAnsiTheme="minorHAnsi" w:cstheme="minorHAnsi"/>
          <w:lang w:val="es-CL"/>
        </w:rPr>
        <w:t xml:space="preserve"> y registros de mantenimiento, cumpliendo con ISO 27001:2022.</w:t>
      </w:r>
    </w:p>
    <w:p w14:paraId="5DEB2BCE"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lang w:val="es-CL"/>
        </w:rPr>
        <w:t>Amenazas Identificadas:</w:t>
      </w:r>
      <w:r w:rsidRPr="00DD72DC">
        <w:rPr>
          <w:rFonts w:asciiTheme="minorHAnsi" w:hAnsiTheme="minorHAnsi" w:cstheme="minorHAnsi"/>
          <w:lang w:val="es-CL"/>
        </w:rPr>
        <w:t xml:space="preserve"> Ciberataques (como ransomware, </w:t>
      </w:r>
      <w:proofErr w:type="spellStart"/>
      <w:r w:rsidRPr="00DD72DC">
        <w:rPr>
          <w:rFonts w:asciiTheme="minorHAnsi" w:hAnsiTheme="minorHAnsi" w:cstheme="minorHAnsi"/>
          <w:lang w:val="es-CL"/>
        </w:rPr>
        <w:t>DDoS</w:t>
      </w:r>
      <w:proofErr w:type="spellEnd"/>
      <w:r w:rsidRPr="00DD72DC">
        <w:rPr>
          <w:rFonts w:asciiTheme="minorHAnsi" w:hAnsiTheme="minorHAnsi" w:cstheme="minorHAnsi"/>
          <w:lang w:val="es-CL"/>
        </w:rPr>
        <w:t xml:space="preserve"> y phishing dirigidos), fallas de energía por cortes o fallos de SAI, errores humanos en configuraciones o manejo de datos, desastres naturales como terremotos, inundaciones o incendios, y amenazas internas como accesos no autorizados o sabotaje, todas documentadas con evaluaciones de impacto, frecuencia y controles mitigadores implementados, cumpliendo con ISO 27001:2022.</w:t>
      </w:r>
    </w:p>
    <w:p w14:paraId="45D6B301" w14:textId="79749C1C"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Impacto Potencial:</w:t>
      </w:r>
      <w:r w:rsidRPr="00DD72DC">
        <w:rPr>
          <w:rFonts w:asciiTheme="minorHAnsi" w:hAnsiTheme="minorHAnsi" w:cstheme="minorHAnsi"/>
          <w:lang w:val="es-CL"/>
        </w:rPr>
        <w:t xml:space="preserve"> Pérdida de datos, interrupción de servicios, daños financieros, pérdida de confianza de clientes, incumplimiento de normativas, sanciones legales, deterioro de la </w:t>
      </w:r>
      <w:r w:rsidRPr="00DD72DC">
        <w:rPr>
          <w:rFonts w:asciiTheme="minorHAnsi" w:hAnsiTheme="minorHAnsi" w:cstheme="minorHAnsi"/>
          <w:lang w:val="es-CL"/>
        </w:rPr>
        <w:lastRenderedPageBreak/>
        <w:t xml:space="preserve">imagen corporativa, y afectación grave a la continuidad operativa del </w:t>
      </w:r>
      <w:r w:rsidRPr="00DD72DC">
        <w:rPr>
          <w:rFonts w:asciiTheme="minorHAnsi" w:hAnsiTheme="minorHAnsi" w:cstheme="minorHAnsi"/>
          <w:lang w:val="es-CL"/>
        </w:rPr>
        <w:t>Datacenter</w:t>
      </w:r>
      <w:r w:rsidRPr="00DD72DC">
        <w:rPr>
          <w:rFonts w:asciiTheme="minorHAnsi" w:hAnsiTheme="minorHAnsi" w:cstheme="minorHAnsi"/>
          <w:lang w:val="es-CL"/>
        </w:rPr>
        <w:t xml:space="preserve"> de Anaconda Web, con análisis detallado de consecuencias y medidas mitigadoras implementadas, cumpliendo con ISO 27001:2022.</w:t>
      </w:r>
    </w:p>
    <w:p w14:paraId="3EF1CE00" w14:textId="666EDB0F"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Evaluación de Riesgos</w:t>
      </w:r>
    </w:p>
    <w:p w14:paraId="5D78AFB0"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Se detalla el uso de herramientas como GLPI y Nessus para evaluar riesgos, analizando vulnerabilidades y generando reportes detallados. También se describen metodologías de cálculo, asignando valores a probabilidad, impacto y vulnerabilidad. La validación de resultados incluye auditorías internas y revisiones cruzadas entre SGSI y TI. Finalmente, se detallan las revisiones periódicas realizadas trimestralmente, con seguimiento de mejoras, cumpliendo con ISO 27001.</w:t>
      </w:r>
    </w:p>
    <w:p w14:paraId="79F8DD08" w14:textId="539270DD"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Criterios de Evaluación:</w:t>
      </w:r>
      <w:r w:rsidRPr="00DD72DC">
        <w:rPr>
          <w:rFonts w:asciiTheme="minorHAnsi" w:hAnsiTheme="minorHAnsi" w:cstheme="minorHAnsi"/>
          <w:lang w:val="es-CL"/>
        </w:rPr>
        <w:t xml:space="preserve"> Se consideró la probabilidad, impacto, vulnerabilidad y costo de mitigación. Además, se utilizó un sistema de puntuación detallado para cada criterio, asignando valores numéricos que permitieron un análisis cuantitativo preciso. Las herramientas empleadas incluyeron GLPI y Nessus para generar reportes automatizados y comparar riesgos históricos. También se establecieron revisiones periódicas de los criterios, con auditorías trimestrales para validar y actualizar los parámetros, asegurando que cada evaluación refleje las condiciones reales del </w:t>
      </w:r>
      <w:r w:rsidRPr="00DD72DC">
        <w:rPr>
          <w:rFonts w:asciiTheme="minorHAnsi" w:hAnsiTheme="minorHAnsi" w:cstheme="minorHAnsi"/>
          <w:lang w:val="es-CL"/>
        </w:rPr>
        <w:t>Datacenter</w:t>
      </w:r>
      <w:r w:rsidRPr="00DD72DC">
        <w:rPr>
          <w:rFonts w:asciiTheme="minorHAnsi" w:hAnsiTheme="minorHAnsi" w:cstheme="minorHAnsi"/>
          <w:lang w:val="es-CL"/>
        </w:rPr>
        <w:t xml:space="preserve"> de Anaconda Web y cumpla con ISO 27001:2022.</w:t>
      </w:r>
    </w:p>
    <w:p w14:paraId="5B4483E6" w14:textId="1BF61A7E"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Resultados de la Evaluación:</w:t>
      </w:r>
      <w:r w:rsidRPr="00DD72DC">
        <w:rPr>
          <w:rFonts w:asciiTheme="minorHAnsi" w:hAnsiTheme="minorHAnsi" w:cstheme="minorHAnsi"/>
          <w:lang w:val="es-CL"/>
        </w:rPr>
        <w:t xml:space="preserve"> Los riesgos de ciberataques y fallas de hardware fueron clasificados como ALTO debido a su alta probabilidad e impacto significativo en las operaciones del </w:t>
      </w:r>
      <w:r w:rsidRPr="00DD72DC">
        <w:rPr>
          <w:rFonts w:asciiTheme="minorHAnsi" w:hAnsiTheme="minorHAnsi" w:cstheme="minorHAnsi"/>
          <w:lang w:val="es-CL"/>
        </w:rPr>
        <w:t>Datacenter</w:t>
      </w:r>
      <w:r w:rsidRPr="00DD72DC">
        <w:rPr>
          <w:rFonts w:asciiTheme="minorHAnsi" w:hAnsiTheme="minorHAnsi" w:cstheme="minorHAnsi"/>
          <w:lang w:val="es-CL"/>
        </w:rPr>
        <w:t>, considerando factores como el historial de incidentes, la exposición a amenazas externas y la criticidad de los activos afectados. Los riesgos humanos, como errores operativos, y los riesgos naturales, como fallas eléctricas o desastres, fueron clasificados como MEDIOS, teniendo en cuenta las medidas preventivas existentes, los procedimientos de mitigación implementados y la frecuencia histórica de ocurrencia. Además, se documentaron escenarios simulados, evaluaciones de vulnerabilidades y análisis cuantitativos que justifican estas clasificaciones, cumpliendo con los lineamientos de ISO 27001:2022.</w:t>
      </w:r>
    </w:p>
    <w:p w14:paraId="6E850277"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Análisis Cuantitativo:</w:t>
      </w:r>
      <w:r w:rsidRPr="00DD72DC">
        <w:rPr>
          <w:rFonts w:asciiTheme="minorHAnsi" w:hAnsiTheme="minorHAnsi" w:cstheme="minorHAnsi"/>
          <w:lang w:val="es-CL"/>
        </w:rPr>
        <w:t xml:space="preserve"> Se realizó una asignación numérica detallada a cada riesgo considerando factores como probabilidad, impacto y vulnerabilidad, utilizando herramientas especializadas como GLPI y Nessus. Además, se implementó un sistema de ponderación para priorizar acciones, asignando valores altos a riesgos críticos y documentando cada paso. También se realizaron simulaciones de escenarios y análisis estadísticos para validar los resultados. Finalmente, se establecieron revisiones periódicas de los análisis cuantitativos, asegurando la actualización constante de los datos y la alineación con ISO 27001:2022.</w:t>
      </w:r>
    </w:p>
    <w:p w14:paraId="7FD48746" w14:textId="77777777"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Tratamiento de Riesgos</w:t>
      </w:r>
    </w:p>
    <w:p w14:paraId="175673F4"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 xml:space="preserve">Se incluye un párrafo sobre la priorización de controles, describiendo cómo se identificaron y priorizaron los controles más críticos, como firewalls y cifrado, según su impacto y </w:t>
      </w:r>
      <w:r w:rsidRPr="00DD72DC">
        <w:rPr>
          <w:rFonts w:asciiTheme="minorHAnsi" w:hAnsiTheme="minorHAnsi" w:cstheme="minorHAnsi"/>
          <w:lang w:val="es-CL"/>
        </w:rPr>
        <w:lastRenderedPageBreak/>
        <w:t>probabilidad. Otro párrafo detalla la capacitación al personal, abordando sesiones realizadas, temarios y evaluaciones para fortalecer la cultura de seguridad. También se explica la realización de pruebas de efectividad, incluyendo simulacros y auditorías de controles implementados. Finalmente, se describen los planes de mejora continua, como revisiones periódicas, actualización de políticas y adopción de nuevas tecnologías para mitigar riesgos de manera proactiva.</w:t>
      </w:r>
    </w:p>
    <w:p w14:paraId="6AAB244A" w14:textId="44F1E692"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Controles Implementados:</w:t>
      </w:r>
      <w:r w:rsidRPr="00DD72DC">
        <w:rPr>
          <w:rFonts w:asciiTheme="minorHAnsi" w:hAnsiTheme="minorHAnsi" w:cstheme="minorHAnsi"/>
          <w:lang w:val="es-CL"/>
        </w:rPr>
        <w:t xml:space="preserve"> Firewalls avanzados con monitoreo continuo, </w:t>
      </w:r>
      <w:r w:rsidRPr="00DD72DC">
        <w:rPr>
          <w:rFonts w:asciiTheme="minorHAnsi" w:hAnsiTheme="minorHAnsi" w:cstheme="minorHAnsi"/>
          <w:lang w:val="es-CL"/>
        </w:rPr>
        <w:t>Backu</w:t>
      </w:r>
      <w:r>
        <w:rPr>
          <w:rFonts w:asciiTheme="minorHAnsi" w:hAnsiTheme="minorHAnsi" w:cstheme="minorHAnsi"/>
          <w:lang w:val="es-CL"/>
        </w:rPr>
        <w:t>ps</w:t>
      </w:r>
      <w:r w:rsidRPr="00DD72DC">
        <w:rPr>
          <w:rFonts w:asciiTheme="minorHAnsi" w:hAnsiTheme="minorHAnsi" w:cstheme="minorHAnsi"/>
          <w:lang w:val="es-CL"/>
        </w:rPr>
        <w:t xml:space="preserve"> diarios en múltiples ubicaciones, monitoreo 24/7 con alertas automáticas, y capacitaciones periódicas con simulacros de incidentes, documentación detallada de procedimientos, implementación de controles de acceso físicos y lógicos, auditorías internas frecuentes y revisión continua de configuraciones de seguridad, todo cumpliendo con ISO 27001:2022.</w:t>
      </w:r>
    </w:p>
    <w:p w14:paraId="429C241E"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Procedimientos de Mitigación:</w:t>
      </w:r>
      <w:r w:rsidRPr="00DD72DC">
        <w:rPr>
          <w:rFonts w:asciiTheme="minorHAnsi" w:hAnsiTheme="minorHAnsi" w:cstheme="minorHAnsi"/>
          <w:lang w:val="es-CL"/>
        </w:rPr>
        <w:t xml:space="preserve"> Se incluyen procedimientos detallados como la actualización de políticas de seguridad adaptadas al entorno cambiante de amenazas, implementación de IDS de última generación con monitoreo en tiempo real, auditorías internas exhaustivas con registros documentados, capacitación continua al personal en respuesta a incidentes, pruebas periódicas de efectividad de los controles y mejoras constantes basadas en análisis de riesgos y lecciones aprendidas, cumpliendo estrictamente con ISO 27001:2022.</w:t>
      </w:r>
    </w:p>
    <w:p w14:paraId="7B2268B0"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Revisión y Actualización:</w:t>
      </w:r>
      <w:r w:rsidRPr="00DD72DC">
        <w:rPr>
          <w:rFonts w:asciiTheme="minorHAnsi" w:hAnsiTheme="minorHAnsi" w:cstheme="minorHAnsi"/>
          <w:lang w:val="es-CL"/>
        </w:rPr>
        <w:t xml:space="preserve"> La verificación trimestral de controles incluye revisiones exhaustivas de cada control implementado, análisis de su efectividad y documentación detallada de los hallazgos. Además, se realizan ajustes tras auditorías basados en recomendaciones específicas, actualizando políticas, procedimientos y tecnologías utilizadas. Se incluye un cronograma detallado de revisiones, responsables asignados y registros de cada actualización, asegurando un seguimiento continuo y cumpliendo con ISO 27001:2022.</w:t>
      </w:r>
    </w:p>
    <w:p w14:paraId="7D4C202B" w14:textId="77777777"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Evidencias Visuales</w:t>
      </w:r>
    </w:p>
    <w:p w14:paraId="6C7B186A" w14:textId="4154A56E"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 xml:space="preserve">Los procesos de captura de evidencias incluyen la recopilación de capturas de pantalla de sistemas, registros de auditoría y configuraciones, asegurando que cada evidencia sea clara, completa y relevante para los riesgos analizados. El almacenamiento seguro de evidencias se realiza en servidores protegidos, con copias de respaldo cifradas y accesos restringidos, garantizando integridad y disponibilidad según ISO 27001. La validación de evidencias incluye revisiones por el equipo de SGSI y TI, verificando autenticidad, exactitud y trazabilidad mediante firmas digitales y registros de verificación. Las auditorías visuales se realizan trimestralmente, inspeccionando físicamente el </w:t>
      </w:r>
      <w:r w:rsidR="00443ABE" w:rsidRPr="00DD72DC">
        <w:rPr>
          <w:rFonts w:asciiTheme="minorHAnsi" w:hAnsiTheme="minorHAnsi" w:cstheme="minorHAnsi"/>
          <w:lang w:val="es-CL"/>
        </w:rPr>
        <w:t>Datacenter</w:t>
      </w:r>
      <w:r w:rsidRPr="00DD72DC">
        <w:rPr>
          <w:rFonts w:asciiTheme="minorHAnsi" w:hAnsiTheme="minorHAnsi" w:cstheme="minorHAnsi"/>
          <w:lang w:val="es-CL"/>
        </w:rPr>
        <w:t>, revisando registros y documentando hallazgos con fotografías y videos, asegurando conformidad con las políticas de Anaconda Web y la norma ISO 27001:2022.</w:t>
      </w:r>
    </w:p>
    <w:p w14:paraId="49649205"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Capturas de Matrices:</w:t>
      </w:r>
      <w:r w:rsidRPr="00DD72DC">
        <w:rPr>
          <w:rFonts w:asciiTheme="minorHAnsi" w:hAnsiTheme="minorHAnsi" w:cstheme="minorHAnsi"/>
          <w:lang w:val="es-CL"/>
        </w:rPr>
        <w:t xml:space="preserve"> IPERC actualizadas y validadas. Se incluyen detalles sobre las versiones de las matrices, fechas de actualización, responsables de su revisión y cambios realizados. Además, se describen los procesos de verificación de cada matriz, garantizando precisión y cumplimiento con ISO 27001. También se documentan los procedimientos de almacenamiento y protección de estas matrices, asegurando su integridad y disponibilidad, </w:t>
      </w:r>
      <w:r w:rsidRPr="00DD72DC">
        <w:rPr>
          <w:rFonts w:asciiTheme="minorHAnsi" w:hAnsiTheme="minorHAnsi" w:cstheme="minorHAnsi"/>
          <w:lang w:val="es-CL"/>
        </w:rPr>
        <w:lastRenderedPageBreak/>
        <w:t>con registros de acceso y copias de respaldo cifradas. Finalmente, se presentan evidencias de auditorías que validan las actualizaciones, con reportes detallados y observaciones de los auditores.</w:t>
      </w:r>
    </w:p>
    <w:p w14:paraId="324298DE"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Registros de Análisis:</w:t>
      </w:r>
      <w:r w:rsidRPr="00DD72DC">
        <w:rPr>
          <w:rFonts w:asciiTheme="minorHAnsi" w:hAnsiTheme="minorHAnsi" w:cstheme="minorHAnsi"/>
          <w:lang w:val="es-CL"/>
        </w:rPr>
        <w:t xml:space="preserve"> Informes de riesgos archivados. Se detallan los informes con fechas de emisión, responsables, riesgos identificados y acciones realizadas. Además, se documentan los procesos de revisión y auditoría de estos registros, garantizando trazabilidad, integridad y cumplimiento con ISO 27001:2022. Se incluyen registros de análisis cuantitativos, evaluaciones de impacto y revisiones periódicas, todo almacenado de manera segura y actualizado regularmente.</w:t>
      </w:r>
    </w:p>
    <w:p w14:paraId="3FEF4854" w14:textId="025633E8"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Fotografías de Seguridad:</w:t>
      </w:r>
      <w:r w:rsidRPr="00DD72DC">
        <w:rPr>
          <w:rFonts w:asciiTheme="minorHAnsi" w:hAnsiTheme="minorHAnsi" w:cstheme="minorHAnsi"/>
          <w:lang w:val="es-CL"/>
        </w:rPr>
        <w:t xml:space="preserve"> Instalaciones del </w:t>
      </w:r>
      <w:r w:rsidR="00443ABE" w:rsidRPr="00DD72DC">
        <w:rPr>
          <w:rFonts w:asciiTheme="minorHAnsi" w:hAnsiTheme="minorHAnsi" w:cstheme="minorHAnsi"/>
          <w:lang w:val="es-CL"/>
        </w:rPr>
        <w:t>Datacenter</w:t>
      </w:r>
      <w:r w:rsidRPr="00DD72DC">
        <w:rPr>
          <w:rFonts w:asciiTheme="minorHAnsi" w:hAnsiTheme="minorHAnsi" w:cstheme="minorHAnsi"/>
          <w:lang w:val="es-CL"/>
        </w:rPr>
        <w:t>, sistemas de monitoreo y control de accesos. Se incluyen imágenes detalladas de las salas de servidores, racks de equipos, sistemas de refrigeración, y medidas de seguridad física como cerraduras biométricas y cámaras CCTV. Además, se documentan las configuraciones de sistemas de monitoreo, registros de accesos y alertas. También se presentan capturas de los sistemas de control, incluyendo interfaces de software de vigilancia y registros de auditorías visuales trimestrales, cumpliendo con ISO 27001:2022.</w:t>
      </w:r>
    </w:p>
    <w:p w14:paraId="49E090AF" w14:textId="77777777" w:rsidR="00DD72DC" w:rsidRPr="00DD72DC" w:rsidRDefault="00DD72DC" w:rsidP="00DD72DC">
      <w:pPr>
        <w:pStyle w:val="NormalWeb"/>
        <w:ind w:left="432"/>
        <w:jc w:val="both"/>
        <w:rPr>
          <w:rFonts w:asciiTheme="minorHAnsi" w:hAnsiTheme="minorHAnsi" w:cstheme="minorHAnsi"/>
          <w:b/>
          <w:bCs/>
          <w:lang w:val="es-CL"/>
        </w:rPr>
      </w:pPr>
      <w:r w:rsidRPr="00DD72DC">
        <w:rPr>
          <w:rFonts w:asciiTheme="minorHAnsi" w:hAnsiTheme="minorHAnsi" w:cstheme="minorHAnsi"/>
          <w:b/>
          <w:bCs/>
          <w:lang w:val="es-CL"/>
        </w:rPr>
        <w:t>Anexo ISO 27001:2022</w:t>
      </w:r>
    </w:p>
    <w:p w14:paraId="471B5DB8"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lang w:val="es-CL"/>
        </w:rPr>
        <w:t>Este anexo es fundamental para demostrar el cumplimiento de Anaconda Web con ISO 27001:2022, detallando controles implementados y procesos de gestión de riesgos. Se describen las referencias normativas, como los Anexos A.5.1, A.6.1 y A.8.2, que abarcan políticas de seguridad, gestión de activos y evaluación de riesgos. Además, se integra con otros documentos del SGSI, incluyendo políticas internas, procedimientos y registros de auditoría. Finalmente, se detalla el plan de revisión, con auditorías anuales, actualizaciones trimestrales y asignación de responsables para mantener la conformidad con la norma.</w:t>
      </w:r>
    </w:p>
    <w:p w14:paraId="7FE73501" w14:textId="0F9A90CE"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Referencias Normativas:</w:t>
      </w:r>
      <w:r w:rsidRPr="00DD72DC">
        <w:rPr>
          <w:rFonts w:asciiTheme="minorHAnsi" w:hAnsiTheme="minorHAnsi" w:cstheme="minorHAnsi"/>
          <w:lang w:val="es-CL"/>
        </w:rPr>
        <w:t xml:space="preserve"> Anexos A.5.1, A.6.1 y A.8.2. Además, se incluyen referencias adicionales como los Anexos A.12.1 sobre operaciones de seguridad, A.13.1 sobre seguridad de las comunicaciones y A.18.1 sobre cumplimiento normativo, detallando su aplicación en el </w:t>
      </w:r>
      <w:r w:rsidR="00443ABE" w:rsidRPr="00DD72DC">
        <w:rPr>
          <w:rFonts w:asciiTheme="minorHAnsi" w:hAnsiTheme="minorHAnsi" w:cstheme="minorHAnsi"/>
          <w:lang w:val="es-CL"/>
        </w:rPr>
        <w:t>Datacenter</w:t>
      </w:r>
      <w:r w:rsidRPr="00DD72DC">
        <w:rPr>
          <w:rFonts w:asciiTheme="minorHAnsi" w:hAnsiTheme="minorHAnsi" w:cstheme="minorHAnsi"/>
          <w:lang w:val="es-CL"/>
        </w:rPr>
        <w:t xml:space="preserve"> de Anaconda Web, la implementación de controles específicos, su relación con otros anexos y la importancia de su mantenimiento y revisión para asegurar la conformidad con ISO 27001:2022.</w:t>
      </w:r>
    </w:p>
    <w:p w14:paraId="63E96D68"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Documentos Relacionados:</w:t>
      </w:r>
      <w:r w:rsidRPr="00DD72DC">
        <w:rPr>
          <w:rFonts w:asciiTheme="minorHAnsi" w:hAnsiTheme="minorHAnsi" w:cstheme="minorHAnsi"/>
          <w:lang w:val="es-CL"/>
        </w:rPr>
        <w:t xml:space="preserve"> Políticas de seguridad, informes de auditoría, manuales de procedimientos del SGSI, registros de capacitación, acuerdos de nivel de servicio con proveedores, y documentos de evaluación de riesgos, todos organizados, actualizados y vinculados al análisis de riesgos de Anaconda Web, asegurando trazabilidad, integridad y cumplimiento con ISO 27001:2022.</w:t>
      </w:r>
    </w:p>
    <w:p w14:paraId="0D172D57" w14:textId="77777777" w:rsidR="00DD72DC" w:rsidRPr="00DD72DC" w:rsidRDefault="00DD72DC" w:rsidP="00DD72DC">
      <w:pPr>
        <w:pStyle w:val="NormalWeb"/>
        <w:jc w:val="both"/>
        <w:rPr>
          <w:rFonts w:asciiTheme="minorHAnsi" w:hAnsiTheme="minorHAnsi" w:cstheme="minorHAnsi"/>
          <w:lang w:val="es-CL"/>
        </w:rPr>
      </w:pPr>
      <w:r w:rsidRPr="00DD72DC">
        <w:rPr>
          <w:rFonts w:asciiTheme="minorHAnsi" w:hAnsiTheme="minorHAnsi" w:cstheme="minorHAnsi"/>
          <w:b/>
          <w:bCs/>
          <w:lang w:val="es-CL"/>
        </w:rPr>
        <w:t>Mantenimiento y Revisión:</w:t>
      </w:r>
      <w:r w:rsidRPr="00DD72DC">
        <w:rPr>
          <w:rFonts w:asciiTheme="minorHAnsi" w:hAnsiTheme="minorHAnsi" w:cstheme="minorHAnsi"/>
          <w:lang w:val="es-CL"/>
        </w:rPr>
        <w:t xml:space="preserve"> Se realiza una revisión anual exhaustiva que incluye evaluación de todos los controles, análisis de incidentes y ajustes detallados basados en hallazgos de auditorías internas y externas. También se identifican nuevos riesgos y se documentan </w:t>
      </w:r>
      <w:r w:rsidRPr="00DD72DC">
        <w:rPr>
          <w:rFonts w:asciiTheme="minorHAnsi" w:hAnsiTheme="minorHAnsi" w:cstheme="minorHAnsi"/>
          <w:lang w:val="es-CL"/>
        </w:rPr>
        <w:lastRenderedPageBreak/>
        <w:t>medidas de mitigación, estableciendo cronogramas de seguimiento, responsables y registros de cada acción, asegurando un ciclo continuo de mejora según ISO 27001:2022.</w:t>
      </w:r>
    </w:p>
    <w:p w14:paraId="5EE8924C" w14:textId="4D330E10" w:rsidR="00452E7F" w:rsidRPr="00237AFB" w:rsidRDefault="00452E7F" w:rsidP="00237AFB">
      <w:pPr>
        <w:pStyle w:val="NormalWeb"/>
        <w:jc w:val="both"/>
        <w:rPr>
          <w:rFonts w:asciiTheme="minorHAnsi" w:hAnsiTheme="minorHAnsi" w:cstheme="minorHAnsi"/>
          <w:lang w:val="es-CL"/>
        </w:rPr>
      </w:pPr>
    </w:p>
    <w:sectPr w:rsidR="00452E7F" w:rsidRPr="00237AFB" w:rsidSect="00452E7F">
      <w:headerReference w:type="default" r:id="rId9"/>
      <w:footerReference w:type="default" r:id="rId10"/>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DC631" w14:textId="77777777" w:rsidR="00B5377D" w:rsidRPr="00DD72DC" w:rsidRDefault="00B5377D">
      <w:r w:rsidRPr="00DD72DC">
        <w:separator/>
      </w:r>
    </w:p>
    <w:p w14:paraId="7149428E" w14:textId="77777777" w:rsidR="00B5377D" w:rsidRPr="00DD72DC" w:rsidRDefault="00B5377D"/>
    <w:p w14:paraId="228B2BFC" w14:textId="77777777" w:rsidR="00B5377D" w:rsidRPr="00DD72DC" w:rsidRDefault="00B5377D"/>
    <w:p w14:paraId="502339B0" w14:textId="77777777" w:rsidR="00B5377D" w:rsidRPr="00DD72DC" w:rsidRDefault="00B5377D" w:rsidP="00C1318C"/>
  </w:endnote>
  <w:endnote w:type="continuationSeparator" w:id="0">
    <w:p w14:paraId="400A298A" w14:textId="77777777" w:rsidR="00B5377D" w:rsidRPr="00DD72DC" w:rsidRDefault="00B5377D">
      <w:r w:rsidRPr="00DD72DC">
        <w:continuationSeparator/>
      </w:r>
    </w:p>
    <w:p w14:paraId="60E87A4F" w14:textId="77777777" w:rsidR="00B5377D" w:rsidRPr="00DD72DC" w:rsidRDefault="00B5377D"/>
    <w:p w14:paraId="51A9071C" w14:textId="77777777" w:rsidR="00B5377D" w:rsidRPr="00DD72DC" w:rsidRDefault="00B5377D"/>
    <w:p w14:paraId="5C8291EA" w14:textId="77777777" w:rsidR="00B5377D" w:rsidRPr="00DD72DC" w:rsidRDefault="00B5377D"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511CAD92" w:rsidR="00237AFB" w:rsidRPr="00DD72DC" w:rsidRDefault="00DD72DC" w:rsidP="00237AFB">
    <w:pPr>
      <w:pStyle w:val="Piedepgina"/>
      <w:jc w:val="center"/>
    </w:pPr>
    <w:r w:rsidRPr="00DD72DC">
      <w:rPr>
        <w:rFonts w:asciiTheme="minorHAnsi" w:hAnsiTheme="minorHAnsi" w:cstheme="minorHAnsi"/>
        <w:sz w:val="24"/>
        <w:szCs w:val="24"/>
        <w:lang w:eastAsia="en-GB"/>
      </w:rPr>
      <w:t>Anexos A.5.1, A.6.1 y A.8.2</w:t>
    </w:r>
    <w:r>
      <w:rPr>
        <w:rFonts w:asciiTheme="minorHAnsi" w:hAnsiTheme="minorHAnsi" w:cstheme="minorHAnsi"/>
        <w:sz w:val="24"/>
        <w:szCs w:val="24"/>
        <w:lang w:eastAsia="en-GB"/>
      </w:rPr>
      <w:t xml:space="preserve"> </w:t>
    </w:r>
    <w:r w:rsidRPr="00DD72DC">
      <w:rPr>
        <w:rFonts w:asciiTheme="minorHAnsi" w:hAnsiTheme="minorHAnsi" w:cstheme="minorHAnsi"/>
        <w:b/>
        <w:bCs/>
        <w:szCs w:val="24"/>
        <w:lang w:eastAsia="en-GB"/>
      </w:rPr>
      <w:t>ANÁLISIS DE RIESGOS – ANACONDA WEB CHILE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2DB1E" w14:textId="77777777" w:rsidR="00B5377D" w:rsidRPr="00DD72DC" w:rsidRDefault="00B5377D">
      <w:r w:rsidRPr="00DD72DC">
        <w:separator/>
      </w:r>
    </w:p>
    <w:p w14:paraId="421CC3B2" w14:textId="77777777" w:rsidR="00B5377D" w:rsidRPr="00DD72DC" w:rsidRDefault="00B5377D"/>
    <w:p w14:paraId="648C6D89" w14:textId="77777777" w:rsidR="00B5377D" w:rsidRPr="00DD72DC" w:rsidRDefault="00B5377D"/>
    <w:p w14:paraId="7A5313DB" w14:textId="77777777" w:rsidR="00B5377D" w:rsidRPr="00DD72DC" w:rsidRDefault="00B5377D" w:rsidP="00C1318C"/>
  </w:footnote>
  <w:footnote w:type="continuationSeparator" w:id="0">
    <w:p w14:paraId="5515E296" w14:textId="77777777" w:rsidR="00B5377D" w:rsidRPr="00DD72DC" w:rsidRDefault="00B5377D">
      <w:r w:rsidRPr="00DD72DC">
        <w:continuationSeparator/>
      </w:r>
    </w:p>
    <w:p w14:paraId="43A274DA" w14:textId="77777777" w:rsidR="00B5377D" w:rsidRPr="00DD72DC" w:rsidRDefault="00B5377D"/>
    <w:p w14:paraId="4A69994D" w14:textId="77777777" w:rsidR="00B5377D" w:rsidRPr="00DD72DC" w:rsidRDefault="00B5377D"/>
    <w:p w14:paraId="502AEB19" w14:textId="77777777" w:rsidR="00B5377D" w:rsidRPr="00DD72DC" w:rsidRDefault="00B5377D"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DD72DC" w:rsidRDefault="001637D6">
    <w:r w:rsidRPr="00DD72DC">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13"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C17DE2"/>
    <w:multiLevelType w:val="multilevel"/>
    <w:tmpl w:val="5584F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1"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45"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5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42"/>
  </w:num>
  <w:num w:numId="2" w16cid:durableId="74938854">
    <w:abstractNumId w:val="17"/>
  </w:num>
  <w:num w:numId="3" w16cid:durableId="1494763561">
    <w:abstractNumId w:val="15"/>
  </w:num>
  <w:num w:numId="4" w16cid:durableId="2135100286">
    <w:abstractNumId w:val="40"/>
  </w:num>
  <w:num w:numId="5" w16cid:durableId="1000818834">
    <w:abstractNumId w:val="21"/>
  </w:num>
  <w:num w:numId="6" w16cid:durableId="1632788525">
    <w:abstractNumId w:val="53"/>
  </w:num>
  <w:num w:numId="7" w16cid:durableId="1321421067">
    <w:abstractNumId w:val="36"/>
  </w:num>
  <w:num w:numId="8" w16cid:durableId="352341285">
    <w:abstractNumId w:val="44"/>
  </w:num>
  <w:num w:numId="9" w16cid:durableId="27727978">
    <w:abstractNumId w:val="34"/>
  </w:num>
  <w:num w:numId="10" w16cid:durableId="1859850961">
    <w:abstractNumId w:val="13"/>
  </w:num>
  <w:num w:numId="11" w16cid:durableId="1630670735">
    <w:abstractNumId w:val="18"/>
  </w:num>
  <w:num w:numId="12" w16cid:durableId="1692032352">
    <w:abstractNumId w:val="21"/>
  </w:num>
  <w:num w:numId="13" w16cid:durableId="1393849829">
    <w:abstractNumId w:val="21"/>
  </w:num>
  <w:num w:numId="14" w16cid:durableId="815293384">
    <w:abstractNumId w:val="21"/>
  </w:num>
  <w:num w:numId="15" w16cid:durableId="1977754839">
    <w:abstractNumId w:val="51"/>
  </w:num>
  <w:num w:numId="16" w16cid:durableId="240061859">
    <w:abstractNumId w:val="23"/>
  </w:num>
  <w:num w:numId="17" w16cid:durableId="1741440573">
    <w:abstractNumId w:val="37"/>
  </w:num>
  <w:num w:numId="18" w16cid:durableId="404303887">
    <w:abstractNumId w:val="24"/>
  </w:num>
  <w:num w:numId="19" w16cid:durableId="1072853763">
    <w:abstractNumId w:val="6"/>
  </w:num>
  <w:num w:numId="20" w16cid:durableId="888345100">
    <w:abstractNumId w:val="27"/>
  </w:num>
  <w:num w:numId="21" w16cid:durableId="2083486945">
    <w:abstractNumId w:val="30"/>
  </w:num>
  <w:num w:numId="22" w16cid:durableId="1412317948">
    <w:abstractNumId w:val="0"/>
  </w:num>
  <w:num w:numId="23" w16cid:durableId="1332220685">
    <w:abstractNumId w:val="49"/>
  </w:num>
  <w:num w:numId="24" w16cid:durableId="587539902">
    <w:abstractNumId w:val="52"/>
  </w:num>
  <w:num w:numId="25" w16cid:durableId="1814641950">
    <w:abstractNumId w:val="12"/>
  </w:num>
  <w:num w:numId="26" w16cid:durableId="805513463">
    <w:abstractNumId w:val="3"/>
  </w:num>
  <w:num w:numId="27" w16cid:durableId="1555776139">
    <w:abstractNumId w:val="55"/>
  </w:num>
  <w:num w:numId="28" w16cid:durableId="2123913244">
    <w:abstractNumId w:val="14"/>
  </w:num>
  <w:num w:numId="29" w16cid:durableId="874922778">
    <w:abstractNumId w:val="25"/>
  </w:num>
  <w:num w:numId="30" w16cid:durableId="1757896361">
    <w:abstractNumId w:val="5"/>
  </w:num>
  <w:num w:numId="31" w16cid:durableId="1888297015">
    <w:abstractNumId w:val="21"/>
  </w:num>
  <w:num w:numId="32" w16cid:durableId="1875121296">
    <w:abstractNumId w:val="21"/>
  </w:num>
  <w:num w:numId="33" w16cid:durableId="711199856">
    <w:abstractNumId w:val="21"/>
  </w:num>
  <w:num w:numId="34" w16cid:durableId="1914506562">
    <w:abstractNumId w:val="21"/>
  </w:num>
  <w:num w:numId="35" w16cid:durableId="1030836293">
    <w:abstractNumId w:val="46"/>
  </w:num>
  <w:num w:numId="36" w16cid:durableId="674503644">
    <w:abstractNumId w:val="11"/>
  </w:num>
  <w:num w:numId="37" w16cid:durableId="1888105176">
    <w:abstractNumId w:val="54"/>
  </w:num>
  <w:num w:numId="38" w16cid:durableId="342171148">
    <w:abstractNumId w:val="16"/>
  </w:num>
  <w:num w:numId="39" w16cid:durableId="1308512191">
    <w:abstractNumId w:val="45"/>
  </w:num>
  <w:num w:numId="40" w16cid:durableId="751203121">
    <w:abstractNumId w:val="8"/>
  </w:num>
  <w:num w:numId="41" w16cid:durableId="1001616379">
    <w:abstractNumId w:val="48"/>
  </w:num>
  <w:num w:numId="42" w16cid:durableId="157235028">
    <w:abstractNumId w:val="31"/>
  </w:num>
  <w:num w:numId="43" w16cid:durableId="1076974531">
    <w:abstractNumId w:val="29"/>
  </w:num>
  <w:num w:numId="44" w16cid:durableId="908157133">
    <w:abstractNumId w:val="10"/>
  </w:num>
  <w:num w:numId="45" w16cid:durableId="1528714069">
    <w:abstractNumId w:val="47"/>
  </w:num>
  <w:num w:numId="46" w16cid:durableId="1350448151">
    <w:abstractNumId w:val="38"/>
  </w:num>
  <w:num w:numId="47" w16cid:durableId="134489178">
    <w:abstractNumId w:val="26"/>
  </w:num>
  <w:num w:numId="48" w16cid:durableId="904069908">
    <w:abstractNumId w:val="35"/>
  </w:num>
  <w:num w:numId="49" w16cid:durableId="876355981">
    <w:abstractNumId w:val="20"/>
  </w:num>
  <w:num w:numId="50" w16cid:durableId="1270042179">
    <w:abstractNumId w:val="39"/>
  </w:num>
  <w:num w:numId="51" w16cid:durableId="610477338">
    <w:abstractNumId w:val="9"/>
  </w:num>
  <w:num w:numId="52" w16cid:durableId="1976401646">
    <w:abstractNumId w:val="4"/>
  </w:num>
  <w:num w:numId="53" w16cid:durableId="1718821827">
    <w:abstractNumId w:val="28"/>
  </w:num>
  <w:num w:numId="54" w16cid:durableId="404844148">
    <w:abstractNumId w:val="7"/>
  </w:num>
  <w:num w:numId="55" w16cid:durableId="819855879">
    <w:abstractNumId w:val="22"/>
  </w:num>
  <w:num w:numId="56" w16cid:durableId="362633569">
    <w:abstractNumId w:val="50"/>
  </w:num>
  <w:num w:numId="57" w16cid:durableId="1293904960">
    <w:abstractNumId w:val="2"/>
  </w:num>
  <w:num w:numId="58" w16cid:durableId="2072266967">
    <w:abstractNumId w:val="43"/>
  </w:num>
  <w:num w:numId="59" w16cid:durableId="1449856183">
    <w:abstractNumId w:val="19"/>
  </w:num>
  <w:num w:numId="60" w16cid:durableId="264847693">
    <w:abstractNumId w:val="1"/>
  </w:num>
  <w:num w:numId="61" w16cid:durableId="140850691">
    <w:abstractNumId w:val="41"/>
  </w:num>
  <w:num w:numId="62" w16cid:durableId="1923098859">
    <w:abstractNumId w:val="32"/>
  </w:num>
  <w:num w:numId="63" w16cid:durableId="773019378">
    <w:abstractNumId w:val="3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80EE5"/>
    <w:rsid w:val="00094895"/>
    <w:rsid w:val="00097DD7"/>
    <w:rsid w:val="000A16B1"/>
    <w:rsid w:val="000A4FB3"/>
    <w:rsid w:val="000B3182"/>
    <w:rsid w:val="000C2CC2"/>
    <w:rsid w:val="000C4E46"/>
    <w:rsid w:val="000C66BC"/>
    <w:rsid w:val="000D0E30"/>
    <w:rsid w:val="000D23E7"/>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3ABE"/>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49AF"/>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A7F"/>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377D"/>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32D8"/>
    <w:rsid w:val="00CC7DEC"/>
    <w:rsid w:val="00CD0DCE"/>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56C1"/>
    <w:rsid w:val="00D96DF4"/>
    <w:rsid w:val="00DA3ECE"/>
    <w:rsid w:val="00DA56ED"/>
    <w:rsid w:val="00DA6072"/>
    <w:rsid w:val="00DA7572"/>
    <w:rsid w:val="00DB7859"/>
    <w:rsid w:val="00DC1298"/>
    <w:rsid w:val="00DC1742"/>
    <w:rsid w:val="00DC24BC"/>
    <w:rsid w:val="00DD03B5"/>
    <w:rsid w:val="00DD1E86"/>
    <w:rsid w:val="00DD35B5"/>
    <w:rsid w:val="00DD38F2"/>
    <w:rsid w:val="00DD4245"/>
    <w:rsid w:val="00DD5110"/>
    <w:rsid w:val="00DD72DC"/>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43EF"/>
    <w:rsid w:val="00EC3936"/>
    <w:rsid w:val="00EC607E"/>
    <w:rsid w:val="00ED27E5"/>
    <w:rsid w:val="00ED7357"/>
    <w:rsid w:val="00EE262F"/>
    <w:rsid w:val="00EE4AB5"/>
    <w:rsid w:val="00EE6E84"/>
    <w:rsid w:val="00EF054C"/>
    <w:rsid w:val="00EF51B8"/>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semiHidden/>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616453">
      <w:bodyDiv w:val="1"/>
      <w:marLeft w:val="0"/>
      <w:marRight w:val="0"/>
      <w:marTop w:val="0"/>
      <w:marBottom w:val="0"/>
      <w:divBdr>
        <w:top w:val="none" w:sz="0" w:space="0" w:color="auto"/>
        <w:left w:val="none" w:sz="0" w:space="0" w:color="auto"/>
        <w:bottom w:val="none" w:sz="0" w:space="0" w:color="auto"/>
        <w:right w:val="none" w:sz="0" w:space="0" w:color="auto"/>
      </w:divBdr>
      <w:divsChild>
        <w:div w:id="1906991649">
          <w:marLeft w:val="0"/>
          <w:marRight w:val="0"/>
          <w:marTop w:val="0"/>
          <w:marBottom w:val="0"/>
          <w:divBdr>
            <w:top w:val="none" w:sz="0" w:space="0" w:color="auto"/>
            <w:left w:val="none" w:sz="0" w:space="0" w:color="auto"/>
            <w:bottom w:val="none" w:sz="0" w:space="0" w:color="auto"/>
            <w:right w:val="none" w:sz="0" w:space="0" w:color="auto"/>
          </w:divBdr>
        </w:div>
        <w:div w:id="389112063">
          <w:marLeft w:val="0"/>
          <w:marRight w:val="0"/>
          <w:marTop w:val="0"/>
          <w:marBottom w:val="0"/>
          <w:divBdr>
            <w:top w:val="none" w:sz="0" w:space="0" w:color="auto"/>
            <w:left w:val="none" w:sz="0" w:space="0" w:color="auto"/>
            <w:bottom w:val="none" w:sz="0" w:space="0" w:color="auto"/>
            <w:right w:val="none" w:sz="0" w:space="0" w:color="auto"/>
          </w:divBdr>
        </w:div>
        <w:div w:id="741877446">
          <w:marLeft w:val="0"/>
          <w:marRight w:val="0"/>
          <w:marTop w:val="0"/>
          <w:marBottom w:val="0"/>
          <w:divBdr>
            <w:top w:val="none" w:sz="0" w:space="0" w:color="auto"/>
            <w:left w:val="none" w:sz="0" w:space="0" w:color="auto"/>
            <w:bottom w:val="none" w:sz="0" w:space="0" w:color="auto"/>
            <w:right w:val="none" w:sz="0" w:space="0" w:color="auto"/>
          </w:divBdr>
        </w:div>
        <w:div w:id="65418804">
          <w:marLeft w:val="0"/>
          <w:marRight w:val="0"/>
          <w:marTop w:val="0"/>
          <w:marBottom w:val="0"/>
          <w:divBdr>
            <w:top w:val="none" w:sz="0" w:space="0" w:color="auto"/>
            <w:left w:val="none" w:sz="0" w:space="0" w:color="auto"/>
            <w:bottom w:val="none" w:sz="0" w:space="0" w:color="auto"/>
            <w:right w:val="none" w:sz="0" w:space="0" w:color="auto"/>
          </w:divBdr>
        </w:div>
        <w:div w:id="113453376">
          <w:marLeft w:val="0"/>
          <w:marRight w:val="0"/>
          <w:marTop w:val="0"/>
          <w:marBottom w:val="0"/>
          <w:divBdr>
            <w:top w:val="none" w:sz="0" w:space="0" w:color="auto"/>
            <w:left w:val="none" w:sz="0" w:space="0" w:color="auto"/>
            <w:bottom w:val="none" w:sz="0" w:space="0" w:color="auto"/>
            <w:right w:val="none" w:sz="0" w:space="0" w:color="auto"/>
          </w:divBdr>
        </w:div>
        <w:div w:id="180749001">
          <w:marLeft w:val="0"/>
          <w:marRight w:val="0"/>
          <w:marTop w:val="0"/>
          <w:marBottom w:val="0"/>
          <w:divBdr>
            <w:top w:val="none" w:sz="0" w:space="0" w:color="auto"/>
            <w:left w:val="none" w:sz="0" w:space="0" w:color="auto"/>
            <w:bottom w:val="none" w:sz="0" w:space="0" w:color="auto"/>
            <w:right w:val="none" w:sz="0" w:space="0" w:color="auto"/>
          </w:divBdr>
        </w:div>
        <w:div w:id="1605529673">
          <w:marLeft w:val="0"/>
          <w:marRight w:val="0"/>
          <w:marTop w:val="0"/>
          <w:marBottom w:val="0"/>
          <w:divBdr>
            <w:top w:val="none" w:sz="0" w:space="0" w:color="auto"/>
            <w:left w:val="none" w:sz="0" w:space="0" w:color="auto"/>
            <w:bottom w:val="none" w:sz="0" w:space="0" w:color="auto"/>
            <w:right w:val="none" w:sz="0" w:space="0" w:color="auto"/>
          </w:divBdr>
        </w:div>
        <w:div w:id="1137183424">
          <w:marLeft w:val="0"/>
          <w:marRight w:val="0"/>
          <w:marTop w:val="0"/>
          <w:marBottom w:val="0"/>
          <w:divBdr>
            <w:top w:val="none" w:sz="0" w:space="0" w:color="auto"/>
            <w:left w:val="none" w:sz="0" w:space="0" w:color="auto"/>
            <w:bottom w:val="none" w:sz="0" w:space="0" w:color="auto"/>
            <w:right w:val="none" w:sz="0" w:space="0" w:color="auto"/>
          </w:divBdr>
        </w:div>
      </w:divsChild>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64133458">
      <w:bodyDiv w:val="1"/>
      <w:marLeft w:val="0"/>
      <w:marRight w:val="0"/>
      <w:marTop w:val="0"/>
      <w:marBottom w:val="0"/>
      <w:divBdr>
        <w:top w:val="none" w:sz="0" w:space="0" w:color="auto"/>
        <w:left w:val="none" w:sz="0" w:space="0" w:color="auto"/>
        <w:bottom w:val="none" w:sz="0" w:space="0" w:color="auto"/>
        <w:right w:val="none" w:sz="0" w:space="0" w:color="auto"/>
      </w:divBdr>
      <w:divsChild>
        <w:div w:id="2103916710">
          <w:marLeft w:val="0"/>
          <w:marRight w:val="0"/>
          <w:marTop w:val="0"/>
          <w:marBottom w:val="0"/>
          <w:divBdr>
            <w:top w:val="none" w:sz="0" w:space="0" w:color="auto"/>
            <w:left w:val="none" w:sz="0" w:space="0" w:color="auto"/>
            <w:bottom w:val="none" w:sz="0" w:space="0" w:color="auto"/>
            <w:right w:val="none" w:sz="0" w:space="0" w:color="auto"/>
          </w:divBdr>
        </w:div>
        <w:div w:id="1408187918">
          <w:marLeft w:val="0"/>
          <w:marRight w:val="0"/>
          <w:marTop w:val="0"/>
          <w:marBottom w:val="0"/>
          <w:divBdr>
            <w:top w:val="none" w:sz="0" w:space="0" w:color="auto"/>
            <w:left w:val="none" w:sz="0" w:space="0" w:color="auto"/>
            <w:bottom w:val="none" w:sz="0" w:space="0" w:color="auto"/>
            <w:right w:val="none" w:sz="0" w:space="0" w:color="auto"/>
          </w:divBdr>
        </w:div>
        <w:div w:id="1032654290">
          <w:marLeft w:val="0"/>
          <w:marRight w:val="0"/>
          <w:marTop w:val="0"/>
          <w:marBottom w:val="0"/>
          <w:divBdr>
            <w:top w:val="none" w:sz="0" w:space="0" w:color="auto"/>
            <w:left w:val="none" w:sz="0" w:space="0" w:color="auto"/>
            <w:bottom w:val="none" w:sz="0" w:space="0" w:color="auto"/>
            <w:right w:val="none" w:sz="0" w:space="0" w:color="auto"/>
          </w:divBdr>
        </w:div>
        <w:div w:id="1051462124">
          <w:marLeft w:val="0"/>
          <w:marRight w:val="0"/>
          <w:marTop w:val="0"/>
          <w:marBottom w:val="0"/>
          <w:divBdr>
            <w:top w:val="none" w:sz="0" w:space="0" w:color="auto"/>
            <w:left w:val="none" w:sz="0" w:space="0" w:color="auto"/>
            <w:bottom w:val="none" w:sz="0" w:space="0" w:color="auto"/>
            <w:right w:val="none" w:sz="0" w:space="0" w:color="auto"/>
          </w:divBdr>
        </w:div>
        <w:div w:id="681590492">
          <w:marLeft w:val="0"/>
          <w:marRight w:val="0"/>
          <w:marTop w:val="0"/>
          <w:marBottom w:val="0"/>
          <w:divBdr>
            <w:top w:val="none" w:sz="0" w:space="0" w:color="auto"/>
            <w:left w:val="none" w:sz="0" w:space="0" w:color="auto"/>
            <w:bottom w:val="none" w:sz="0" w:space="0" w:color="auto"/>
            <w:right w:val="none" w:sz="0" w:space="0" w:color="auto"/>
          </w:divBdr>
        </w:div>
        <w:div w:id="218831939">
          <w:marLeft w:val="0"/>
          <w:marRight w:val="0"/>
          <w:marTop w:val="0"/>
          <w:marBottom w:val="0"/>
          <w:divBdr>
            <w:top w:val="none" w:sz="0" w:space="0" w:color="auto"/>
            <w:left w:val="none" w:sz="0" w:space="0" w:color="auto"/>
            <w:bottom w:val="none" w:sz="0" w:space="0" w:color="auto"/>
            <w:right w:val="none" w:sz="0" w:space="0" w:color="auto"/>
          </w:divBdr>
        </w:div>
        <w:div w:id="1293487895">
          <w:marLeft w:val="0"/>
          <w:marRight w:val="0"/>
          <w:marTop w:val="0"/>
          <w:marBottom w:val="0"/>
          <w:divBdr>
            <w:top w:val="none" w:sz="0" w:space="0" w:color="auto"/>
            <w:left w:val="none" w:sz="0" w:space="0" w:color="auto"/>
            <w:bottom w:val="none" w:sz="0" w:space="0" w:color="auto"/>
            <w:right w:val="none" w:sz="0" w:space="0" w:color="auto"/>
          </w:divBdr>
        </w:div>
        <w:div w:id="1613169568">
          <w:marLeft w:val="0"/>
          <w:marRight w:val="0"/>
          <w:marTop w:val="0"/>
          <w:marBottom w:val="0"/>
          <w:divBdr>
            <w:top w:val="none" w:sz="0" w:space="0" w:color="auto"/>
            <w:left w:val="none" w:sz="0" w:space="0" w:color="auto"/>
            <w:bottom w:val="none" w:sz="0" w:space="0" w:color="auto"/>
            <w:right w:val="none" w:sz="0" w:space="0" w:color="auto"/>
          </w:divBdr>
        </w:div>
      </w:divsChild>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76684290">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3891831">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265E7"/>
    <w:rsid w:val="006C7BDF"/>
    <w:rsid w:val="00737BAE"/>
    <w:rsid w:val="00871B28"/>
    <w:rsid w:val="00912671"/>
    <w:rsid w:val="00926A7F"/>
    <w:rsid w:val="00930D52"/>
    <w:rsid w:val="009C1F3E"/>
    <w:rsid w:val="00B63AF7"/>
    <w:rsid w:val="00B92933"/>
    <w:rsid w:val="00C81A8B"/>
    <w:rsid w:val="00CB26E6"/>
    <w:rsid w:val="00D23467"/>
    <w:rsid w:val="00D36B5D"/>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2593</Words>
  <Characters>14263</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16823</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JHOAN SEBASTIAN SEGURA PAEZ</dc:creator>
  <cp:keywords/>
  <dc:description/>
  <cp:lastModifiedBy>Beasociado</cp:lastModifiedBy>
  <cp:revision>2</cp:revision>
  <cp:lastPrinted>2016-07-27T15:25:00Z</cp:lastPrinted>
  <dcterms:created xsi:type="dcterms:W3CDTF">2025-02-18T02:25:00Z</dcterms:created>
  <dcterms:modified xsi:type="dcterms:W3CDTF">2025-02-18T02:25:00Z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