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AFE7" w14:textId="20FCD37B" w:rsidR="00452E7F" w:rsidRPr="00612C32" w:rsidRDefault="00612C32" w:rsidP="00452E7F">
      <w:pPr>
        <w:spacing w:after="0"/>
        <w:ind w:left="1900" w:firstLine="380"/>
        <w:jc w:val="both"/>
        <w:rPr>
          <w:rFonts w:asciiTheme="minorHAnsi" w:hAnsiTheme="minorHAnsi" w:cstheme="minorHAnsi"/>
          <w:b/>
          <w:bCs/>
          <w:sz w:val="28"/>
          <w:szCs w:val="28"/>
        </w:rPr>
      </w:pPr>
      <w:r w:rsidRPr="00612C32">
        <w:rPr>
          <w:rFonts w:ascii="Calibri" w:hAnsi="Calibri" w:cs="Calibri"/>
          <w:b/>
          <w:bCs/>
          <w:sz w:val="28"/>
          <w:szCs w:val="28"/>
        </w:rPr>
        <w:t xml:space="preserve">Clausula 92: Auditoría Interna </w:t>
      </w:r>
    </w:p>
    <w:p w14:paraId="30FD80A7" w14:textId="77777777" w:rsidR="006533BC" w:rsidRPr="00612C32"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612C32" w14:paraId="273B0C4B" w14:textId="77777777" w:rsidTr="00D02A7F">
        <w:tc>
          <w:tcPr>
            <w:tcW w:w="1908" w:type="dxa"/>
            <w:shd w:val="clear" w:color="auto" w:fill="D9D9D9" w:themeFill="background1" w:themeFillShade="D9"/>
          </w:tcPr>
          <w:p w14:paraId="083D5C51"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612C32" w:rsidRDefault="001705EC" w:rsidP="00D02999">
            <w:pPr>
              <w:jc w:val="both"/>
              <w:rPr>
                <w:rFonts w:asciiTheme="minorHAnsi" w:hAnsiTheme="minorHAnsi" w:cstheme="minorHAnsi"/>
                <w:b/>
                <w:bCs/>
                <w:sz w:val="24"/>
                <w:szCs w:val="24"/>
              </w:rPr>
            </w:pPr>
            <w:r w:rsidRPr="00612C32">
              <w:rPr>
                <w:rFonts w:asciiTheme="minorHAnsi" w:hAnsiTheme="minorHAnsi" w:cstheme="minorHAnsi"/>
                <w:b/>
                <w:bCs/>
                <w:sz w:val="24"/>
                <w:szCs w:val="24"/>
              </w:rPr>
              <w:t>Descripción</w:t>
            </w:r>
          </w:p>
        </w:tc>
      </w:tr>
      <w:tr w:rsidR="00452E7F" w:rsidRPr="00612C32" w14:paraId="23D5C307" w14:textId="77777777" w:rsidTr="00D02A7F">
        <w:tc>
          <w:tcPr>
            <w:tcW w:w="1908" w:type="dxa"/>
          </w:tcPr>
          <w:p w14:paraId="1F536261" w14:textId="77777777" w:rsidR="001705EC" w:rsidRPr="00612C32" w:rsidRDefault="001705EC" w:rsidP="00D02999">
            <w:pPr>
              <w:jc w:val="both"/>
              <w:rPr>
                <w:rFonts w:asciiTheme="minorHAnsi" w:hAnsiTheme="minorHAnsi" w:cstheme="minorHAnsi"/>
                <w:sz w:val="24"/>
                <w:szCs w:val="24"/>
              </w:rPr>
            </w:pPr>
            <w:bookmarkStart w:id="0" w:name="_Hlk187601937"/>
            <w:r w:rsidRPr="00612C32">
              <w:rPr>
                <w:rFonts w:asciiTheme="minorHAnsi" w:hAnsiTheme="minorHAnsi" w:cstheme="minorHAnsi"/>
                <w:sz w:val="24"/>
                <w:szCs w:val="24"/>
              </w:rPr>
              <w:t>V1.0</w:t>
            </w:r>
          </w:p>
        </w:tc>
        <w:tc>
          <w:tcPr>
            <w:tcW w:w="1570" w:type="dxa"/>
          </w:tcPr>
          <w:p w14:paraId="5CF1E181" w14:textId="23D50EDA" w:rsidR="001705EC" w:rsidRPr="00612C32" w:rsidRDefault="001637D6" w:rsidP="00D02999">
            <w:pPr>
              <w:jc w:val="both"/>
              <w:rPr>
                <w:rFonts w:asciiTheme="minorHAnsi" w:hAnsiTheme="minorHAnsi" w:cstheme="minorHAnsi"/>
                <w:sz w:val="24"/>
                <w:szCs w:val="24"/>
              </w:rPr>
            </w:pPr>
            <w:r w:rsidRPr="00612C32">
              <w:rPr>
                <w:rFonts w:asciiTheme="minorHAnsi" w:hAnsiTheme="minorHAnsi" w:cstheme="minorHAnsi"/>
                <w:sz w:val="24"/>
                <w:szCs w:val="24"/>
              </w:rPr>
              <w:t>Auditorex Chile</w:t>
            </w:r>
          </w:p>
        </w:tc>
        <w:tc>
          <w:tcPr>
            <w:tcW w:w="1810" w:type="dxa"/>
          </w:tcPr>
          <w:p w14:paraId="48DCB9A0" w14:textId="77777777" w:rsidR="001637D6" w:rsidRPr="00612C32" w:rsidRDefault="001637D6" w:rsidP="00D02999">
            <w:pPr>
              <w:jc w:val="both"/>
              <w:rPr>
                <w:rFonts w:asciiTheme="minorHAnsi" w:hAnsiTheme="minorHAnsi" w:cstheme="minorHAnsi"/>
                <w:sz w:val="24"/>
                <w:szCs w:val="24"/>
              </w:rPr>
            </w:pPr>
            <w:r w:rsidRPr="00612C32">
              <w:rPr>
                <w:rFonts w:asciiTheme="minorHAnsi" w:hAnsiTheme="minorHAnsi" w:cstheme="minorHAnsi"/>
                <w:sz w:val="24"/>
                <w:szCs w:val="24"/>
              </w:rPr>
              <w:t>Mauricio Antonio Colomera Villarroel</w:t>
            </w:r>
          </w:p>
          <w:p w14:paraId="4664E988" w14:textId="77777777" w:rsidR="001705EC" w:rsidRPr="00612C32" w:rsidRDefault="001705EC" w:rsidP="00D02999">
            <w:pPr>
              <w:jc w:val="both"/>
              <w:rPr>
                <w:rFonts w:asciiTheme="minorHAnsi" w:hAnsiTheme="minorHAnsi" w:cstheme="minorHAnsi"/>
                <w:sz w:val="24"/>
                <w:szCs w:val="24"/>
              </w:rPr>
            </w:pPr>
          </w:p>
        </w:tc>
        <w:tc>
          <w:tcPr>
            <w:tcW w:w="1811" w:type="dxa"/>
          </w:tcPr>
          <w:p w14:paraId="285FCDD1" w14:textId="0FAEB9DF" w:rsidR="001705EC" w:rsidRPr="00612C32" w:rsidRDefault="00452E7F" w:rsidP="00D02999">
            <w:pPr>
              <w:jc w:val="both"/>
              <w:rPr>
                <w:rFonts w:asciiTheme="minorHAnsi" w:hAnsiTheme="minorHAnsi" w:cstheme="minorHAnsi"/>
                <w:sz w:val="24"/>
                <w:szCs w:val="24"/>
              </w:rPr>
            </w:pPr>
            <w:r w:rsidRPr="00612C32">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612C32" w:rsidRDefault="00D02999" w:rsidP="00D02999">
            <w:pPr>
              <w:jc w:val="both"/>
              <w:rPr>
                <w:rFonts w:asciiTheme="minorHAnsi" w:hAnsiTheme="minorHAnsi" w:cstheme="minorHAnsi"/>
                <w:szCs w:val="22"/>
              </w:rPr>
            </w:pPr>
            <w:r w:rsidRPr="00612C32">
              <w:rPr>
                <w:rFonts w:asciiTheme="minorHAnsi" w:hAnsiTheme="minorHAnsi" w:cstheme="minorHAnsi"/>
                <w:szCs w:val="22"/>
              </w:rPr>
              <w:t>12-01-2024</w:t>
            </w:r>
          </w:p>
        </w:tc>
        <w:tc>
          <w:tcPr>
            <w:tcW w:w="2250" w:type="dxa"/>
          </w:tcPr>
          <w:p w14:paraId="6401603C" w14:textId="7805AFC3" w:rsidR="001705EC" w:rsidRPr="00612C32" w:rsidRDefault="00612C32" w:rsidP="00A80114">
            <w:pPr>
              <w:pStyle w:val="NormalWeb"/>
              <w:rPr>
                <w:rFonts w:asciiTheme="minorHAnsi" w:hAnsiTheme="minorHAnsi" w:cstheme="minorHAnsi"/>
                <w:lang w:val="es-CL"/>
              </w:rPr>
            </w:pPr>
            <w:r w:rsidRPr="00612C32">
              <w:rPr>
                <w:rFonts w:asciiTheme="minorHAnsi" w:hAnsiTheme="minorHAnsi" w:cstheme="minorHAnsi"/>
                <w:lang w:val="es-CL"/>
              </w:rPr>
              <w:t>Auditoría Interna</w:t>
            </w:r>
          </w:p>
        </w:tc>
      </w:tr>
      <w:bookmarkEnd w:id="0"/>
      <w:tr w:rsidR="00452E7F" w:rsidRPr="00612C32" w14:paraId="2A38A0FB" w14:textId="77777777" w:rsidTr="00D02A7F">
        <w:tc>
          <w:tcPr>
            <w:tcW w:w="1908" w:type="dxa"/>
          </w:tcPr>
          <w:p w14:paraId="5AA7A63A" w14:textId="77777777" w:rsidR="001705EC" w:rsidRPr="00612C32" w:rsidRDefault="001705EC" w:rsidP="00D02999">
            <w:pPr>
              <w:jc w:val="both"/>
              <w:rPr>
                <w:rFonts w:asciiTheme="minorHAnsi" w:hAnsiTheme="minorHAnsi" w:cstheme="minorHAnsi"/>
                <w:sz w:val="24"/>
                <w:szCs w:val="24"/>
              </w:rPr>
            </w:pPr>
          </w:p>
        </w:tc>
        <w:tc>
          <w:tcPr>
            <w:tcW w:w="1570" w:type="dxa"/>
          </w:tcPr>
          <w:p w14:paraId="6CA0F23C" w14:textId="77777777" w:rsidR="001705EC" w:rsidRPr="00612C32" w:rsidRDefault="001705EC" w:rsidP="00D02999">
            <w:pPr>
              <w:jc w:val="both"/>
              <w:rPr>
                <w:rFonts w:asciiTheme="minorHAnsi" w:hAnsiTheme="minorHAnsi" w:cstheme="minorHAnsi"/>
                <w:sz w:val="24"/>
                <w:szCs w:val="24"/>
              </w:rPr>
            </w:pPr>
          </w:p>
        </w:tc>
        <w:tc>
          <w:tcPr>
            <w:tcW w:w="1810" w:type="dxa"/>
          </w:tcPr>
          <w:p w14:paraId="7579C89A" w14:textId="77777777" w:rsidR="001705EC" w:rsidRPr="00612C32" w:rsidRDefault="001705EC" w:rsidP="00D02999">
            <w:pPr>
              <w:jc w:val="both"/>
              <w:rPr>
                <w:rFonts w:asciiTheme="minorHAnsi" w:hAnsiTheme="minorHAnsi" w:cstheme="minorHAnsi"/>
                <w:sz w:val="24"/>
                <w:szCs w:val="24"/>
              </w:rPr>
            </w:pPr>
          </w:p>
        </w:tc>
        <w:tc>
          <w:tcPr>
            <w:tcW w:w="1811" w:type="dxa"/>
          </w:tcPr>
          <w:p w14:paraId="5C11AFDC" w14:textId="77777777" w:rsidR="001705EC" w:rsidRPr="00612C32" w:rsidRDefault="001705EC" w:rsidP="00D02999">
            <w:pPr>
              <w:jc w:val="both"/>
              <w:rPr>
                <w:rFonts w:asciiTheme="minorHAnsi" w:hAnsiTheme="minorHAnsi" w:cstheme="minorHAnsi"/>
                <w:sz w:val="24"/>
                <w:szCs w:val="24"/>
              </w:rPr>
            </w:pPr>
          </w:p>
        </w:tc>
        <w:tc>
          <w:tcPr>
            <w:tcW w:w="1019" w:type="dxa"/>
          </w:tcPr>
          <w:p w14:paraId="2D9464C3" w14:textId="77777777" w:rsidR="001705EC" w:rsidRPr="00612C32" w:rsidRDefault="001705EC" w:rsidP="00D02999">
            <w:pPr>
              <w:jc w:val="both"/>
              <w:rPr>
                <w:rFonts w:asciiTheme="minorHAnsi" w:hAnsiTheme="minorHAnsi" w:cstheme="minorHAnsi"/>
                <w:sz w:val="24"/>
                <w:szCs w:val="24"/>
              </w:rPr>
            </w:pPr>
          </w:p>
        </w:tc>
        <w:tc>
          <w:tcPr>
            <w:tcW w:w="2250" w:type="dxa"/>
          </w:tcPr>
          <w:p w14:paraId="30EA5E83" w14:textId="77777777" w:rsidR="001705EC" w:rsidRPr="00612C32" w:rsidRDefault="001705EC" w:rsidP="00D02999">
            <w:pPr>
              <w:jc w:val="both"/>
              <w:rPr>
                <w:rFonts w:asciiTheme="minorHAnsi" w:hAnsiTheme="minorHAnsi" w:cstheme="minorHAnsi"/>
                <w:sz w:val="24"/>
                <w:szCs w:val="24"/>
              </w:rPr>
            </w:pPr>
          </w:p>
        </w:tc>
      </w:tr>
      <w:tr w:rsidR="00452E7F" w:rsidRPr="00612C32" w14:paraId="5D084FF7" w14:textId="77777777" w:rsidTr="00D02A7F">
        <w:tc>
          <w:tcPr>
            <w:tcW w:w="1908" w:type="dxa"/>
          </w:tcPr>
          <w:p w14:paraId="59848B68" w14:textId="77777777" w:rsidR="001705EC" w:rsidRPr="00612C32" w:rsidRDefault="001705EC" w:rsidP="00D02999">
            <w:pPr>
              <w:jc w:val="both"/>
              <w:rPr>
                <w:rFonts w:asciiTheme="minorHAnsi" w:hAnsiTheme="minorHAnsi" w:cstheme="minorHAnsi"/>
                <w:sz w:val="24"/>
                <w:szCs w:val="24"/>
              </w:rPr>
            </w:pPr>
          </w:p>
        </w:tc>
        <w:tc>
          <w:tcPr>
            <w:tcW w:w="1570" w:type="dxa"/>
          </w:tcPr>
          <w:p w14:paraId="4CE506E6" w14:textId="77777777" w:rsidR="001705EC" w:rsidRPr="00612C32" w:rsidRDefault="001705EC" w:rsidP="00D02999">
            <w:pPr>
              <w:jc w:val="both"/>
              <w:rPr>
                <w:rFonts w:asciiTheme="minorHAnsi" w:hAnsiTheme="minorHAnsi" w:cstheme="minorHAnsi"/>
                <w:sz w:val="24"/>
                <w:szCs w:val="24"/>
              </w:rPr>
            </w:pPr>
          </w:p>
        </w:tc>
        <w:tc>
          <w:tcPr>
            <w:tcW w:w="1810" w:type="dxa"/>
          </w:tcPr>
          <w:p w14:paraId="09467189" w14:textId="77777777" w:rsidR="001705EC" w:rsidRPr="00612C32" w:rsidRDefault="001705EC" w:rsidP="00D02999">
            <w:pPr>
              <w:jc w:val="both"/>
              <w:rPr>
                <w:rFonts w:asciiTheme="minorHAnsi" w:hAnsiTheme="minorHAnsi" w:cstheme="minorHAnsi"/>
                <w:sz w:val="24"/>
                <w:szCs w:val="24"/>
              </w:rPr>
            </w:pPr>
          </w:p>
        </w:tc>
        <w:tc>
          <w:tcPr>
            <w:tcW w:w="1811" w:type="dxa"/>
          </w:tcPr>
          <w:p w14:paraId="6E7E4F49" w14:textId="77777777" w:rsidR="001705EC" w:rsidRPr="00612C32" w:rsidRDefault="001705EC" w:rsidP="00D02999">
            <w:pPr>
              <w:jc w:val="both"/>
              <w:rPr>
                <w:rFonts w:asciiTheme="minorHAnsi" w:hAnsiTheme="minorHAnsi" w:cstheme="minorHAnsi"/>
                <w:sz w:val="24"/>
                <w:szCs w:val="24"/>
              </w:rPr>
            </w:pPr>
          </w:p>
        </w:tc>
        <w:tc>
          <w:tcPr>
            <w:tcW w:w="1019" w:type="dxa"/>
          </w:tcPr>
          <w:p w14:paraId="7EB49E66" w14:textId="77777777" w:rsidR="001705EC" w:rsidRPr="00612C32" w:rsidRDefault="001705EC" w:rsidP="00D02999">
            <w:pPr>
              <w:jc w:val="both"/>
              <w:rPr>
                <w:rFonts w:asciiTheme="minorHAnsi" w:hAnsiTheme="minorHAnsi" w:cstheme="minorHAnsi"/>
                <w:sz w:val="24"/>
                <w:szCs w:val="24"/>
              </w:rPr>
            </w:pPr>
          </w:p>
        </w:tc>
        <w:tc>
          <w:tcPr>
            <w:tcW w:w="2250" w:type="dxa"/>
          </w:tcPr>
          <w:p w14:paraId="722DAB0F" w14:textId="77777777" w:rsidR="001705EC" w:rsidRPr="00612C32" w:rsidRDefault="001705EC" w:rsidP="00D02999">
            <w:pPr>
              <w:jc w:val="both"/>
              <w:rPr>
                <w:rFonts w:asciiTheme="minorHAnsi" w:hAnsiTheme="minorHAnsi" w:cstheme="minorHAnsi"/>
                <w:sz w:val="24"/>
                <w:szCs w:val="24"/>
              </w:rPr>
            </w:pPr>
          </w:p>
        </w:tc>
      </w:tr>
      <w:tr w:rsidR="001705EC" w:rsidRPr="00612C32" w14:paraId="7875EE64" w14:textId="77777777" w:rsidTr="00D02A7F">
        <w:tc>
          <w:tcPr>
            <w:tcW w:w="1908" w:type="dxa"/>
            <w:shd w:val="clear" w:color="auto" w:fill="D9D9D9" w:themeFill="background1" w:themeFillShade="D9"/>
          </w:tcPr>
          <w:p w14:paraId="22F097C4" w14:textId="77777777" w:rsidR="001705EC" w:rsidRPr="00612C32" w:rsidRDefault="001705EC" w:rsidP="00D02999">
            <w:pPr>
              <w:jc w:val="both"/>
              <w:rPr>
                <w:rFonts w:asciiTheme="minorHAnsi" w:hAnsiTheme="minorHAnsi" w:cstheme="minorHAnsi"/>
                <w:sz w:val="24"/>
                <w:szCs w:val="24"/>
              </w:rPr>
            </w:pPr>
            <w:r w:rsidRPr="00612C32">
              <w:rPr>
                <w:rFonts w:asciiTheme="minorHAnsi" w:hAnsiTheme="minorHAnsi" w:cstheme="minorHAnsi"/>
                <w:sz w:val="24"/>
                <w:szCs w:val="24"/>
              </w:rPr>
              <w:t>Número de referencia del documento</w:t>
            </w:r>
          </w:p>
        </w:tc>
        <w:tc>
          <w:tcPr>
            <w:tcW w:w="3380" w:type="dxa"/>
            <w:gridSpan w:val="2"/>
          </w:tcPr>
          <w:p w14:paraId="02FAF64D" w14:textId="79156853" w:rsidR="001705EC" w:rsidRPr="00612C32" w:rsidRDefault="00612C32" w:rsidP="00D02999">
            <w:pPr>
              <w:jc w:val="both"/>
              <w:rPr>
                <w:rFonts w:asciiTheme="minorHAnsi" w:hAnsiTheme="minorHAnsi" w:cstheme="minorHAnsi"/>
                <w:sz w:val="24"/>
                <w:szCs w:val="24"/>
              </w:rPr>
            </w:pPr>
            <w:r w:rsidRPr="00612C32">
              <w:rPr>
                <w:rFonts w:asciiTheme="minorHAnsi" w:hAnsiTheme="minorHAnsi" w:cstheme="minorHAnsi"/>
                <w:sz w:val="24"/>
                <w:szCs w:val="24"/>
              </w:rPr>
              <w:t>Clausula 92</w:t>
            </w:r>
          </w:p>
        </w:tc>
        <w:tc>
          <w:tcPr>
            <w:tcW w:w="2830" w:type="dxa"/>
            <w:gridSpan w:val="2"/>
            <w:shd w:val="clear" w:color="auto" w:fill="D9D9D9" w:themeFill="background1" w:themeFillShade="D9"/>
          </w:tcPr>
          <w:p w14:paraId="70C78F02" w14:textId="77777777" w:rsidR="001705EC" w:rsidRPr="00612C32" w:rsidRDefault="001705EC" w:rsidP="00D02999">
            <w:pPr>
              <w:jc w:val="both"/>
              <w:rPr>
                <w:rFonts w:asciiTheme="minorHAnsi" w:hAnsiTheme="minorHAnsi" w:cstheme="minorHAnsi"/>
                <w:sz w:val="24"/>
                <w:szCs w:val="24"/>
              </w:rPr>
            </w:pPr>
            <w:r w:rsidRPr="00612C32">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612C32" w:rsidRDefault="001705EC" w:rsidP="00D02999">
                <w:pPr>
                  <w:jc w:val="both"/>
                  <w:rPr>
                    <w:rFonts w:asciiTheme="minorHAnsi" w:hAnsiTheme="minorHAnsi" w:cstheme="minorHAnsi"/>
                    <w:sz w:val="24"/>
                    <w:szCs w:val="24"/>
                  </w:rPr>
                </w:pPr>
                <w:r w:rsidRPr="00612C32">
                  <w:rPr>
                    <w:rFonts w:asciiTheme="minorHAnsi" w:hAnsiTheme="minorHAnsi" w:cstheme="minorHAnsi"/>
                    <w:sz w:val="24"/>
                    <w:szCs w:val="24"/>
                  </w:rPr>
                  <w:t>Confidencial</w:t>
                </w:r>
              </w:p>
            </w:tc>
          </w:sdtContent>
        </w:sdt>
      </w:tr>
    </w:tbl>
    <w:p w14:paraId="5F47735A" w14:textId="77777777" w:rsidR="001705EC" w:rsidRPr="00612C32" w:rsidRDefault="001705EC" w:rsidP="00D02999">
      <w:pPr>
        <w:jc w:val="both"/>
        <w:rPr>
          <w:rFonts w:asciiTheme="minorHAnsi" w:hAnsiTheme="minorHAnsi" w:cstheme="minorHAnsi"/>
          <w:sz w:val="24"/>
          <w:szCs w:val="24"/>
        </w:rPr>
      </w:pPr>
    </w:p>
    <w:p w14:paraId="09563E0C" w14:textId="0DF2DAF4" w:rsidR="00A20F4F" w:rsidRDefault="00A20F4F" w:rsidP="00A20F4F">
      <w:pPr>
        <w:tabs>
          <w:tab w:val="left" w:pos="240"/>
        </w:tabs>
        <w:rPr>
          <w:rFonts w:asciiTheme="minorHAnsi" w:hAnsiTheme="minorHAnsi" w:cstheme="minorHAnsi"/>
          <w:b/>
          <w:bCs/>
          <w:sz w:val="36"/>
          <w:szCs w:val="36"/>
        </w:rPr>
      </w:pPr>
      <w:r>
        <w:rPr>
          <w:rFonts w:asciiTheme="minorHAnsi" w:hAnsiTheme="minorHAnsi" w:cstheme="minorHAnsi"/>
          <w:b/>
          <w:bCs/>
          <w:sz w:val="36"/>
          <w:szCs w:val="36"/>
        </w:rPr>
        <w:tab/>
      </w:r>
      <w:r>
        <w:rPr>
          <w:rFonts w:asciiTheme="minorHAnsi" w:hAnsiTheme="minorHAnsi" w:cstheme="minorHAnsi"/>
          <w:b/>
          <w:bCs/>
          <w:noProof/>
          <w:sz w:val="36"/>
          <w:szCs w:val="36"/>
        </w:rPr>
        <w:drawing>
          <wp:inline distT="0" distB="0" distL="0" distR="0" wp14:anchorId="38C6846E" wp14:editId="7CE2A80B">
            <wp:extent cx="3124636" cy="1743318"/>
            <wp:effectExtent l="0" t="0" r="0" b="9525"/>
            <wp:docPr id="150251234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1234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5B5716ED" w14:textId="77777777" w:rsidR="00A20F4F" w:rsidRDefault="00A20F4F" w:rsidP="00612C32">
      <w:pPr>
        <w:jc w:val="center"/>
        <w:rPr>
          <w:rFonts w:asciiTheme="minorHAnsi" w:hAnsiTheme="minorHAnsi" w:cstheme="minorHAnsi"/>
          <w:b/>
          <w:bCs/>
          <w:sz w:val="36"/>
          <w:szCs w:val="36"/>
        </w:rPr>
      </w:pPr>
    </w:p>
    <w:p w14:paraId="1908F703" w14:textId="77777777" w:rsidR="00A20F4F" w:rsidRDefault="00A20F4F" w:rsidP="00612C32">
      <w:pPr>
        <w:jc w:val="center"/>
        <w:rPr>
          <w:rFonts w:asciiTheme="minorHAnsi" w:hAnsiTheme="minorHAnsi" w:cstheme="minorHAnsi"/>
          <w:b/>
          <w:bCs/>
          <w:sz w:val="36"/>
          <w:szCs w:val="36"/>
        </w:rPr>
      </w:pPr>
    </w:p>
    <w:p w14:paraId="75FD1ACA" w14:textId="77777777" w:rsidR="00A20F4F" w:rsidRDefault="00A20F4F" w:rsidP="00612C32">
      <w:pPr>
        <w:jc w:val="center"/>
        <w:rPr>
          <w:rFonts w:asciiTheme="minorHAnsi" w:hAnsiTheme="minorHAnsi" w:cstheme="minorHAnsi"/>
          <w:b/>
          <w:bCs/>
          <w:sz w:val="36"/>
          <w:szCs w:val="36"/>
        </w:rPr>
      </w:pPr>
    </w:p>
    <w:p w14:paraId="4816B481" w14:textId="77777777" w:rsidR="00A20F4F" w:rsidRDefault="00A20F4F" w:rsidP="00612C32">
      <w:pPr>
        <w:jc w:val="center"/>
        <w:rPr>
          <w:rFonts w:asciiTheme="minorHAnsi" w:hAnsiTheme="minorHAnsi" w:cstheme="minorHAnsi"/>
          <w:b/>
          <w:bCs/>
          <w:sz w:val="36"/>
          <w:szCs w:val="36"/>
        </w:rPr>
      </w:pPr>
    </w:p>
    <w:p w14:paraId="640DC473" w14:textId="77777777" w:rsidR="00A20F4F" w:rsidRDefault="00A20F4F" w:rsidP="00612C32">
      <w:pPr>
        <w:jc w:val="center"/>
        <w:rPr>
          <w:rFonts w:asciiTheme="minorHAnsi" w:hAnsiTheme="minorHAnsi" w:cstheme="minorHAnsi"/>
          <w:b/>
          <w:bCs/>
          <w:sz w:val="36"/>
          <w:szCs w:val="36"/>
        </w:rPr>
      </w:pPr>
    </w:p>
    <w:p w14:paraId="652270FC" w14:textId="77777777" w:rsidR="00A20F4F" w:rsidRDefault="00A20F4F" w:rsidP="00612C32">
      <w:pPr>
        <w:jc w:val="center"/>
        <w:rPr>
          <w:rFonts w:asciiTheme="minorHAnsi" w:hAnsiTheme="minorHAnsi" w:cstheme="minorHAnsi"/>
          <w:b/>
          <w:bCs/>
          <w:sz w:val="36"/>
          <w:szCs w:val="36"/>
        </w:rPr>
      </w:pPr>
    </w:p>
    <w:p w14:paraId="67BCBBA6" w14:textId="77777777" w:rsidR="00A20F4F" w:rsidRDefault="00A20F4F" w:rsidP="00612C32">
      <w:pPr>
        <w:jc w:val="center"/>
        <w:rPr>
          <w:rFonts w:asciiTheme="minorHAnsi" w:hAnsiTheme="minorHAnsi" w:cstheme="minorHAnsi"/>
          <w:b/>
          <w:bCs/>
          <w:sz w:val="36"/>
          <w:szCs w:val="36"/>
        </w:rPr>
      </w:pPr>
    </w:p>
    <w:p w14:paraId="6127B086" w14:textId="77777777" w:rsidR="00A20F4F" w:rsidRDefault="00A20F4F" w:rsidP="00612C32">
      <w:pPr>
        <w:jc w:val="center"/>
        <w:rPr>
          <w:rFonts w:asciiTheme="minorHAnsi" w:hAnsiTheme="minorHAnsi" w:cstheme="minorHAnsi"/>
          <w:b/>
          <w:bCs/>
          <w:sz w:val="36"/>
          <w:szCs w:val="36"/>
        </w:rPr>
      </w:pPr>
    </w:p>
    <w:p w14:paraId="40B20CE6" w14:textId="77777777" w:rsidR="00A20F4F" w:rsidRDefault="00A20F4F" w:rsidP="00612C32">
      <w:pPr>
        <w:jc w:val="center"/>
        <w:rPr>
          <w:rFonts w:asciiTheme="minorHAnsi" w:hAnsiTheme="minorHAnsi" w:cstheme="minorHAnsi"/>
          <w:b/>
          <w:bCs/>
          <w:sz w:val="36"/>
          <w:szCs w:val="36"/>
        </w:rPr>
      </w:pPr>
    </w:p>
    <w:p w14:paraId="34D44389" w14:textId="77777777" w:rsidR="00A20F4F" w:rsidRDefault="00A20F4F" w:rsidP="00612C32">
      <w:pPr>
        <w:jc w:val="center"/>
        <w:rPr>
          <w:rFonts w:asciiTheme="minorHAnsi" w:hAnsiTheme="minorHAnsi" w:cstheme="minorHAnsi"/>
          <w:b/>
          <w:bCs/>
          <w:sz w:val="36"/>
          <w:szCs w:val="36"/>
        </w:rPr>
      </w:pPr>
    </w:p>
    <w:p w14:paraId="16C755FC" w14:textId="77777777" w:rsidR="00A20F4F" w:rsidRDefault="00A20F4F" w:rsidP="00612C32">
      <w:pPr>
        <w:jc w:val="center"/>
        <w:rPr>
          <w:rFonts w:asciiTheme="minorHAnsi" w:hAnsiTheme="minorHAnsi" w:cstheme="minorHAnsi"/>
          <w:b/>
          <w:bCs/>
          <w:sz w:val="36"/>
          <w:szCs w:val="36"/>
        </w:rPr>
      </w:pPr>
    </w:p>
    <w:p w14:paraId="3F7C0276" w14:textId="4E2FB1DD" w:rsidR="00612C32" w:rsidRPr="00612C32" w:rsidRDefault="00612C32" w:rsidP="00612C32">
      <w:pPr>
        <w:jc w:val="center"/>
        <w:rPr>
          <w:rFonts w:asciiTheme="minorHAnsi" w:hAnsiTheme="minorHAnsi" w:cstheme="minorHAnsi"/>
          <w:b/>
          <w:bCs/>
          <w:sz w:val="36"/>
          <w:szCs w:val="36"/>
        </w:rPr>
      </w:pPr>
      <w:r w:rsidRPr="00612C32">
        <w:rPr>
          <w:rFonts w:asciiTheme="minorHAnsi" w:hAnsiTheme="minorHAnsi" w:cstheme="minorHAnsi"/>
          <w:b/>
          <w:bCs/>
          <w:sz w:val="36"/>
          <w:szCs w:val="36"/>
        </w:rPr>
        <w:t>Procedimiento para Auditorías Internas</w:t>
      </w:r>
    </w:p>
    <w:p w14:paraId="13774F13" w14:textId="614D45A0" w:rsidR="00612C32" w:rsidRPr="00612C32" w:rsidRDefault="00612C32" w:rsidP="00612C32">
      <w:pPr>
        <w:jc w:val="both"/>
        <w:rPr>
          <w:rFonts w:asciiTheme="minorHAnsi" w:hAnsiTheme="minorHAnsi" w:cstheme="minorHAnsi"/>
          <w:sz w:val="24"/>
          <w:szCs w:val="24"/>
        </w:rPr>
      </w:pPr>
    </w:p>
    <w:p w14:paraId="0C24CDF3" w14:textId="77777777" w:rsidR="00612C32" w:rsidRPr="00612C32" w:rsidRDefault="00612C32" w:rsidP="00612C32">
      <w:pPr>
        <w:rPr>
          <w:rFonts w:asciiTheme="minorHAnsi" w:hAnsiTheme="minorHAnsi" w:cstheme="minorHAnsi"/>
          <w:sz w:val="24"/>
          <w:szCs w:val="24"/>
        </w:rPr>
      </w:pPr>
      <w:r w:rsidRPr="00612C32">
        <w:rPr>
          <w:rFonts w:asciiTheme="minorHAnsi" w:hAnsiTheme="minorHAnsi" w:cstheme="minorHAnsi"/>
          <w:b/>
          <w:bCs/>
          <w:sz w:val="24"/>
          <w:szCs w:val="24"/>
        </w:rPr>
        <w:t>Empresa</w:t>
      </w:r>
      <w:r w:rsidRPr="00612C32">
        <w:rPr>
          <w:rFonts w:asciiTheme="minorHAnsi" w:hAnsiTheme="minorHAnsi" w:cstheme="minorHAnsi"/>
          <w:sz w:val="24"/>
          <w:szCs w:val="24"/>
        </w:rPr>
        <w:t xml:space="preserve"> Anaconda Web Chile</w:t>
      </w:r>
      <w:r w:rsidRPr="00612C32">
        <w:rPr>
          <w:rFonts w:asciiTheme="minorHAnsi" w:hAnsiTheme="minorHAnsi" w:cstheme="minorHAnsi"/>
          <w:sz w:val="24"/>
          <w:szCs w:val="24"/>
        </w:rPr>
        <w:br/>
      </w:r>
      <w:r w:rsidRPr="00612C32">
        <w:rPr>
          <w:rFonts w:asciiTheme="minorHAnsi" w:hAnsiTheme="minorHAnsi" w:cstheme="minorHAnsi"/>
          <w:b/>
          <w:bCs/>
          <w:sz w:val="24"/>
          <w:szCs w:val="24"/>
        </w:rPr>
        <w:t>Título del Documento</w:t>
      </w:r>
      <w:r w:rsidRPr="00612C32">
        <w:rPr>
          <w:rFonts w:asciiTheme="minorHAnsi" w:hAnsiTheme="minorHAnsi" w:cstheme="minorHAnsi"/>
          <w:sz w:val="24"/>
          <w:szCs w:val="24"/>
        </w:rPr>
        <w:t xml:space="preserve"> Procedimiento para Auditorías Internas</w:t>
      </w:r>
      <w:r w:rsidRPr="00612C32">
        <w:rPr>
          <w:rFonts w:asciiTheme="minorHAnsi" w:hAnsiTheme="minorHAnsi" w:cstheme="minorHAnsi"/>
          <w:sz w:val="24"/>
          <w:szCs w:val="24"/>
        </w:rPr>
        <w:br/>
      </w:r>
      <w:r w:rsidRPr="00612C32">
        <w:rPr>
          <w:rFonts w:asciiTheme="minorHAnsi" w:hAnsiTheme="minorHAnsi" w:cstheme="minorHAnsi"/>
          <w:b/>
          <w:bCs/>
          <w:sz w:val="24"/>
          <w:szCs w:val="24"/>
        </w:rPr>
        <w:t>Fecha de Emisión</w:t>
      </w:r>
      <w:r w:rsidRPr="00612C32">
        <w:rPr>
          <w:rFonts w:asciiTheme="minorHAnsi" w:hAnsiTheme="minorHAnsi" w:cstheme="minorHAnsi"/>
          <w:sz w:val="24"/>
          <w:szCs w:val="24"/>
        </w:rPr>
        <w:t xml:space="preserve"> 12-01-2024</w:t>
      </w:r>
      <w:r w:rsidRPr="00612C32">
        <w:rPr>
          <w:rFonts w:asciiTheme="minorHAnsi" w:hAnsiTheme="minorHAnsi" w:cstheme="minorHAnsi"/>
          <w:sz w:val="24"/>
          <w:szCs w:val="24"/>
        </w:rPr>
        <w:br/>
      </w:r>
      <w:r w:rsidRPr="00612C32">
        <w:rPr>
          <w:rFonts w:asciiTheme="minorHAnsi" w:hAnsiTheme="minorHAnsi" w:cstheme="minorHAnsi"/>
          <w:b/>
          <w:bCs/>
          <w:sz w:val="24"/>
          <w:szCs w:val="24"/>
        </w:rPr>
        <w:t>Elaborado por</w:t>
      </w:r>
      <w:r w:rsidRPr="00612C32">
        <w:rPr>
          <w:rFonts w:asciiTheme="minorHAnsi" w:hAnsiTheme="minorHAnsi" w:cstheme="minorHAnsi"/>
          <w:sz w:val="24"/>
          <w:szCs w:val="24"/>
        </w:rPr>
        <w:t xml:space="preserve"> Carlos Rivera</w:t>
      </w:r>
      <w:r w:rsidRPr="00612C32">
        <w:rPr>
          <w:rFonts w:asciiTheme="minorHAnsi" w:hAnsiTheme="minorHAnsi" w:cstheme="minorHAnsi"/>
          <w:sz w:val="24"/>
          <w:szCs w:val="24"/>
        </w:rPr>
        <w:br/>
      </w:r>
      <w:r w:rsidRPr="00612C32">
        <w:rPr>
          <w:rFonts w:asciiTheme="minorHAnsi" w:hAnsiTheme="minorHAnsi" w:cstheme="minorHAnsi"/>
          <w:b/>
          <w:bCs/>
          <w:sz w:val="24"/>
          <w:szCs w:val="24"/>
        </w:rPr>
        <w:t>Revisado por</w:t>
      </w:r>
      <w:r w:rsidRPr="00612C32">
        <w:rPr>
          <w:rFonts w:asciiTheme="minorHAnsi" w:hAnsiTheme="minorHAnsi" w:cstheme="minorHAnsi"/>
          <w:sz w:val="24"/>
          <w:szCs w:val="24"/>
        </w:rPr>
        <w:t xml:space="preserve"> Mauricio Antonio Colomera Villarroel</w:t>
      </w:r>
      <w:r w:rsidRPr="00612C32">
        <w:rPr>
          <w:rFonts w:asciiTheme="minorHAnsi" w:hAnsiTheme="minorHAnsi" w:cstheme="minorHAnsi"/>
          <w:sz w:val="24"/>
          <w:szCs w:val="24"/>
        </w:rPr>
        <w:br/>
      </w:r>
      <w:r w:rsidRPr="00612C32">
        <w:rPr>
          <w:rFonts w:asciiTheme="minorHAnsi" w:hAnsiTheme="minorHAnsi" w:cstheme="minorHAnsi"/>
          <w:b/>
          <w:bCs/>
          <w:sz w:val="24"/>
          <w:szCs w:val="24"/>
        </w:rPr>
        <w:t>Aprobado por</w:t>
      </w:r>
      <w:r w:rsidRPr="00612C32">
        <w:rPr>
          <w:rFonts w:asciiTheme="minorHAnsi" w:hAnsiTheme="minorHAnsi" w:cstheme="minorHAnsi"/>
          <w:sz w:val="24"/>
          <w:szCs w:val="24"/>
        </w:rPr>
        <w:t xml:space="preserve"> Mauricio Antonio Colomera Villarroel Gerente de SGSI de Anaconda Web</w:t>
      </w:r>
      <w:r w:rsidRPr="00612C32">
        <w:rPr>
          <w:rFonts w:asciiTheme="minorHAnsi" w:hAnsiTheme="minorHAnsi" w:cstheme="minorHAnsi"/>
          <w:sz w:val="24"/>
          <w:szCs w:val="24"/>
        </w:rPr>
        <w:br/>
      </w:r>
      <w:r w:rsidRPr="00612C32">
        <w:rPr>
          <w:rFonts w:asciiTheme="minorHAnsi" w:hAnsiTheme="minorHAnsi" w:cstheme="minorHAnsi"/>
          <w:b/>
          <w:bCs/>
          <w:sz w:val="24"/>
          <w:szCs w:val="24"/>
        </w:rPr>
        <w:t>Empresa Implementadora</w:t>
      </w:r>
      <w:r w:rsidRPr="00612C32">
        <w:rPr>
          <w:rFonts w:asciiTheme="minorHAnsi" w:hAnsiTheme="minorHAnsi" w:cstheme="minorHAnsi"/>
          <w:sz w:val="24"/>
          <w:szCs w:val="24"/>
        </w:rPr>
        <w:t xml:space="preserve"> Auditorex Chile</w:t>
      </w:r>
    </w:p>
    <w:p w14:paraId="7029714C" w14:textId="77777777" w:rsidR="00612C32" w:rsidRPr="00612C32" w:rsidRDefault="00612C32" w:rsidP="00D02999">
      <w:pPr>
        <w:jc w:val="both"/>
        <w:rPr>
          <w:rFonts w:asciiTheme="minorHAnsi" w:hAnsiTheme="minorHAnsi" w:cstheme="minorHAnsi"/>
          <w:sz w:val="24"/>
          <w:szCs w:val="24"/>
        </w:rPr>
      </w:pPr>
    </w:p>
    <w:p w14:paraId="5EE8924C" w14:textId="77777777" w:rsidR="00452E7F" w:rsidRPr="00612C32" w:rsidRDefault="001705EC" w:rsidP="00452E7F">
      <w:pPr>
        <w:pStyle w:val="NormalWeb"/>
        <w:rPr>
          <w:rFonts w:asciiTheme="minorHAnsi" w:hAnsiTheme="minorHAnsi" w:cstheme="minorHAnsi"/>
          <w:lang w:val="es-CL"/>
        </w:rPr>
      </w:pPr>
      <w:r w:rsidRPr="00612C32">
        <w:rPr>
          <w:rFonts w:asciiTheme="minorHAnsi" w:hAnsiTheme="minorHAnsi" w:cstheme="minorHAnsi"/>
          <w:lang w:val="es-CL"/>
        </w:rPr>
        <w:br w:type="page"/>
      </w:r>
    </w:p>
    <w:p w14:paraId="610E4A71" w14:textId="77777777" w:rsidR="00612C32" w:rsidRPr="00612C32" w:rsidRDefault="00612C32" w:rsidP="00612C32">
      <w:pPr>
        <w:pStyle w:val="NormalWeb"/>
        <w:numPr>
          <w:ilvl w:val="0"/>
          <w:numId w:val="5"/>
        </w:numPr>
        <w:rPr>
          <w:rFonts w:asciiTheme="minorHAnsi" w:hAnsiTheme="minorHAnsi" w:cstheme="minorHAnsi"/>
          <w:b/>
          <w:bCs/>
          <w:lang w:val="es-CL"/>
        </w:rPr>
      </w:pPr>
      <w:r w:rsidRPr="00612C32">
        <w:rPr>
          <w:rFonts w:asciiTheme="minorHAnsi" w:hAnsiTheme="minorHAnsi" w:cstheme="minorHAnsi"/>
          <w:b/>
          <w:bCs/>
          <w:lang w:val="es-CL"/>
        </w:rPr>
        <w:lastRenderedPageBreak/>
        <w:t>Índice</w:t>
      </w:r>
    </w:p>
    <w:p w14:paraId="7C4AC782" w14:textId="77777777" w:rsidR="00612C32" w:rsidRPr="00612C32" w:rsidRDefault="00612C32" w:rsidP="00612C32">
      <w:pPr>
        <w:pStyle w:val="NormalWeb"/>
        <w:rPr>
          <w:rFonts w:asciiTheme="minorHAnsi" w:hAnsiTheme="minorHAnsi" w:cstheme="minorHAnsi"/>
          <w:lang w:val="es-CL"/>
        </w:rPr>
      </w:pPr>
      <w:r w:rsidRPr="00612C32">
        <w:rPr>
          <w:rFonts w:asciiTheme="minorHAnsi" w:hAnsiTheme="minorHAnsi" w:cstheme="minorHAnsi"/>
          <w:lang w:val="es-CL"/>
        </w:rPr>
        <w:t>1 Objetivo</w:t>
      </w:r>
      <w:r w:rsidRPr="00612C32">
        <w:rPr>
          <w:rFonts w:asciiTheme="minorHAnsi" w:hAnsiTheme="minorHAnsi" w:cstheme="minorHAnsi"/>
          <w:lang w:val="es-CL"/>
        </w:rPr>
        <w:br/>
        <w:t>2 Alcance</w:t>
      </w:r>
      <w:r w:rsidRPr="00612C32">
        <w:rPr>
          <w:rFonts w:asciiTheme="minorHAnsi" w:hAnsiTheme="minorHAnsi" w:cstheme="minorHAnsi"/>
          <w:lang w:val="es-CL"/>
        </w:rPr>
        <w:br/>
        <w:t>3 Definiciones y Términos Clave</w:t>
      </w:r>
      <w:r w:rsidRPr="00612C32">
        <w:rPr>
          <w:rFonts w:asciiTheme="minorHAnsi" w:hAnsiTheme="minorHAnsi" w:cstheme="minorHAnsi"/>
          <w:lang w:val="es-CL"/>
        </w:rPr>
        <w:br/>
        <w:t>4 Responsabilidades</w:t>
      </w:r>
      <w:r w:rsidRPr="00612C32">
        <w:rPr>
          <w:rFonts w:asciiTheme="minorHAnsi" w:hAnsiTheme="minorHAnsi" w:cstheme="minorHAnsi"/>
          <w:lang w:val="es-CL"/>
        </w:rPr>
        <w:br/>
        <w:t>5 Planificación de Auditoría</w:t>
      </w:r>
      <w:r w:rsidRPr="00612C32">
        <w:rPr>
          <w:rFonts w:asciiTheme="minorHAnsi" w:hAnsiTheme="minorHAnsi" w:cstheme="minorHAnsi"/>
          <w:lang w:val="es-CL"/>
        </w:rPr>
        <w:br/>
        <w:t>6 Preparación para la Auditoría</w:t>
      </w:r>
      <w:r w:rsidRPr="00612C32">
        <w:rPr>
          <w:rFonts w:asciiTheme="minorHAnsi" w:hAnsiTheme="minorHAnsi" w:cstheme="minorHAnsi"/>
          <w:lang w:val="es-CL"/>
        </w:rPr>
        <w:br/>
        <w:t>7 Ejecución de Auditoría</w:t>
      </w:r>
      <w:r w:rsidRPr="00612C32">
        <w:rPr>
          <w:rFonts w:asciiTheme="minorHAnsi" w:hAnsiTheme="minorHAnsi" w:cstheme="minorHAnsi"/>
          <w:lang w:val="es-CL"/>
        </w:rPr>
        <w:br/>
        <w:t>8 Informe de Resultados</w:t>
      </w:r>
      <w:r w:rsidRPr="00612C32">
        <w:rPr>
          <w:rFonts w:asciiTheme="minorHAnsi" w:hAnsiTheme="minorHAnsi" w:cstheme="minorHAnsi"/>
          <w:lang w:val="es-CL"/>
        </w:rPr>
        <w:br/>
        <w:t>9 Acciones Correctivas y Preventivas</w:t>
      </w:r>
      <w:r w:rsidRPr="00612C32">
        <w:rPr>
          <w:rFonts w:asciiTheme="minorHAnsi" w:hAnsiTheme="minorHAnsi" w:cstheme="minorHAnsi"/>
          <w:lang w:val="es-CL"/>
        </w:rPr>
        <w:br/>
        <w:t>10 Seguimiento y Cierre de Auditoría</w:t>
      </w:r>
      <w:r w:rsidRPr="00612C32">
        <w:rPr>
          <w:rFonts w:asciiTheme="minorHAnsi" w:hAnsiTheme="minorHAnsi" w:cstheme="minorHAnsi"/>
          <w:lang w:val="es-CL"/>
        </w:rPr>
        <w:br/>
        <w:t>11 Registros y Documentación</w:t>
      </w:r>
      <w:r w:rsidRPr="00612C32">
        <w:rPr>
          <w:rFonts w:asciiTheme="minorHAnsi" w:hAnsiTheme="minorHAnsi" w:cstheme="minorHAnsi"/>
          <w:lang w:val="es-CL"/>
        </w:rPr>
        <w:br/>
        <w:t>12 Referencias</w:t>
      </w:r>
      <w:r w:rsidRPr="00612C32">
        <w:rPr>
          <w:rFonts w:asciiTheme="minorHAnsi" w:hAnsiTheme="minorHAnsi" w:cstheme="minorHAnsi"/>
          <w:lang w:val="es-CL"/>
        </w:rPr>
        <w:br/>
        <w:t>13 Anexos</w:t>
      </w:r>
    </w:p>
    <w:p w14:paraId="7E96F8C7" w14:textId="77777777" w:rsidR="00612C32" w:rsidRPr="00612C32" w:rsidRDefault="00612C32" w:rsidP="00452E7F">
      <w:pPr>
        <w:pStyle w:val="NormalWeb"/>
        <w:rPr>
          <w:rFonts w:asciiTheme="minorHAnsi" w:hAnsiTheme="minorHAnsi" w:cstheme="minorHAnsi"/>
          <w:lang w:val="es-CL"/>
        </w:rPr>
      </w:pPr>
    </w:p>
    <w:p w14:paraId="346153FE" w14:textId="77777777" w:rsidR="00612C32" w:rsidRPr="00612C32" w:rsidRDefault="00612C32" w:rsidP="00452E7F">
      <w:pPr>
        <w:pStyle w:val="NormalWeb"/>
        <w:rPr>
          <w:rFonts w:asciiTheme="minorHAnsi" w:hAnsiTheme="minorHAnsi" w:cstheme="minorHAnsi"/>
          <w:lang w:val="es-CL"/>
        </w:rPr>
      </w:pPr>
    </w:p>
    <w:p w14:paraId="736D7DA9" w14:textId="77777777" w:rsidR="00612C32" w:rsidRPr="00612C32" w:rsidRDefault="00612C32" w:rsidP="00452E7F">
      <w:pPr>
        <w:pStyle w:val="NormalWeb"/>
        <w:rPr>
          <w:rFonts w:asciiTheme="minorHAnsi" w:hAnsiTheme="minorHAnsi" w:cstheme="minorHAnsi"/>
          <w:lang w:val="es-CL"/>
        </w:rPr>
      </w:pPr>
    </w:p>
    <w:p w14:paraId="62ABEF54" w14:textId="77777777" w:rsidR="00612C32" w:rsidRPr="00612C32" w:rsidRDefault="00612C32" w:rsidP="00452E7F">
      <w:pPr>
        <w:pStyle w:val="NormalWeb"/>
        <w:rPr>
          <w:rFonts w:asciiTheme="minorHAnsi" w:hAnsiTheme="minorHAnsi" w:cstheme="minorHAnsi"/>
          <w:lang w:val="es-CL"/>
        </w:rPr>
      </w:pPr>
    </w:p>
    <w:p w14:paraId="743BA249" w14:textId="77777777" w:rsidR="00612C32" w:rsidRPr="00612C32" w:rsidRDefault="00612C32" w:rsidP="00452E7F">
      <w:pPr>
        <w:pStyle w:val="NormalWeb"/>
        <w:rPr>
          <w:rFonts w:asciiTheme="minorHAnsi" w:hAnsiTheme="minorHAnsi" w:cstheme="minorHAnsi"/>
          <w:lang w:val="es-CL"/>
        </w:rPr>
      </w:pPr>
    </w:p>
    <w:p w14:paraId="28C16320" w14:textId="77777777" w:rsidR="00612C32" w:rsidRPr="00612C32" w:rsidRDefault="00612C32" w:rsidP="00452E7F">
      <w:pPr>
        <w:pStyle w:val="NormalWeb"/>
        <w:rPr>
          <w:rFonts w:asciiTheme="minorHAnsi" w:hAnsiTheme="minorHAnsi" w:cstheme="minorHAnsi"/>
          <w:lang w:val="es-CL"/>
        </w:rPr>
      </w:pPr>
    </w:p>
    <w:p w14:paraId="31FBF284" w14:textId="77777777" w:rsidR="00612C32" w:rsidRPr="00612C32" w:rsidRDefault="00612C32" w:rsidP="00452E7F">
      <w:pPr>
        <w:pStyle w:val="NormalWeb"/>
        <w:rPr>
          <w:rFonts w:asciiTheme="minorHAnsi" w:hAnsiTheme="minorHAnsi" w:cstheme="minorHAnsi"/>
          <w:lang w:val="es-CL"/>
        </w:rPr>
      </w:pPr>
    </w:p>
    <w:p w14:paraId="1A7B3289" w14:textId="77777777" w:rsidR="00612C32" w:rsidRPr="00612C32" w:rsidRDefault="00612C32" w:rsidP="00452E7F">
      <w:pPr>
        <w:pStyle w:val="NormalWeb"/>
        <w:rPr>
          <w:rFonts w:asciiTheme="minorHAnsi" w:hAnsiTheme="minorHAnsi" w:cstheme="minorHAnsi"/>
          <w:lang w:val="es-CL"/>
        </w:rPr>
      </w:pPr>
    </w:p>
    <w:p w14:paraId="739CFBE4" w14:textId="77777777" w:rsidR="00612C32" w:rsidRPr="00612C32" w:rsidRDefault="00612C32" w:rsidP="00452E7F">
      <w:pPr>
        <w:pStyle w:val="NormalWeb"/>
        <w:rPr>
          <w:rFonts w:asciiTheme="minorHAnsi" w:hAnsiTheme="minorHAnsi" w:cstheme="minorHAnsi"/>
          <w:lang w:val="es-CL"/>
        </w:rPr>
      </w:pPr>
    </w:p>
    <w:p w14:paraId="6848DA03" w14:textId="77777777" w:rsidR="00612C32" w:rsidRPr="00612C32" w:rsidRDefault="00612C32" w:rsidP="00452E7F">
      <w:pPr>
        <w:pStyle w:val="NormalWeb"/>
        <w:rPr>
          <w:rFonts w:asciiTheme="minorHAnsi" w:hAnsiTheme="minorHAnsi" w:cstheme="minorHAnsi"/>
          <w:lang w:val="es-CL"/>
        </w:rPr>
      </w:pPr>
    </w:p>
    <w:p w14:paraId="3CED2E88" w14:textId="77777777" w:rsidR="00612C32" w:rsidRPr="00612C32" w:rsidRDefault="00612C32" w:rsidP="00452E7F">
      <w:pPr>
        <w:pStyle w:val="NormalWeb"/>
        <w:rPr>
          <w:rFonts w:asciiTheme="minorHAnsi" w:hAnsiTheme="minorHAnsi" w:cstheme="minorHAnsi"/>
          <w:lang w:val="es-CL"/>
        </w:rPr>
      </w:pPr>
    </w:p>
    <w:p w14:paraId="28D4A727" w14:textId="77777777" w:rsidR="00612C32" w:rsidRPr="00612C32" w:rsidRDefault="00612C32" w:rsidP="00452E7F">
      <w:pPr>
        <w:pStyle w:val="NormalWeb"/>
        <w:rPr>
          <w:rFonts w:asciiTheme="minorHAnsi" w:hAnsiTheme="minorHAnsi" w:cstheme="minorHAnsi"/>
          <w:lang w:val="es-CL"/>
        </w:rPr>
      </w:pPr>
    </w:p>
    <w:p w14:paraId="5E9166E1" w14:textId="77777777" w:rsidR="00612C32" w:rsidRPr="00612C32" w:rsidRDefault="00612C32" w:rsidP="00452E7F">
      <w:pPr>
        <w:pStyle w:val="NormalWeb"/>
        <w:rPr>
          <w:rFonts w:asciiTheme="minorHAnsi" w:hAnsiTheme="minorHAnsi" w:cstheme="minorHAnsi"/>
          <w:lang w:val="es-CL"/>
        </w:rPr>
      </w:pPr>
    </w:p>
    <w:p w14:paraId="1A40E8EB" w14:textId="77777777" w:rsidR="00612C32" w:rsidRPr="00612C32" w:rsidRDefault="00612C32" w:rsidP="00452E7F">
      <w:pPr>
        <w:pStyle w:val="NormalWeb"/>
        <w:rPr>
          <w:rFonts w:asciiTheme="minorHAnsi" w:hAnsiTheme="minorHAnsi" w:cstheme="minorHAnsi"/>
          <w:lang w:val="es-CL"/>
        </w:rPr>
      </w:pPr>
    </w:p>
    <w:p w14:paraId="2850E557" w14:textId="77777777" w:rsidR="00612C32" w:rsidRPr="00612C32" w:rsidRDefault="00612C32" w:rsidP="00452E7F">
      <w:pPr>
        <w:pStyle w:val="NormalWeb"/>
        <w:rPr>
          <w:rFonts w:asciiTheme="minorHAnsi" w:hAnsiTheme="minorHAnsi" w:cstheme="minorHAnsi"/>
          <w:lang w:val="es-CL"/>
        </w:rPr>
      </w:pPr>
    </w:p>
    <w:p w14:paraId="01AD3762" w14:textId="3D1A9E7A" w:rsidR="00612C32" w:rsidRPr="00612C32" w:rsidRDefault="00612C32" w:rsidP="00A20F4F">
      <w:pPr>
        <w:pStyle w:val="NormalWeb"/>
        <w:ind w:left="720"/>
        <w:jc w:val="both"/>
        <w:rPr>
          <w:rFonts w:asciiTheme="minorHAnsi" w:hAnsiTheme="minorHAnsi" w:cstheme="minorHAnsi"/>
          <w:b/>
          <w:bCs/>
          <w:lang w:val="es-CL"/>
        </w:rPr>
      </w:pPr>
      <w:r w:rsidRPr="00612C32">
        <w:rPr>
          <w:rFonts w:asciiTheme="minorHAnsi" w:hAnsiTheme="minorHAnsi" w:cstheme="minorHAnsi"/>
          <w:b/>
          <w:bCs/>
          <w:lang w:val="es-CL"/>
        </w:rPr>
        <w:lastRenderedPageBreak/>
        <w:t>Objetivo</w:t>
      </w:r>
    </w:p>
    <w:p w14:paraId="6D32560F"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 xml:space="preserve">Definir el proceso para planificar ejecutar evaluar y documentar auditorías internas con el fin de verificar la conformidad del Sistema de Gestión de Seguridad de la Información SGSI con los requisitos de la norma ISO 27001 y los controles aplicables Estas auditorías buscan también identificar oportunidades de mejora y garantizar que el SGSI se mantenga efectivo y actualizado Por ejemplo una auditoría interna exitosa en Anaconda Web además de alinearse con el Anexo A92 de la norma ISO 27001 también ha demostrado cumplimiento con regulaciones locales como la Ley </w:t>
      </w:r>
      <w:proofErr w:type="spellStart"/>
      <w:r w:rsidRPr="00612C32">
        <w:rPr>
          <w:rFonts w:asciiTheme="minorHAnsi" w:hAnsiTheme="minorHAnsi" w:cstheme="minorHAnsi"/>
          <w:lang w:val="es-CL"/>
        </w:rPr>
        <w:t>N°</w:t>
      </w:r>
      <w:proofErr w:type="spellEnd"/>
      <w:r w:rsidRPr="00612C32">
        <w:rPr>
          <w:rFonts w:asciiTheme="minorHAnsi" w:hAnsiTheme="minorHAnsi" w:cstheme="minorHAnsi"/>
          <w:lang w:val="es-CL"/>
        </w:rPr>
        <w:t xml:space="preserve"> 19.628 sobre Protección de la Vida Privada en Chile y con requisitos internacionales relacionados con el cumplimiento de GDPR y NIST SP 800-53 lo que fortalece la posición de la empresa en auditorías externas o certificaciones futuras reveló la necesidad de mejorar los procedimientos de respuesta a incidentes lo que condujo a la implementación de nuevos protocolos Otro caso demostró la importancia de controles adicionales en la gestión de accesos lo que redujo significativamente los riesgos de seguridad En entrevistas de auditorías anteriores se identificaron brechas de conocimiento sobre normativas de seguridad lo que dio origen a programas de capacitación especializados Finalmente estas auditorías han permitido mejorar la comunicación entre áreas operativas y la dirección generando un ciclo continuo de mejora del SGSI Por ejemplo una auditoría interna podría revelar que las políticas de acceso a datos no están siendo seguidas adecuadamente lo que permitiría implementar controles más estrictos También es posible que a través de entrevistas con el personal se detecten brechas de capacitación en seguridad de la información lo que derivaría en nuevos programas de formación adicionalmente las auditorías pueden descubrir procesos ineficientes en la respuesta a incidentes permitiendo la creación de protocolos más ágiles y efectivos finalmente los resultados de la auditoría proporcionan una base objetiva para decisiones gerenciales sobre la asignación de recursos en iniciativas de seguridad Este procedimiento está alineado con el Anexo A92 de la norma ISO 27001 2022 en la empresa Anaconda Web</w:t>
      </w:r>
    </w:p>
    <w:p w14:paraId="3F1C64C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El cumplimiento de este anexo es fundamental para evaluar la eficacia de los controles implementados asegurando que se cumplan los requisitos de confidencialidad integridad y disponibilidad de la información Adicionalmente la auditoría interna permite a la organización cumplir con sus compromisos de mejora continua</w:t>
      </w:r>
    </w:p>
    <w:p w14:paraId="6EB1A497" w14:textId="601FD6B8"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Las actividades de auditoría deben ser programadas y ejecutadas considerando tanto los riesgos organizacionales como los requisitos contractuales con clientes o reguladores Finalmente los resultados de las auditorías internas se utilizan como base para realizar ajustes y optimizar el SGSI</w:t>
      </w:r>
    </w:p>
    <w:p w14:paraId="300420FA"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Alcance</w:t>
      </w:r>
    </w:p>
    <w:p w14:paraId="2971F4DB"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El procedimiento es aplicable a todas las áreas procesos actividades recursos y personal involucrado en la operación del SGSI de Anaconda Web Este procedimiento incluye tanto auditorías programadas como auditorías no programadas que sean necesarias para garantizar el cumplimiento normativo</w:t>
      </w:r>
    </w:p>
    <w:p w14:paraId="13CB4DD4"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lastRenderedPageBreak/>
        <w:t>Adicionalmente se extiende a procesos tercerizados o recursos externos que puedan afectar la seguridad de la información Esta extensión se aplica particularmente a proveedores de servicios críticos cuyos sistemas o datos estén integrados con los procesos de Anaconda Web En estos casos es fundamental que la empresa realice una coordinación previa con los proveedores notificándoles el alcance y los criterios de auditoría Además se deben acordar los niveles de acceso a los sistemas informáticos y la disponibilidad de personal especializado para colaborar durante la auditoría</w:t>
      </w:r>
    </w:p>
    <w:p w14:paraId="79757070"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Asimismo se recomienda establecer acuerdos formales de colaboración que incluyan cláusulas sobre tiempos de respuesta entrega de evidencias y cumplimiento de los requerimientos de seguridad establecidos por la organización Para mejorar la transparencia en el proceso los proveedores deben proporcionar registros verificables de los controles aplicados y estar dispuestos a someterse a revisiones periódicas como parte del proceso de auditoría externa Por ejemplo Anaconda Web ha implementado acuerdos exitosos con proveedores de servicios de almacenamiento en la nube en los cuales se establece un compromiso formal para realizar auditorías trimestrales y verificar controles de cifrado y acceso seguro Asimismo se realizan reuniones de seguimiento para evaluar continuamente el cumplimiento de los compromisos establecidos</w:t>
      </w:r>
    </w:p>
    <w:p w14:paraId="2967824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La comunicación con terceros debe documentarse de manera formal incluyendo las respuestas de los proveedores respecto a los requisitos de auditoría Así mismo es necesario definir los tiempos y las evidencias que se esperarán de estos procesos externos para evitar demoras o resultados inconclusos</w:t>
      </w:r>
    </w:p>
    <w:p w14:paraId="02FCE45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El alcance también abarca las auditorías extraordinarias que se realizan en respuesta a incidentes graves o ante cambios significativos en el entorno operativo Finalmente todas las áreas auditadas deben proporcionar el acceso necesario a los recursos informativos sin obstaculizar el trabajo del equipo auditor incluyendo la entrega de información adicional requerida por los auditores para clarificar o profundizar ciertos hallazgos</w:t>
      </w:r>
    </w:p>
    <w:p w14:paraId="3AD08039" w14:textId="59B04AF6" w:rsidR="00612C32" w:rsidRPr="00612C32" w:rsidRDefault="00612C32" w:rsidP="00612C32">
      <w:pPr>
        <w:pStyle w:val="NormalWeb"/>
        <w:jc w:val="both"/>
        <w:rPr>
          <w:rFonts w:asciiTheme="minorHAnsi" w:hAnsiTheme="minorHAnsi" w:cstheme="minorHAnsi"/>
          <w:lang w:val="es-CL"/>
        </w:rPr>
      </w:pPr>
    </w:p>
    <w:p w14:paraId="6BD3E166"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Definiciones y Términos Clave</w:t>
      </w:r>
    </w:p>
    <w:p w14:paraId="3A7AFCF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Auditoría Interna</w:t>
      </w:r>
      <w:r w:rsidRPr="00612C32">
        <w:rPr>
          <w:rFonts w:asciiTheme="minorHAnsi" w:hAnsiTheme="minorHAnsi" w:cstheme="minorHAnsi"/>
          <w:lang w:val="es-CL"/>
        </w:rPr>
        <w:t xml:space="preserve"> actividad independiente documentada y objetiva que tiene como finalidad evaluar el cumplimiento del SGSI se lleva a cabo por personal capacitado y puede ser realizada por recursos internos o externos designados</w:t>
      </w:r>
    </w:p>
    <w:p w14:paraId="1B4773C3"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Auditor Líder</w:t>
      </w:r>
      <w:r w:rsidRPr="00612C32">
        <w:rPr>
          <w:rFonts w:asciiTheme="minorHAnsi" w:hAnsiTheme="minorHAnsi" w:cstheme="minorHAnsi"/>
          <w:lang w:val="es-CL"/>
        </w:rPr>
        <w:t xml:space="preserve"> persona responsable de planificar dirigir y supervisar el proceso de auditoría interna debe poseer conocimientos sobre los requisitos de la norma ISO 27001 y las operaciones del SGSI en Anaconda Web Además debe demostrar independencia respecto a las áreas auditadas para garantizar imparcialidad y objetividad en sus evaluaciones El auditor líder debe contar con experiencia comprobada en auditorías de sistemas de gestión así como habilidades de comunicación para dirigir al equipo auditor y presentar los resultados a la dirección Asimismo es importante que posea conocimientos técnicos sobre los controles </w:t>
      </w:r>
      <w:r w:rsidRPr="00612C32">
        <w:rPr>
          <w:rFonts w:asciiTheme="minorHAnsi" w:hAnsiTheme="minorHAnsi" w:cstheme="minorHAnsi"/>
          <w:lang w:val="es-CL"/>
        </w:rPr>
        <w:lastRenderedPageBreak/>
        <w:t>específicos de seguridad de la información implementados en la organización Para mantenerse actualizado en los cambios normativos debe participar regularmente en programas de formación continua que incluyan seminarios conferencias capacitaciones especializadas y revisiones de las actualizaciones en normativas de seguridad internacional También es recomendable que mantenga contacto con redes profesionales o asociaciones de auditores que permitan el intercambio de mejores prácticas y experiencias Adicionalmente es fundamental realizar evaluaciones periódicas del desempeño del auditor líder estas evaluaciones pueden incluir revisiones de la calidad de los informes de auditoría encuestas de satisfacción a las áreas auditadas y análisis de la eficacia de las acciones correctivas recomendadas con el fin de asegurar mejoras continuas en los procesos de auditoría</w:t>
      </w:r>
    </w:p>
    <w:p w14:paraId="1F30C620"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Evidencia Objetiva</w:t>
      </w:r>
      <w:r w:rsidRPr="00612C32">
        <w:rPr>
          <w:rFonts w:asciiTheme="minorHAnsi" w:hAnsiTheme="minorHAnsi" w:cstheme="minorHAnsi"/>
          <w:lang w:val="es-CL"/>
        </w:rPr>
        <w:t xml:space="preserve"> datos verificables obtenidos mediante entrevistas observaciones o revisión de documentos es fundamental que la evidencia sea suficiente relevante y confiable para respaldar los hallazgos de la auditoría</w:t>
      </w:r>
    </w:p>
    <w:p w14:paraId="44ECF707" w14:textId="407D31E0"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No Conformidad</w:t>
      </w:r>
      <w:r w:rsidRPr="00612C32">
        <w:rPr>
          <w:rFonts w:asciiTheme="minorHAnsi" w:hAnsiTheme="minorHAnsi" w:cstheme="minorHAnsi"/>
          <w:lang w:val="es-CL"/>
        </w:rPr>
        <w:t xml:space="preserve"> desviación respecto a los requisitos especificados en la norma procedimientos internos o controles establecidos una no conformidad puede ser clasificada como mayor o menor según su impacto en el SGSI</w:t>
      </w:r>
    </w:p>
    <w:p w14:paraId="51CDA713"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Responsabilidades</w:t>
      </w:r>
    </w:p>
    <w:p w14:paraId="598F747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Auditor Líder</w:t>
      </w:r>
      <w:r w:rsidRPr="00612C32">
        <w:rPr>
          <w:rFonts w:asciiTheme="minorHAnsi" w:hAnsiTheme="minorHAnsi" w:cstheme="minorHAnsi"/>
          <w:lang w:val="es-CL"/>
        </w:rPr>
        <w:t xml:space="preserve"> es responsable de la planificación coordinación y ejecución de la auditoría asegurando que el equipo auditor cumpla con el plan establecido también debe garantizar la comunicación efectiva de los hallazgos y resultados a la gerencia</w:t>
      </w:r>
    </w:p>
    <w:p w14:paraId="6F730C8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Equipo Auditor</w:t>
      </w:r>
      <w:r w:rsidRPr="00612C32">
        <w:rPr>
          <w:rFonts w:asciiTheme="minorHAnsi" w:hAnsiTheme="minorHAnsi" w:cstheme="minorHAnsi"/>
          <w:lang w:val="es-CL"/>
        </w:rPr>
        <w:t xml:space="preserve"> compuesto por uno o más auditores que ejecutan las actividades de auditoría realizan entrevistas recopilan evidencia verifican la aplicación de los controles y documentan los hallazgos en el informe final</w:t>
      </w:r>
    </w:p>
    <w:p w14:paraId="2BB3C1ED"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Responsables de Proceso</w:t>
      </w:r>
      <w:r w:rsidRPr="00612C32">
        <w:rPr>
          <w:rFonts w:asciiTheme="minorHAnsi" w:hAnsiTheme="minorHAnsi" w:cstheme="minorHAnsi"/>
          <w:lang w:val="es-CL"/>
        </w:rPr>
        <w:t xml:space="preserve"> los responsables de cada área o proceso deben colaborar proporcionando acceso a la información y los recursos requeridos así como implementando las acciones correctivas en caso de no conformidades</w:t>
      </w:r>
    </w:p>
    <w:p w14:paraId="2C36319F" w14:textId="230AAB29"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Gerencia</w:t>
      </w:r>
      <w:r w:rsidRPr="00612C32">
        <w:rPr>
          <w:rFonts w:asciiTheme="minorHAnsi" w:hAnsiTheme="minorHAnsi" w:cstheme="minorHAnsi"/>
          <w:lang w:val="es-CL"/>
        </w:rPr>
        <w:t xml:space="preserve"> se encarga de aprobar los resultados de la auditoría asignar los recursos necesarios para las acciones correctivas y asegurar que estas se implementen de manera efectiva dentro de los plazos definidos</w:t>
      </w:r>
    </w:p>
    <w:p w14:paraId="361A768E"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Planificación de Auditoría</w:t>
      </w:r>
    </w:p>
    <w:p w14:paraId="3042FE9A"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Frecuencia</w:t>
      </w:r>
      <w:r w:rsidRPr="00612C32">
        <w:rPr>
          <w:rFonts w:asciiTheme="minorHAnsi" w:hAnsiTheme="minorHAnsi" w:cstheme="minorHAnsi"/>
          <w:lang w:val="es-CL"/>
        </w:rPr>
        <w:t xml:space="preserve"> las auditorías se realizarán al menos una vez al año o según el nivel de riesgo identificado en los procesos adicionalmente se pueden realizar auditorías extraordinarias en respuesta a factores como incidentes significativos cambios relevantes en la infraestructura tecnológica requisitos legales emergentes o descubrimientos de vulnerabilidades críticas Un ejemplo de esto fue un incidente ocurrido en Anaconda Web donde se detectó una vulnerabilidad crítica en los sistemas de autenticación remota Este hallazgo provocó una </w:t>
      </w:r>
      <w:r w:rsidRPr="00612C32">
        <w:rPr>
          <w:rFonts w:asciiTheme="minorHAnsi" w:hAnsiTheme="minorHAnsi" w:cstheme="minorHAnsi"/>
          <w:lang w:val="es-CL"/>
        </w:rPr>
        <w:lastRenderedPageBreak/>
        <w:t>auditoría extraordinaria que evaluó todos los controles de acceso y derivó en la implementación de mecanismos de autenticación multifactor para mitigar futuros riesgos Estos criterios ayudan a garantizar que se responda de manera oportuna y proactiva a amenazas potenciales que puedan comprometer la seguridad de la información Se recomienda implementar una metodología de evaluación de riesgos que clasifique los eventos en función de su probabilidad e impacto esta metodología puede incluir matrices de riesgo entrevistas con responsables de área y revisiones de antecedentes de incidentes anteriores para determinar la necesidad de una auditoría extraordinaria</w:t>
      </w:r>
    </w:p>
    <w:p w14:paraId="152E2BB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Calendario Anual</w:t>
      </w:r>
      <w:r w:rsidRPr="00612C32">
        <w:rPr>
          <w:rFonts w:asciiTheme="minorHAnsi" w:hAnsiTheme="minorHAnsi" w:cstheme="minorHAnsi"/>
          <w:lang w:val="es-CL"/>
        </w:rPr>
        <w:t xml:space="preserve"> el auditor líder desarrollará un calendario de auditorías en consulta con la gerencia para asegurar que se cubran todas las áreas críticas este calendario debe revisarse y ajustarse según sea necesario</w:t>
      </w:r>
    </w:p>
    <w:p w14:paraId="274F05A9"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Definición de Objetivos</w:t>
      </w:r>
      <w:r w:rsidRPr="00612C32">
        <w:rPr>
          <w:rFonts w:asciiTheme="minorHAnsi" w:hAnsiTheme="minorHAnsi" w:cstheme="minorHAnsi"/>
          <w:lang w:val="es-CL"/>
        </w:rPr>
        <w:t xml:space="preserve"> los objetivos de cada auditoría incluyen verificar la conformidad con los requisitos de la norma ISO 27001 evaluar la eficacia de los controles y detectar posibles mejoras</w:t>
      </w:r>
    </w:p>
    <w:p w14:paraId="0F0270A1" w14:textId="6B5515A4"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Preparación del Plan</w:t>
      </w:r>
      <w:r w:rsidRPr="00612C32">
        <w:rPr>
          <w:rFonts w:asciiTheme="minorHAnsi" w:hAnsiTheme="minorHAnsi" w:cstheme="minorHAnsi"/>
          <w:lang w:val="es-CL"/>
        </w:rPr>
        <w:t xml:space="preserve"> el equipo auditor elaborará un plan que defina el alcance los recursos asignados los criterios de evaluación y el cronograma detallado de actividades este documento es fundamental para una ejecución eficiente y organizada</w:t>
      </w:r>
    </w:p>
    <w:p w14:paraId="6BA798F1"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Preparación para la Auditoría</w:t>
      </w:r>
    </w:p>
    <w:p w14:paraId="17A3483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Revisión de Documentos</w:t>
      </w:r>
      <w:r w:rsidRPr="00612C32">
        <w:rPr>
          <w:rFonts w:asciiTheme="minorHAnsi" w:hAnsiTheme="minorHAnsi" w:cstheme="minorHAnsi"/>
          <w:lang w:val="es-CL"/>
        </w:rPr>
        <w:t xml:space="preserve"> antes de iniciar la auditoría el equipo auditor deberá revisar documentos clave como políticas procedimientos registros de incidentes auditorías previas manuales de seguridad lineamientos de control de acceso y cualquier informe de auditorías externas relevantes estos documentos proporcionarán una base sólida para evaluar la conformidad y detectar posibles brechas en los controles implementados</w:t>
      </w:r>
    </w:p>
    <w:p w14:paraId="6E15565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Definición de Responsabilidades</w:t>
      </w:r>
      <w:r w:rsidRPr="00612C32">
        <w:rPr>
          <w:rFonts w:asciiTheme="minorHAnsi" w:hAnsiTheme="minorHAnsi" w:cstheme="minorHAnsi"/>
          <w:lang w:val="es-CL"/>
        </w:rPr>
        <w:t xml:space="preserve"> se asignarán roles específicos a cada miembro del equipo auditor para optimizar la recolección de evidencia y la documentación de los hallazgos Entre los roles clave se encuentra el auditor de campo quien realiza las observaciones directas y entrevistas durante las visitas a las áreas auditadas Otro rol importante es el responsable de informes quien se encarga de consolidar los hallazgos preparar el informe final y presentar los resultados a la dirección Además puede haber un coordinador del equipo auditor encargado de gestionar la logística de la auditoría asegurando el cumplimiento del cronograma establecido</w:t>
      </w:r>
    </w:p>
    <w:p w14:paraId="439E3FF1"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Notificación a las Áreas Auditadas</w:t>
      </w:r>
      <w:r w:rsidRPr="00612C32">
        <w:rPr>
          <w:rFonts w:asciiTheme="minorHAnsi" w:hAnsiTheme="minorHAnsi" w:cstheme="minorHAnsi"/>
          <w:lang w:val="es-CL"/>
        </w:rPr>
        <w:t xml:space="preserve"> el auditor líder comunicará con anticipación la fecha el alcance y los objetivos de la auditoría a las áreas involucradas para garantizar su preparación adecuada Se puede utilizar una plantilla estándar que incluya los siguientes elementos fecha y hora de la auditoría procesos y controles que serán auditados responsables de proceso a contactar requisitos de documentación y recursos necesarios además debe incluir información sobre el cronograma detallado y cualquier preparación previa que se espera de las áreas auditadas</w:t>
      </w:r>
    </w:p>
    <w:p w14:paraId="2BB412A0" w14:textId="3A2C14F0"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lastRenderedPageBreak/>
        <w:t>Preparación de Herramientas</w:t>
      </w:r>
      <w:r w:rsidRPr="00612C32">
        <w:rPr>
          <w:rFonts w:asciiTheme="minorHAnsi" w:hAnsiTheme="minorHAnsi" w:cstheme="minorHAnsi"/>
          <w:lang w:val="es-CL"/>
        </w:rPr>
        <w:t xml:space="preserve"> se definirán las listas de verificación formularios y otros instrumentos que se utilizarán durante la auditoría para asegurar la recopilación de evidencia consistente Además se recomienda el uso de herramientas digitales como software de gestión de auditorías plataformas de almacenamiento seguro para evidencias y aplicaciones móviles que faciliten la captura de datos en tiempo real Estas herramientas contribuyen a una mayor eficiencia en la organización y el análisis de la información recopilada durante el proceso de auditoría.</w:t>
      </w:r>
    </w:p>
    <w:p w14:paraId="363B4923"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Ejecución de Auditoría</w:t>
      </w:r>
    </w:p>
    <w:p w14:paraId="1B71825C"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Recolección de Evidencia</w:t>
      </w:r>
      <w:r w:rsidRPr="00612C32">
        <w:rPr>
          <w:rFonts w:asciiTheme="minorHAnsi" w:hAnsiTheme="minorHAnsi" w:cstheme="minorHAnsi"/>
          <w:lang w:val="es-CL"/>
        </w:rPr>
        <w:t xml:space="preserve"> se llevará a cabo mediante entrevistas observaciones en campo y revisión de registros clave el equipo auditor debe asegurarse de que la evidencia recopilada sea suficiente y relevante para respaldar los hallazgos Por ejemplo para el control de accesos la evidencia relevante puede incluir registros de acceso físico y digital mientras que para procesos de gestión de incidentes los informes de respuesta y análisis forense son fundamentales También es importante obtener declaraciones del personal clave para validar el cumplimiento de los procedimientos establecidos</w:t>
      </w:r>
    </w:p>
    <w:p w14:paraId="6CA2B133"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Análisis de Procesos</w:t>
      </w:r>
      <w:r w:rsidRPr="00612C32">
        <w:rPr>
          <w:rFonts w:asciiTheme="minorHAnsi" w:hAnsiTheme="minorHAnsi" w:cstheme="minorHAnsi"/>
          <w:lang w:val="es-CL"/>
        </w:rPr>
        <w:t xml:space="preserve"> se evaluará la conformidad de los procesos con los controles establecidos verificando el cumplimiento de las políticas de seguridad procedimientos operativos y estándares documentados Para este análisis se recomienda el uso de metodologías como diagramas de flujo de procesos auditorías cruzadas y matrices de riesgos que permiten identificar con precisión puntos débiles o ineficiencias en los controles implementados</w:t>
      </w:r>
    </w:p>
    <w:p w14:paraId="3874F10E"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Detección de Hallazgos</w:t>
      </w:r>
      <w:r w:rsidRPr="00612C32">
        <w:rPr>
          <w:rFonts w:asciiTheme="minorHAnsi" w:hAnsiTheme="minorHAnsi" w:cstheme="minorHAnsi"/>
          <w:lang w:val="es-CL"/>
        </w:rPr>
        <w:t xml:space="preserve"> el equipo auditor documentará todas las no conformidades y oportunidades de mejora identificadas durante la auditoría cada hallazgo debe estar respaldado por evidencia objetiva Los hallazgos se priorizan en función de su impacto en la seguridad de la información considerando criterios como la criticidad del proceso afectado la probabilidad de ocurrencia y el alcance potencial del riesgo Las no conformidades mayores que puedan comprometer la disponibilidad integridad o confidencialidad de los activos de información deben recibir atención inmediata mientras que las menores se gestionan de acuerdo con los recursos disponibles y las prioridades organizacionales</w:t>
      </w:r>
    </w:p>
    <w:p w14:paraId="795085EB"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Reunión de Cierre</w:t>
      </w:r>
      <w:r w:rsidRPr="00612C32">
        <w:rPr>
          <w:rFonts w:asciiTheme="minorHAnsi" w:hAnsiTheme="minorHAnsi" w:cstheme="minorHAnsi"/>
          <w:lang w:val="es-CL"/>
        </w:rPr>
        <w:t xml:space="preserve"> una vez concluida la auditoría se realizará una reunión con los responsables de proceso para presentar los hallazgos preliminares discutir las no conformidades y proporcionar recomendaciones iniciales Durante esta reunión se deben cubrir puntos clave como la descripción detallada de los hallazgos el análisis de su impacto en los procesos auditados las acciones correctivas sugeridas y los plazos para su implementación También es importante definir los responsables de cada acción y establecer un calendario para el seguimiento adicionalmente se deben dejar registradas las observaciones de los responsables de proceso y su aceptación o comentarios sobre los resultados</w:t>
      </w:r>
    </w:p>
    <w:p w14:paraId="212E6E6D" w14:textId="506A00E1" w:rsidR="00612C32" w:rsidRPr="00612C32" w:rsidRDefault="00612C32" w:rsidP="00612C32">
      <w:pPr>
        <w:pStyle w:val="NormalWeb"/>
        <w:jc w:val="both"/>
        <w:rPr>
          <w:rFonts w:asciiTheme="minorHAnsi" w:hAnsiTheme="minorHAnsi" w:cstheme="minorHAnsi"/>
          <w:lang w:val="es-CL"/>
        </w:rPr>
      </w:pPr>
    </w:p>
    <w:p w14:paraId="0D4F0E5D"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lastRenderedPageBreak/>
        <w:t>Informe de Resultados</w:t>
      </w:r>
    </w:p>
    <w:p w14:paraId="2CE6B331"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Contenido del Informe</w:t>
      </w:r>
      <w:r w:rsidRPr="00612C32">
        <w:rPr>
          <w:rFonts w:asciiTheme="minorHAnsi" w:hAnsiTheme="minorHAnsi" w:cstheme="minorHAnsi"/>
          <w:lang w:val="es-CL"/>
        </w:rPr>
        <w:t xml:space="preserve"> el informe incluirá un resumen ejecutivo los hallazgos clasificados en conformidades no conformidades mayores y menores y recomendaciones para la mejora continua del SGSI Además los resultados de las auditorías se utilizan para actualizar los planes de gestión de riesgos del SGSI mediante la incorporación de nuevos riesgos identificados durante el proceso de auditoría así como la reevaluación de los controles existentes Esto permite a la organización ajustar sus estrategias de mitigación priorizar acciones preventivas y correctivas y mejorar continuamente la seguridad de la información del SGSI Se deben especificar los criterios utilizados para clasificar las no conformidades asegurando que las mayores tengan un impacto crítico en los objetivos del SGSI Las no conformidades mayores son aquellas que comprometen de manera directa la seguridad de la información generando riesgos elevados e incumplimientos normativos mientras que las menores representan desviaciones o fallos de control que no afectan de forma inmediata pero pueden generar acumulativamente riesgos futuros</w:t>
      </w:r>
    </w:p>
    <w:p w14:paraId="29753B7D"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lang w:val="es-CL"/>
        </w:rPr>
        <w:t>Los criterios de evaluación incluyen el nivel de exposición al riesgo la probabilidad de ocurrencia y el impacto potencial en los activos de información También se evalúa el tiempo necesario para implementar una solución las dependencias con otros controles críticos y la existencia de eventos previos relacionados Para una mayor transparencia estos criterios deben ser comunicados a los responsables de las áreas auditadas permitiendo su comprensión y colaboración en el proceso de mejora continua</w:t>
      </w:r>
    </w:p>
    <w:p w14:paraId="1177F85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Distribución</w:t>
      </w:r>
      <w:r w:rsidRPr="00612C32">
        <w:rPr>
          <w:rFonts w:asciiTheme="minorHAnsi" w:hAnsiTheme="minorHAnsi" w:cstheme="minorHAnsi"/>
          <w:lang w:val="es-CL"/>
        </w:rPr>
        <w:t xml:space="preserve"> se enviará el informe final a la alta dirección responsables de proceso y partes interesadas clave el objetivo es asegurar que todas las áreas relevantes conozcan los resultados y puedan tomar acciones Adicionalmente debe incluirse un plan de comunicación interna que defina los tiempos de distribución los medios utilizados y las sesiones de presentación o reuniones para explicar los hallazgos Los informes se pueden difundir a través de correo electrónico plataformas internas o reuniones de equipo según la criticidad de los resultados También es recomendable programar una revisión de seguimiento para verificar la implementación de acciones correctivas Adicionalmente debe incluirse un plan de comunicación para garantizar la difusión oportuna de la información crítica</w:t>
      </w:r>
    </w:p>
    <w:p w14:paraId="427ED17C"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Revisión del Informe</w:t>
      </w:r>
      <w:r w:rsidRPr="00612C32">
        <w:rPr>
          <w:rFonts w:asciiTheme="minorHAnsi" w:hAnsiTheme="minorHAnsi" w:cstheme="minorHAnsi"/>
          <w:lang w:val="es-CL"/>
        </w:rPr>
        <w:t xml:space="preserve"> la gerencia revisará los hallazgos y priorizará las acciones correctivas y preventivas asignando responsables y plazos La prioridad se determina en función del impacto y la probabilidad de ocurrencia de las no conformidades Las acciones correctivas para no conformidades mayores deben implementarse de forma inmediata mientras que las menores deben ser gestionadas según los recursos disponibles</w:t>
      </w:r>
    </w:p>
    <w:p w14:paraId="16375E83"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Registro del Informe</w:t>
      </w:r>
      <w:r w:rsidRPr="00612C32">
        <w:rPr>
          <w:rFonts w:asciiTheme="minorHAnsi" w:hAnsiTheme="minorHAnsi" w:cstheme="minorHAnsi"/>
          <w:lang w:val="es-CL"/>
        </w:rPr>
        <w:t xml:space="preserve"> todos los informes de auditoría deben ser archivados en un repositorio seguro accesible solo para personal autorizado Este repositorio debe contar con mecanismos de respaldo y auditoría para asegurar la integridad y disponibilidad de la información</w:t>
      </w:r>
    </w:p>
    <w:p w14:paraId="371FC347"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Acciones Correctivas y Preventivas</w:t>
      </w:r>
    </w:p>
    <w:p w14:paraId="58935621"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lastRenderedPageBreak/>
        <w:t>Definición de Acciones Correctivas</w:t>
      </w:r>
      <w:r w:rsidRPr="00612C32">
        <w:rPr>
          <w:rFonts w:asciiTheme="minorHAnsi" w:hAnsiTheme="minorHAnsi" w:cstheme="minorHAnsi"/>
          <w:lang w:val="es-CL"/>
        </w:rPr>
        <w:t xml:space="preserve"> las no conformidades detectadas deben ser abordadas con acciones correctivas que eliminen la causa raíz del problema El proceso debe incluir un análisis detallado de las causas mediante herramientas como el diagrama de Ishikawa o la técnica de los cinco por </w:t>
      </w:r>
      <w:proofErr w:type="spellStart"/>
      <w:r w:rsidRPr="00612C32">
        <w:rPr>
          <w:rFonts w:asciiTheme="minorHAnsi" w:hAnsiTheme="minorHAnsi" w:cstheme="minorHAnsi"/>
          <w:lang w:val="es-CL"/>
        </w:rPr>
        <w:t>qués</w:t>
      </w:r>
      <w:proofErr w:type="spellEnd"/>
      <w:r w:rsidRPr="00612C32">
        <w:rPr>
          <w:rFonts w:asciiTheme="minorHAnsi" w:hAnsiTheme="minorHAnsi" w:cstheme="minorHAnsi"/>
          <w:lang w:val="es-CL"/>
        </w:rPr>
        <w:t xml:space="preserve"> Por ejemplo ante un incumplimiento en los controles de acceso detectado durante una auditoría, el equipo auditor podría emplear la técnica de los cinco por </w:t>
      </w:r>
      <w:proofErr w:type="spellStart"/>
      <w:r w:rsidRPr="00612C32">
        <w:rPr>
          <w:rFonts w:asciiTheme="minorHAnsi" w:hAnsiTheme="minorHAnsi" w:cstheme="minorHAnsi"/>
          <w:lang w:val="es-CL"/>
        </w:rPr>
        <w:t>qués</w:t>
      </w:r>
      <w:proofErr w:type="spellEnd"/>
      <w:r w:rsidRPr="00612C32">
        <w:rPr>
          <w:rFonts w:asciiTheme="minorHAnsi" w:hAnsiTheme="minorHAnsi" w:cstheme="minorHAnsi"/>
          <w:lang w:val="es-CL"/>
        </w:rPr>
        <w:t xml:space="preserve"> para determinar que la causa raíz se debió a la falta de capacitación del personal en los procedimientos de seguridad Posteriormente se implementó un plan de formación para mitigar el riesgo de recurrencia</w:t>
      </w:r>
    </w:p>
    <w:p w14:paraId="275C19F0"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Acciones Preventivas</w:t>
      </w:r>
      <w:r w:rsidRPr="00612C32">
        <w:rPr>
          <w:rFonts w:asciiTheme="minorHAnsi" w:hAnsiTheme="minorHAnsi" w:cstheme="minorHAnsi"/>
          <w:lang w:val="es-CL"/>
        </w:rPr>
        <w:t xml:space="preserve"> se implementarán medidas que permitan mitigar el riesgo de recurrencia de los problemas identificados en auditorías anteriores Estas medidas pueden incluir capacitación adicional optimización de procesos o implementación de controles preventivos Por ejemplo en auditorías anteriores se identificaron deficiencias en el control de acceso remoto lo que llevó a la creación de políticas más estrictas de autenticación Asimismo se ha optimizado el proceso de respaldo de datos mediante la implementación de revisiones automáticas para asegurar su integridad y disponibilidad</w:t>
      </w:r>
    </w:p>
    <w:p w14:paraId="135BDFE3"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Seguimiento de Acciones</w:t>
      </w:r>
      <w:r w:rsidRPr="00612C32">
        <w:rPr>
          <w:rFonts w:asciiTheme="minorHAnsi" w:hAnsiTheme="minorHAnsi" w:cstheme="minorHAnsi"/>
          <w:lang w:val="es-CL"/>
        </w:rPr>
        <w:t xml:space="preserve"> el auditor líder verificará la implementación efectiva de las acciones correctivas mediante auditorías de seguimiento Se debe establecer un cronograma de seguimiento para garantizar que las acciones sean verificadas dentro de los plazos establecidos Además se recomienda el uso de métricas o indicadores clave de rendimiento como el porcentaje de acciones implementadas en el plazo previsto la reducción de no conformidades recurrentes y el nivel de cumplimiento de los planes de acción Estos indicadores permiten monitorear de forma objetiva el progreso y efectividad de las acciones correctivas</w:t>
      </w:r>
    </w:p>
    <w:p w14:paraId="46A8B6D2"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Evaluación de Eficacia</w:t>
      </w:r>
      <w:r w:rsidRPr="00612C32">
        <w:rPr>
          <w:rFonts w:asciiTheme="minorHAnsi" w:hAnsiTheme="minorHAnsi" w:cstheme="minorHAnsi"/>
          <w:lang w:val="es-CL"/>
        </w:rPr>
        <w:t xml:space="preserve"> una vez implementadas las acciones correctivas se evaluará su impacto en la mejora del SGSI documentando los resultados en el sistema de registros La documentación debe incluir evidencias de cumplimiento y los resultados de la evaluación Se recomienda el uso de herramientas como auditorías de seguimiento encuestas de satisfacción a las áreas responsables y análisis de indicadores clave de rendimiento Estos métodos permiten verificar objetivamente si las acciones implementadas han eliminado las causas raíz de las no conformidades y si se han alcanzado los objetivos de seguridad establecidos</w:t>
      </w:r>
    </w:p>
    <w:p w14:paraId="6001811C"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Seguimiento y Cierre de Auditoría</w:t>
      </w:r>
    </w:p>
    <w:p w14:paraId="34C2EF28"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Cierre Formal</w:t>
      </w:r>
      <w:r w:rsidRPr="00612C32">
        <w:rPr>
          <w:rFonts w:asciiTheme="minorHAnsi" w:hAnsiTheme="minorHAnsi" w:cstheme="minorHAnsi"/>
          <w:lang w:val="es-CL"/>
        </w:rPr>
        <w:t xml:space="preserve"> el cierre de la auditoría se formalizará una vez que todas las acciones correctivas hayan sido implementadas y verificadas satisfactoriamente La documentación requerida para este proceso incluye actas de verificación informes de cierre que detallen las acciones realizadas y los resultados obtenidos así como registros de aceptación por parte de los responsables de las áreas auditadas</w:t>
      </w:r>
    </w:p>
    <w:p w14:paraId="355D9F28"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Informe Final</w:t>
      </w:r>
      <w:r w:rsidRPr="00612C32">
        <w:rPr>
          <w:rFonts w:asciiTheme="minorHAnsi" w:hAnsiTheme="minorHAnsi" w:cstheme="minorHAnsi"/>
          <w:lang w:val="es-CL"/>
        </w:rPr>
        <w:t xml:space="preserve"> se emitirá un informe de cierre que detalle el cumplimiento de las acciones correctivas y los resultados obtenidos Este informe debe incluir secciones clave como un resumen ejecutivo que resuma el proceso general un apartado con los hallazgos corregidos y </w:t>
      </w:r>
      <w:r w:rsidRPr="00612C32">
        <w:rPr>
          <w:rFonts w:asciiTheme="minorHAnsi" w:hAnsiTheme="minorHAnsi" w:cstheme="minorHAnsi"/>
          <w:lang w:val="es-CL"/>
        </w:rPr>
        <w:lastRenderedPageBreak/>
        <w:t>las acciones implementadas una evaluación del impacto en el SGSI y comentarios de las áreas auditadas sobre los resultados Adicionalmente debe adjuntar evidencias documentales que respalden la implementación efectiva de las acciones correctivas</w:t>
      </w:r>
    </w:p>
    <w:p w14:paraId="63AFA243"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Revisión del Proceso</w:t>
      </w:r>
      <w:r w:rsidRPr="00612C32">
        <w:rPr>
          <w:rFonts w:asciiTheme="minorHAnsi" w:hAnsiTheme="minorHAnsi" w:cstheme="minorHAnsi"/>
          <w:lang w:val="es-CL"/>
        </w:rPr>
        <w:t xml:space="preserve"> la gerencia llevará a cabo una evaluación del proceso de auditoría para identificar áreas de mejora en la planificación y ejecución futuras Esta evaluación puede apoyarse en metodologías como encuestas de retroalimentación a los auditores y responsables de proceso, revisiones de planes de auditoría anteriores, así como análisis de los tiempos de ejecución y cumplimiento de los cronogramas establecidos</w:t>
      </w:r>
    </w:p>
    <w:p w14:paraId="63F0D149"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Lecciones Aprendidas</w:t>
      </w:r>
      <w:r w:rsidRPr="00612C32">
        <w:rPr>
          <w:rFonts w:asciiTheme="minorHAnsi" w:hAnsiTheme="minorHAnsi" w:cstheme="minorHAnsi"/>
          <w:lang w:val="es-CL"/>
        </w:rPr>
        <w:t xml:space="preserve"> los aprendizajes derivados de la auditoría se documentarán y se compartirán con las áreas responsables para fortalecer el SGSI Por ejemplo en una auditoría anterior se identificó una debilidad en los procedimientos de gestión de incidentes lo que llevó a la creación de un protocolo más robusto para la detección temprana y respuesta a incidentes Como resultado se logró una reducción significativa en el tiempo de recuperación ante eventos críticos fortaleciendo la resiliencia del sistema de seguridad de la información</w:t>
      </w:r>
    </w:p>
    <w:p w14:paraId="2CB74F1D"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Registros y Documentación</w:t>
      </w:r>
    </w:p>
    <w:p w14:paraId="0F62C635"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Tipos de Registros</w:t>
      </w:r>
      <w:r w:rsidRPr="00612C32">
        <w:rPr>
          <w:rFonts w:asciiTheme="minorHAnsi" w:hAnsiTheme="minorHAnsi" w:cstheme="minorHAnsi"/>
          <w:lang w:val="es-CL"/>
        </w:rPr>
        <w:t xml:space="preserve"> los registros incluyen el plan anual de auditorías listas de verificación informes de auditoría evidencias recopiladas y registros de acciones correctivas Para cada tipo de registro se recomienda utilizar formatos estandarizados que faciliten su organización y accesibilidad Por ejemplo el plan anual de auditorías puede estar estructurado en un formato de cronograma detallado con fechas responsables y procesos a auditar las listas de verificación deben incluir secciones de control para marcar la evidencia recopilada los informes de auditoría deben tener un formato que contemple resumen ejecutivo hallazgos y recomendaciones y los registros de acciones correctivas deben mantener un formato de seguimiento con columnas para responsables fechas de implementación y estado actual de las acciones</w:t>
      </w:r>
    </w:p>
    <w:p w14:paraId="5B5A9B58"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Custodia de Registros</w:t>
      </w:r>
      <w:r w:rsidRPr="00612C32">
        <w:rPr>
          <w:rFonts w:asciiTheme="minorHAnsi" w:hAnsiTheme="minorHAnsi" w:cstheme="minorHAnsi"/>
          <w:lang w:val="es-CL"/>
        </w:rPr>
        <w:t xml:space="preserve"> los registros deben ser almacenados de manera segura y accesible solo para personal autorizado de acuerdo con la política de gestión documental</w:t>
      </w:r>
    </w:p>
    <w:p w14:paraId="3E0672BC"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Período de Conservación</w:t>
      </w:r>
      <w:r w:rsidRPr="00612C32">
        <w:rPr>
          <w:rFonts w:asciiTheme="minorHAnsi" w:hAnsiTheme="minorHAnsi" w:cstheme="minorHAnsi"/>
          <w:lang w:val="es-CL"/>
        </w:rPr>
        <w:t xml:space="preserve"> los registros de auditoría deben mantenerse durante un período definido por la política de retención de documentos de Anaconda Web</w:t>
      </w:r>
    </w:p>
    <w:p w14:paraId="186C6221"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Auditoría de Registros</w:t>
      </w:r>
      <w:r w:rsidRPr="00612C32">
        <w:rPr>
          <w:rFonts w:asciiTheme="minorHAnsi" w:hAnsiTheme="minorHAnsi" w:cstheme="minorHAnsi"/>
          <w:lang w:val="es-CL"/>
        </w:rPr>
        <w:t xml:space="preserve"> periódicamente se realizará una auditoría interna de los registros para garantizar su integridad disponibilidad y confidencialidad Se sugiere realizar estas auditorías al menos una vez al año o en función de eventos significativos como cambios en la normativa o incidentes de seguridad Los criterios de evaluación deben incluir la verificación de la exactitud de los datos almacenados el acceso autorizado a los registros y la presencia de mecanismos de respaldo y recuperación</w:t>
      </w:r>
    </w:p>
    <w:p w14:paraId="5D7015CC"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Referencias</w:t>
      </w:r>
    </w:p>
    <w:p w14:paraId="30012E5E" w14:textId="77777777" w:rsidR="00612C32" w:rsidRPr="00612C32" w:rsidRDefault="00612C32" w:rsidP="00861C2B">
      <w:pPr>
        <w:pStyle w:val="NormalWeb"/>
        <w:rPr>
          <w:rFonts w:asciiTheme="minorHAnsi" w:hAnsiTheme="minorHAnsi" w:cstheme="minorHAnsi"/>
          <w:lang w:val="es-CL"/>
        </w:rPr>
      </w:pPr>
      <w:r w:rsidRPr="00612C32">
        <w:rPr>
          <w:rFonts w:asciiTheme="minorHAnsi" w:hAnsiTheme="minorHAnsi" w:cstheme="minorHAnsi"/>
          <w:lang w:val="es-CL"/>
        </w:rPr>
        <w:lastRenderedPageBreak/>
        <w:t>ISO 27001 2022 cláusula 92 auditoría interna</w:t>
      </w:r>
      <w:r w:rsidRPr="00612C32">
        <w:rPr>
          <w:rFonts w:asciiTheme="minorHAnsi" w:hAnsiTheme="minorHAnsi" w:cstheme="minorHAnsi"/>
          <w:lang w:val="es-CL"/>
        </w:rPr>
        <w:br/>
        <w:t>Política de Seguridad de la Información de Anaconda Web</w:t>
      </w:r>
      <w:r w:rsidRPr="00612C32">
        <w:rPr>
          <w:rFonts w:asciiTheme="minorHAnsi" w:hAnsiTheme="minorHAnsi" w:cstheme="minorHAnsi"/>
          <w:lang w:val="es-CL"/>
        </w:rPr>
        <w:br/>
        <w:t>Manual del SGSI</w:t>
      </w:r>
    </w:p>
    <w:p w14:paraId="543099E7" w14:textId="77777777" w:rsidR="00612C32" w:rsidRPr="00612C32" w:rsidRDefault="00612C32" w:rsidP="00612C32">
      <w:pPr>
        <w:pStyle w:val="NormalWeb"/>
        <w:numPr>
          <w:ilvl w:val="0"/>
          <w:numId w:val="5"/>
        </w:numPr>
        <w:jc w:val="both"/>
        <w:rPr>
          <w:rFonts w:asciiTheme="minorHAnsi" w:hAnsiTheme="minorHAnsi" w:cstheme="minorHAnsi"/>
          <w:b/>
          <w:bCs/>
          <w:lang w:val="es-CL"/>
        </w:rPr>
      </w:pPr>
      <w:r w:rsidRPr="00612C32">
        <w:rPr>
          <w:rFonts w:asciiTheme="minorHAnsi" w:hAnsiTheme="minorHAnsi" w:cstheme="minorHAnsi"/>
          <w:b/>
          <w:bCs/>
          <w:lang w:val="es-CL"/>
        </w:rPr>
        <w:t>Anexos</w:t>
      </w:r>
    </w:p>
    <w:p w14:paraId="678D0EC7"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Anexo 1</w:t>
      </w:r>
      <w:r w:rsidRPr="00612C32">
        <w:rPr>
          <w:rFonts w:asciiTheme="minorHAnsi" w:hAnsiTheme="minorHAnsi" w:cstheme="minorHAnsi"/>
          <w:lang w:val="es-CL"/>
        </w:rPr>
        <w:t xml:space="preserve"> plantilla del plan de auditoría una guía detallada que incluye los pasos clave para definir los objetivos el alcance y los criterios de auditoría así como la asignación de recursos y responsabilidades</w:t>
      </w:r>
    </w:p>
    <w:p w14:paraId="297CDCA9"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Anexo 2</w:t>
      </w:r>
      <w:r w:rsidRPr="00612C32">
        <w:rPr>
          <w:rFonts w:asciiTheme="minorHAnsi" w:hAnsiTheme="minorHAnsi" w:cstheme="minorHAnsi"/>
          <w:lang w:val="es-CL"/>
        </w:rPr>
        <w:t xml:space="preserve"> formato de informe de auditoría ejemplo estructurado que contiene secciones para el resumen ejecutivo hallazgos clasificados acciones recomendadas y firmas de aprobación por la gerencia</w:t>
      </w:r>
    </w:p>
    <w:p w14:paraId="3629F63E"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Anexo 3</w:t>
      </w:r>
      <w:r w:rsidRPr="00612C32">
        <w:rPr>
          <w:rFonts w:asciiTheme="minorHAnsi" w:hAnsiTheme="minorHAnsi" w:cstheme="minorHAnsi"/>
          <w:lang w:val="es-CL"/>
        </w:rPr>
        <w:t xml:space="preserve"> lista de verificación para auditorías internas un documento que detalla los controles específicos a revisar en cada auditoría incluyendo evidencia necesaria y criterios de evaluación</w:t>
      </w:r>
    </w:p>
    <w:p w14:paraId="02D880DE"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Anexo 4</w:t>
      </w:r>
      <w:r w:rsidRPr="00612C32">
        <w:rPr>
          <w:rFonts w:asciiTheme="minorHAnsi" w:hAnsiTheme="minorHAnsi" w:cstheme="minorHAnsi"/>
          <w:lang w:val="es-CL"/>
        </w:rPr>
        <w:t xml:space="preserve"> ejemplos de hallazgos frecuentes hallazgos recurrentes detectados en auditorías anteriores incluyen fallos en la gestión de accesos, como permisos innecesarios otorgados a usuarios lo que fue corregido mediante una revisión periódica de privilegios e implementación de políticas de acceso con menor privilegio Otro ejemplo es el incumplimiento en los procedimientos de copia de seguridad donde se detectó que los respaldos no se realizaban con la frecuencia requerida Esto llevó a la automatización de las tareas de respaldo y auditorías mensuales para garantizar su integridad Asimismo, se encontraron deficiencias en la capacitación del personal sobre medidas de seguridad lo que motivó la creación de un programa de formación continua y pruebas periódicas para evaluar el nivel de conocimiento</w:t>
      </w:r>
    </w:p>
    <w:p w14:paraId="46D47E0B" w14:textId="77777777" w:rsidR="00612C32" w:rsidRPr="00612C32" w:rsidRDefault="00612C32" w:rsidP="00612C32">
      <w:pPr>
        <w:pStyle w:val="NormalWeb"/>
        <w:jc w:val="both"/>
        <w:rPr>
          <w:rFonts w:asciiTheme="minorHAnsi" w:hAnsiTheme="minorHAnsi" w:cstheme="minorHAnsi"/>
          <w:lang w:val="es-CL"/>
        </w:rPr>
      </w:pPr>
      <w:r w:rsidRPr="00612C32">
        <w:rPr>
          <w:rFonts w:asciiTheme="minorHAnsi" w:hAnsiTheme="minorHAnsi" w:cstheme="minorHAnsi"/>
          <w:b/>
          <w:bCs/>
          <w:lang w:val="es-CL"/>
        </w:rPr>
        <w:t>Anexo 5</w:t>
      </w:r>
      <w:r w:rsidRPr="00612C32">
        <w:rPr>
          <w:rFonts w:asciiTheme="minorHAnsi" w:hAnsiTheme="minorHAnsi" w:cstheme="minorHAnsi"/>
          <w:lang w:val="es-CL"/>
        </w:rPr>
        <w:t xml:space="preserve"> guía para la preparación de entrevistas durante la auditoría incluye preguntas clave para evaluar el conocimiento del personal sobre los controles de seguridad y su cumplimiento normativo</w:t>
      </w:r>
    </w:p>
    <w:p w14:paraId="32DA72E4" w14:textId="77777777" w:rsidR="00452E7F" w:rsidRPr="00452E7F" w:rsidRDefault="00452E7F" w:rsidP="00452E7F">
      <w:pPr>
        <w:pStyle w:val="NormalWeb"/>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8248" w14:textId="77777777" w:rsidR="00F80118" w:rsidRPr="00612C32" w:rsidRDefault="00F80118">
      <w:r w:rsidRPr="00612C32">
        <w:separator/>
      </w:r>
    </w:p>
    <w:p w14:paraId="4759AEB7" w14:textId="77777777" w:rsidR="00F80118" w:rsidRPr="00612C32" w:rsidRDefault="00F80118"/>
    <w:p w14:paraId="569082EA" w14:textId="77777777" w:rsidR="00F80118" w:rsidRPr="00612C32" w:rsidRDefault="00F80118"/>
    <w:p w14:paraId="00FB278C" w14:textId="77777777" w:rsidR="00F80118" w:rsidRPr="00612C32" w:rsidRDefault="00F80118" w:rsidP="00C1318C"/>
  </w:endnote>
  <w:endnote w:type="continuationSeparator" w:id="0">
    <w:p w14:paraId="42069451" w14:textId="77777777" w:rsidR="00F80118" w:rsidRPr="00612C32" w:rsidRDefault="00F80118">
      <w:r w:rsidRPr="00612C32">
        <w:continuationSeparator/>
      </w:r>
    </w:p>
    <w:p w14:paraId="1174CE9B" w14:textId="77777777" w:rsidR="00F80118" w:rsidRPr="00612C32" w:rsidRDefault="00F80118"/>
    <w:p w14:paraId="4926C85B" w14:textId="77777777" w:rsidR="00F80118" w:rsidRPr="00612C32" w:rsidRDefault="00F80118"/>
    <w:p w14:paraId="6FE11FCD" w14:textId="77777777" w:rsidR="00F80118" w:rsidRPr="00612C32" w:rsidRDefault="00F80118"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B03C" w14:textId="77777777" w:rsidR="00861C2B" w:rsidRPr="00612C32" w:rsidRDefault="00861C2B" w:rsidP="00861C2B">
    <w:pPr>
      <w:spacing w:after="0"/>
      <w:ind w:left="1900" w:firstLine="380"/>
      <w:jc w:val="both"/>
      <w:rPr>
        <w:rFonts w:asciiTheme="minorHAnsi" w:hAnsiTheme="minorHAnsi" w:cstheme="minorHAnsi"/>
        <w:b/>
        <w:bCs/>
        <w:sz w:val="28"/>
        <w:szCs w:val="28"/>
      </w:rPr>
    </w:pPr>
    <w:r w:rsidRPr="00612C32">
      <w:rPr>
        <w:rFonts w:ascii="Calibri" w:hAnsi="Calibri" w:cs="Calibri"/>
        <w:b/>
        <w:bCs/>
        <w:sz w:val="28"/>
        <w:szCs w:val="28"/>
      </w:rPr>
      <w:t xml:space="preserve">Clausula 92: Auditoría Interna </w:t>
    </w:r>
  </w:p>
  <w:p w14:paraId="361F1247" w14:textId="77C4422D" w:rsidR="00AB01A2" w:rsidRPr="00861C2B" w:rsidRDefault="00AB01A2" w:rsidP="00861C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01A58" w14:textId="77777777" w:rsidR="00F80118" w:rsidRPr="00612C32" w:rsidRDefault="00F80118">
      <w:r w:rsidRPr="00612C32">
        <w:separator/>
      </w:r>
    </w:p>
    <w:p w14:paraId="48FF64A8" w14:textId="77777777" w:rsidR="00F80118" w:rsidRPr="00612C32" w:rsidRDefault="00F80118"/>
    <w:p w14:paraId="08C55957" w14:textId="77777777" w:rsidR="00F80118" w:rsidRPr="00612C32" w:rsidRDefault="00F80118"/>
    <w:p w14:paraId="16010160" w14:textId="77777777" w:rsidR="00F80118" w:rsidRPr="00612C32" w:rsidRDefault="00F80118" w:rsidP="00C1318C"/>
  </w:footnote>
  <w:footnote w:type="continuationSeparator" w:id="0">
    <w:p w14:paraId="3E5A02BF" w14:textId="77777777" w:rsidR="00F80118" w:rsidRPr="00612C32" w:rsidRDefault="00F80118">
      <w:r w:rsidRPr="00612C32">
        <w:continuationSeparator/>
      </w:r>
    </w:p>
    <w:p w14:paraId="1E2820CC" w14:textId="77777777" w:rsidR="00F80118" w:rsidRPr="00612C32" w:rsidRDefault="00F80118"/>
    <w:p w14:paraId="047EE98F" w14:textId="77777777" w:rsidR="00F80118" w:rsidRPr="00612C32" w:rsidRDefault="00F80118"/>
    <w:p w14:paraId="13D2D650" w14:textId="77777777" w:rsidR="00F80118" w:rsidRPr="00612C32" w:rsidRDefault="00F80118"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612C32" w:rsidRDefault="001637D6">
    <w:r w:rsidRPr="00612C32">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1"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6"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38"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3"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36"/>
  </w:num>
  <w:num w:numId="2" w16cid:durableId="74938854">
    <w:abstractNumId w:val="15"/>
  </w:num>
  <w:num w:numId="3" w16cid:durableId="1494763561">
    <w:abstractNumId w:val="13"/>
  </w:num>
  <w:num w:numId="4" w16cid:durableId="2135100286">
    <w:abstractNumId w:val="35"/>
  </w:num>
  <w:num w:numId="5" w16cid:durableId="1000818834">
    <w:abstractNumId w:val="18"/>
  </w:num>
  <w:num w:numId="6" w16cid:durableId="1632788525">
    <w:abstractNumId w:val="46"/>
  </w:num>
  <w:num w:numId="7" w16cid:durableId="1321421067">
    <w:abstractNumId w:val="31"/>
  </w:num>
  <w:num w:numId="8" w16cid:durableId="352341285">
    <w:abstractNumId w:val="37"/>
  </w:num>
  <w:num w:numId="9" w16cid:durableId="27727978">
    <w:abstractNumId w:val="29"/>
  </w:num>
  <w:num w:numId="10" w16cid:durableId="1859850961">
    <w:abstractNumId w:val="11"/>
  </w:num>
  <w:num w:numId="11" w16cid:durableId="1630670735">
    <w:abstractNumId w:val="16"/>
  </w:num>
  <w:num w:numId="12" w16cid:durableId="1692032352">
    <w:abstractNumId w:val="18"/>
  </w:num>
  <w:num w:numId="13" w16cid:durableId="1393849829">
    <w:abstractNumId w:val="18"/>
  </w:num>
  <w:num w:numId="14" w16cid:durableId="815293384">
    <w:abstractNumId w:val="18"/>
  </w:num>
  <w:num w:numId="15" w16cid:durableId="1977754839">
    <w:abstractNumId w:val="44"/>
  </w:num>
  <w:num w:numId="16" w16cid:durableId="240061859">
    <w:abstractNumId w:val="20"/>
  </w:num>
  <w:num w:numId="17" w16cid:durableId="1741440573">
    <w:abstractNumId w:val="32"/>
  </w:num>
  <w:num w:numId="18" w16cid:durableId="404303887">
    <w:abstractNumId w:val="21"/>
  </w:num>
  <w:num w:numId="19" w16cid:durableId="1072853763">
    <w:abstractNumId w:val="4"/>
  </w:num>
  <w:num w:numId="20" w16cid:durableId="888345100">
    <w:abstractNumId w:val="24"/>
  </w:num>
  <w:num w:numId="21" w16cid:durableId="2083486945">
    <w:abstractNumId w:val="27"/>
  </w:num>
  <w:num w:numId="22" w16cid:durableId="1412317948">
    <w:abstractNumId w:val="0"/>
  </w:num>
  <w:num w:numId="23" w16cid:durableId="1332220685">
    <w:abstractNumId w:val="42"/>
  </w:num>
  <w:num w:numId="24" w16cid:durableId="587539902">
    <w:abstractNumId w:val="45"/>
  </w:num>
  <w:num w:numId="25" w16cid:durableId="1814641950">
    <w:abstractNumId w:val="10"/>
  </w:num>
  <w:num w:numId="26" w16cid:durableId="805513463">
    <w:abstractNumId w:val="1"/>
  </w:num>
  <w:num w:numId="27" w16cid:durableId="1555776139">
    <w:abstractNumId w:val="48"/>
  </w:num>
  <w:num w:numId="28" w16cid:durableId="2123913244">
    <w:abstractNumId w:val="12"/>
  </w:num>
  <w:num w:numId="29" w16cid:durableId="874922778">
    <w:abstractNumId w:val="22"/>
  </w:num>
  <w:num w:numId="30" w16cid:durableId="1757896361">
    <w:abstractNumId w:val="3"/>
  </w:num>
  <w:num w:numId="31" w16cid:durableId="1888297015">
    <w:abstractNumId w:val="18"/>
  </w:num>
  <w:num w:numId="32" w16cid:durableId="1875121296">
    <w:abstractNumId w:val="18"/>
  </w:num>
  <w:num w:numId="33" w16cid:durableId="711199856">
    <w:abstractNumId w:val="18"/>
  </w:num>
  <w:num w:numId="34" w16cid:durableId="1914506562">
    <w:abstractNumId w:val="18"/>
  </w:num>
  <w:num w:numId="35" w16cid:durableId="1030836293">
    <w:abstractNumId w:val="39"/>
  </w:num>
  <w:num w:numId="36" w16cid:durableId="674503644">
    <w:abstractNumId w:val="9"/>
  </w:num>
  <w:num w:numId="37" w16cid:durableId="1888105176">
    <w:abstractNumId w:val="47"/>
  </w:num>
  <w:num w:numId="38" w16cid:durableId="342171148">
    <w:abstractNumId w:val="14"/>
  </w:num>
  <w:num w:numId="39" w16cid:durableId="1308512191">
    <w:abstractNumId w:val="38"/>
  </w:num>
  <w:num w:numId="40" w16cid:durableId="751203121">
    <w:abstractNumId w:val="6"/>
  </w:num>
  <w:num w:numId="41" w16cid:durableId="1001616379">
    <w:abstractNumId w:val="41"/>
  </w:num>
  <w:num w:numId="42" w16cid:durableId="157235028">
    <w:abstractNumId w:val="28"/>
  </w:num>
  <w:num w:numId="43" w16cid:durableId="1076974531">
    <w:abstractNumId w:val="26"/>
  </w:num>
  <w:num w:numId="44" w16cid:durableId="908157133">
    <w:abstractNumId w:val="8"/>
  </w:num>
  <w:num w:numId="45" w16cid:durableId="1528714069">
    <w:abstractNumId w:val="40"/>
  </w:num>
  <w:num w:numId="46" w16cid:durableId="1350448151">
    <w:abstractNumId w:val="33"/>
  </w:num>
  <w:num w:numId="47" w16cid:durableId="134489178">
    <w:abstractNumId w:val="23"/>
  </w:num>
  <w:num w:numId="48" w16cid:durableId="904069908">
    <w:abstractNumId w:val="30"/>
  </w:num>
  <w:num w:numId="49" w16cid:durableId="876355981">
    <w:abstractNumId w:val="17"/>
  </w:num>
  <w:num w:numId="50" w16cid:durableId="1270042179">
    <w:abstractNumId w:val="34"/>
  </w:num>
  <w:num w:numId="51" w16cid:durableId="610477338">
    <w:abstractNumId w:val="7"/>
  </w:num>
  <w:num w:numId="52" w16cid:durableId="1976401646">
    <w:abstractNumId w:val="2"/>
  </w:num>
  <w:num w:numId="53" w16cid:durableId="1718821827">
    <w:abstractNumId w:val="25"/>
  </w:num>
  <w:num w:numId="54" w16cid:durableId="404844148">
    <w:abstractNumId w:val="5"/>
  </w:num>
  <w:num w:numId="55" w16cid:durableId="819855879">
    <w:abstractNumId w:val="19"/>
  </w:num>
  <w:num w:numId="56" w16cid:durableId="362633569">
    <w:abstractNumId w:val="4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0463"/>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21A67"/>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53E57"/>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2C32"/>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677"/>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1C2B"/>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0F4F"/>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4DEE"/>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0118"/>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23161209">
      <w:bodyDiv w:val="1"/>
      <w:marLeft w:val="0"/>
      <w:marRight w:val="0"/>
      <w:marTop w:val="0"/>
      <w:marBottom w:val="0"/>
      <w:divBdr>
        <w:top w:val="none" w:sz="0" w:space="0" w:color="auto"/>
        <w:left w:val="none" w:sz="0" w:space="0" w:color="auto"/>
        <w:bottom w:val="none" w:sz="0" w:space="0" w:color="auto"/>
        <w:right w:val="none" w:sz="0" w:space="0" w:color="auto"/>
      </w:divBdr>
      <w:divsChild>
        <w:div w:id="1220550878">
          <w:marLeft w:val="0"/>
          <w:marRight w:val="0"/>
          <w:marTop w:val="0"/>
          <w:marBottom w:val="0"/>
          <w:divBdr>
            <w:top w:val="none" w:sz="0" w:space="0" w:color="auto"/>
            <w:left w:val="none" w:sz="0" w:space="0" w:color="auto"/>
            <w:bottom w:val="none" w:sz="0" w:space="0" w:color="auto"/>
            <w:right w:val="none" w:sz="0" w:space="0" w:color="auto"/>
          </w:divBdr>
        </w:div>
        <w:div w:id="1918903679">
          <w:marLeft w:val="0"/>
          <w:marRight w:val="0"/>
          <w:marTop w:val="0"/>
          <w:marBottom w:val="0"/>
          <w:divBdr>
            <w:top w:val="none" w:sz="0" w:space="0" w:color="auto"/>
            <w:left w:val="none" w:sz="0" w:space="0" w:color="auto"/>
            <w:bottom w:val="none" w:sz="0" w:space="0" w:color="auto"/>
            <w:right w:val="none" w:sz="0" w:space="0" w:color="auto"/>
          </w:divBdr>
        </w:div>
        <w:div w:id="395201036">
          <w:marLeft w:val="0"/>
          <w:marRight w:val="0"/>
          <w:marTop w:val="0"/>
          <w:marBottom w:val="0"/>
          <w:divBdr>
            <w:top w:val="none" w:sz="0" w:space="0" w:color="auto"/>
            <w:left w:val="none" w:sz="0" w:space="0" w:color="auto"/>
            <w:bottom w:val="none" w:sz="0" w:space="0" w:color="auto"/>
            <w:right w:val="none" w:sz="0" w:space="0" w:color="auto"/>
          </w:divBdr>
        </w:div>
        <w:div w:id="1068529762">
          <w:marLeft w:val="0"/>
          <w:marRight w:val="0"/>
          <w:marTop w:val="0"/>
          <w:marBottom w:val="0"/>
          <w:divBdr>
            <w:top w:val="none" w:sz="0" w:space="0" w:color="auto"/>
            <w:left w:val="none" w:sz="0" w:space="0" w:color="auto"/>
            <w:bottom w:val="none" w:sz="0" w:space="0" w:color="auto"/>
            <w:right w:val="none" w:sz="0" w:space="0" w:color="auto"/>
          </w:divBdr>
        </w:div>
        <w:div w:id="2091155060">
          <w:marLeft w:val="0"/>
          <w:marRight w:val="0"/>
          <w:marTop w:val="0"/>
          <w:marBottom w:val="0"/>
          <w:divBdr>
            <w:top w:val="none" w:sz="0" w:space="0" w:color="auto"/>
            <w:left w:val="none" w:sz="0" w:space="0" w:color="auto"/>
            <w:bottom w:val="none" w:sz="0" w:space="0" w:color="auto"/>
            <w:right w:val="none" w:sz="0" w:space="0" w:color="auto"/>
          </w:divBdr>
        </w:div>
        <w:div w:id="1458597299">
          <w:marLeft w:val="0"/>
          <w:marRight w:val="0"/>
          <w:marTop w:val="0"/>
          <w:marBottom w:val="0"/>
          <w:divBdr>
            <w:top w:val="none" w:sz="0" w:space="0" w:color="auto"/>
            <w:left w:val="none" w:sz="0" w:space="0" w:color="auto"/>
            <w:bottom w:val="none" w:sz="0" w:space="0" w:color="auto"/>
            <w:right w:val="none" w:sz="0" w:space="0" w:color="auto"/>
          </w:divBdr>
        </w:div>
        <w:div w:id="364141499">
          <w:marLeft w:val="0"/>
          <w:marRight w:val="0"/>
          <w:marTop w:val="0"/>
          <w:marBottom w:val="0"/>
          <w:divBdr>
            <w:top w:val="none" w:sz="0" w:space="0" w:color="auto"/>
            <w:left w:val="none" w:sz="0" w:space="0" w:color="auto"/>
            <w:bottom w:val="none" w:sz="0" w:space="0" w:color="auto"/>
            <w:right w:val="none" w:sz="0" w:space="0" w:color="auto"/>
          </w:divBdr>
        </w:div>
        <w:div w:id="733815717">
          <w:marLeft w:val="0"/>
          <w:marRight w:val="0"/>
          <w:marTop w:val="0"/>
          <w:marBottom w:val="0"/>
          <w:divBdr>
            <w:top w:val="none" w:sz="0" w:space="0" w:color="auto"/>
            <w:left w:val="none" w:sz="0" w:space="0" w:color="auto"/>
            <w:bottom w:val="none" w:sz="0" w:space="0" w:color="auto"/>
            <w:right w:val="none" w:sz="0" w:space="0" w:color="auto"/>
          </w:divBdr>
        </w:div>
        <w:div w:id="1938707843">
          <w:marLeft w:val="0"/>
          <w:marRight w:val="0"/>
          <w:marTop w:val="0"/>
          <w:marBottom w:val="0"/>
          <w:divBdr>
            <w:top w:val="none" w:sz="0" w:space="0" w:color="auto"/>
            <w:left w:val="none" w:sz="0" w:space="0" w:color="auto"/>
            <w:bottom w:val="none" w:sz="0" w:space="0" w:color="auto"/>
            <w:right w:val="none" w:sz="0" w:space="0" w:color="auto"/>
          </w:divBdr>
        </w:div>
        <w:div w:id="394670447">
          <w:marLeft w:val="0"/>
          <w:marRight w:val="0"/>
          <w:marTop w:val="0"/>
          <w:marBottom w:val="0"/>
          <w:divBdr>
            <w:top w:val="none" w:sz="0" w:space="0" w:color="auto"/>
            <w:left w:val="none" w:sz="0" w:space="0" w:color="auto"/>
            <w:bottom w:val="none" w:sz="0" w:space="0" w:color="auto"/>
            <w:right w:val="none" w:sz="0" w:space="0" w:color="auto"/>
          </w:divBdr>
        </w:div>
        <w:div w:id="32656752">
          <w:marLeft w:val="0"/>
          <w:marRight w:val="0"/>
          <w:marTop w:val="0"/>
          <w:marBottom w:val="0"/>
          <w:divBdr>
            <w:top w:val="none" w:sz="0" w:space="0" w:color="auto"/>
            <w:left w:val="none" w:sz="0" w:space="0" w:color="auto"/>
            <w:bottom w:val="none" w:sz="0" w:space="0" w:color="auto"/>
            <w:right w:val="none" w:sz="0" w:space="0" w:color="auto"/>
          </w:divBdr>
        </w:div>
        <w:div w:id="1732577467">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26902808">
      <w:bodyDiv w:val="1"/>
      <w:marLeft w:val="0"/>
      <w:marRight w:val="0"/>
      <w:marTop w:val="0"/>
      <w:marBottom w:val="0"/>
      <w:divBdr>
        <w:top w:val="none" w:sz="0" w:space="0" w:color="auto"/>
        <w:left w:val="none" w:sz="0" w:space="0" w:color="auto"/>
        <w:bottom w:val="none" w:sz="0" w:space="0" w:color="auto"/>
        <w:right w:val="none" w:sz="0" w:space="0" w:color="auto"/>
      </w:divBdr>
      <w:divsChild>
        <w:div w:id="358941244">
          <w:marLeft w:val="0"/>
          <w:marRight w:val="0"/>
          <w:marTop w:val="0"/>
          <w:marBottom w:val="0"/>
          <w:divBdr>
            <w:top w:val="none" w:sz="0" w:space="0" w:color="auto"/>
            <w:left w:val="none" w:sz="0" w:space="0" w:color="auto"/>
            <w:bottom w:val="none" w:sz="0" w:space="0" w:color="auto"/>
            <w:right w:val="none" w:sz="0" w:space="0" w:color="auto"/>
          </w:divBdr>
        </w:div>
      </w:divsChild>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41789537">
      <w:bodyDiv w:val="1"/>
      <w:marLeft w:val="0"/>
      <w:marRight w:val="0"/>
      <w:marTop w:val="0"/>
      <w:marBottom w:val="0"/>
      <w:divBdr>
        <w:top w:val="none" w:sz="0" w:space="0" w:color="auto"/>
        <w:left w:val="none" w:sz="0" w:space="0" w:color="auto"/>
        <w:bottom w:val="none" w:sz="0" w:space="0" w:color="auto"/>
        <w:right w:val="none" w:sz="0" w:space="0" w:color="auto"/>
      </w:divBdr>
    </w:div>
    <w:div w:id="1116410719">
      <w:bodyDiv w:val="1"/>
      <w:marLeft w:val="0"/>
      <w:marRight w:val="0"/>
      <w:marTop w:val="0"/>
      <w:marBottom w:val="0"/>
      <w:divBdr>
        <w:top w:val="none" w:sz="0" w:space="0" w:color="auto"/>
        <w:left w:val="none" w:sz="0" w:space="0" w:color="auto"/>
        <w:bottom w:val="none" w:sz="0" w:space="0" w:color="auto"/>
        <w:right w:val="none" w:sz="0" w:space="0" w:color="auto"/>
      </w:divBdr>
      <w:divsChild>
        <w:div w:id="1026640914">
          <w:marLeft w:val="0"/>
          <w:marRight w:val="0"/>
          <w:marTop w:val="0"/>
          <w:marBottom w:val="0"/>
          <w:divBdr>
            <w:top w:val="none" w:sz="0" w:space="0" w:color="auto"/>
            <w:left w:val="none" w:sz="0" w:space="0" w:color="auto"/>
            <w:bottom w:val="none" w:sz="0" w:space="0" w:color="auto"/>
            <w:right w:val="none" w:sz="0" w:space="0" w:color="auto"/>
          </w:divBdr>
        </w:div>
        <w:div w:id="1832255728">
          <w:marLeft w:val="0"/>
          <w:marRight w:val="0"/>
          <w:marTop w:val="0"/>
          <w:marBottom w:val="0"/>
          <w:divBdr>
            <w:top w:val="none" w:sz="0" w:space="0" w:color="auto"/>
            <w:left w:val="none" w:sz="0" w:space="0" w:color="auto"/>
            <w:bottom w:val="none" w:sz="0" w:space="0" w:color="auto"/>
            <w:right w:val="none" w:sz="0" w:space="0" w:color="auto"/>
          </w:divBdr>
        </w:div>
        <w:div w:id="285741994">
          <w:marLeft w:val="0"/>
          <w:marRight w:val="0"/>
          <w:marTop w:val="0"/>
          <w:marBottom w:val="0"/>
          <w:divBdr>
            <w:top w:val="none" w:sz="0" w:space="0" w:color="auto"/>
            <w:left w:val="none" w:sz="0" w:space="0" w:color="auto"/>
            <w:bottom w:val="none" w:sz="0" w:space="0" w:color="auto"/>
            <w:right w:val="none" w:sz="0" w:space="0" w:color="auto"/>
          </w:divBdr>
        </w:div>
        <w:div w:id="1648433533">
          <w:marLeft w:val="0"/>
          <w:marRight w:val="0"/>
          <w:marTop w:val="0"/>
          <w:marBottom w:val="0"/>
          <w:divBdr>
            <w:top w:val="none" w:sz="0" w:space="0" w:color="auto"/>
            <w:left w:val="none" w:sz="0" w:space="0" w:color="auto"/>
            <w:bottom w:val="none" w:sz="0" w:space="0" w:color="auto"/>
            <w:right w:val="none" w:sz="0" w:space="0" w:color="auto"/>
          </w:divBdr>
        </w:div>
        <w:div w:id="1732072284">
          <w:marLeft w:val="0"/>
          <w:marRight w:val="0"/>
          <w:marTop w:val="0"/>
          <w:marBottom w:val="0"/>
          <w:divBdr>
            <w:top w:val="none" w:sz="0" w:space="0" w:color="auto"/>
            <w:left w:val="none" w:sz="0" w:space="0" w:color="auto"/>
            <w:bottom w:val="none" w:sz="0" w:space="0" w:color="auto"/>
            <w:right w:val="none" w:sz="0" w:space="0" w:color="auto"/>
          </w:divBdr>
        </w:div>
        <w:div w:id="152260463">
          <w:marLeft w:val="0"/>
          <w:marRight w:val="0"/>
          <w:marTop w:val="0"/>
          <w:marBottom w:val="0"/>
          <w:divBdr>
            <w:top w:val="none" w:sz="0" w:space="0" w:color="auto"/>
            <w:left w:val="none" w:sz="0" w:space="0" w:color="auto"/>
            <w:bottom w:val="none" w:sz="0" w:space="0" w:color="auto"/>
            <w:right w:val="none" w:sz="0" w:space="0" w:color="auto"/>
          </w:divBdr>
        </w:div>
        <w:div w:id="51588656">
          <w:marLeft w:val="0"/>
          <w:marRight w:val="0"/>
          <w:marTop w:val="0"/>
          <w:marBottom w:val="0"/>
          <w:divBdr>
            <w:top w:val="none" w:sz="0" w:space="0" w:color="auto"/>
            <w:left w:val="none" w:sz="0" w:space="0" w:color="auto"/>
            <w:bottom w:val="none" w:sz="0" w:space="0" w:color="auto"/>
            <w:right w:val="none" w:sz="0" w:space="0" w:color="auto"/>
          </w:divBdr>
        </w:div>
        <w:div w:id="1908025787">
          <w:marLeft w:val="0"/>
          <w:marRight w:val="0"/>
          <w:marTop w:val="0"/>
          <w:marBottom w:val="0"/>
          <w:divBdr>
            <w:top w:val="none" w:sz="0" w:space="0" w:color="auto"/>
            <w:left w:val="none" w:sz="0" w:space="0" w:color="auto"/>
            <w:bottom w:val="none" w:sz="0" w:space="0" w:color="auto"/>
            <w:right w:val="none" w:sz="0" w:space="0" w:color="auto"/>
          </w:divBdr>
        </w:div>
        <w:div w:id="125511947">
          <w:marLeft w:val="0"/>
          <w:marRight w:val="0"/>
          <w:marTop w:val="0"/>
          <w:marBottom w:val="0"/>
          <w:divBdr>
            <w:top w:val="none" w:sz="0" w:space="0" w:color="auto"/>
            <w:left w:val="none" w:sz="0" w:space="0" w:color="auto"/>
            <w:bottom w:val="none" w:sz="0" w:space="0" w:color="auto"/>
            <w:right w:val="none" w:sz="0" w:space="0" w:color="auto"/>
          </w:divBdr>
        </w:div>
        <w:div w:id="730275085">
          <w:marLeft w:val="0"/>
          <w:marRight w:val="0"/>
          <w:marTop w:val="0"/>
          <w:marBottom w:val="0"/>
          <w:divBdr>
            <w:top w:val="none" w:sz="0" w:space="0" w:color="auto"/>
            <w:left w:val="none" w:sz="0" w:space="0" w:color="auto"/>
            <w:bottom w:val="none" w:sz="0" w:space="0" w:color="auto"/>
            <w:right w:val="none" w:sz="0" w:space="0" w:color="auto"/>
          </w:divBdr>
        </w:div>
        <w:div w:id="56318738">
          <w:marLeft w:val="0"/>
          <w:marRight w:val="0"/>
          <w:marTop w:val="0"/>
          <w:marBottom w:val="0"/>
          <w:divBdr>
            <w:top w:val="none" w:sz="0" w:space="0" w:color="auto"/>
            <w:left w:val="none" w:sz="0" w:space="0" w:color="auto"/>
            <w:bottom w:val="none" w:sz="0" w:space="0" w:color="auto"/>
            <w:right w:val="none" w:sz="0" w:space="0" w:color="auto"/>
          </w:divBdr>
        </w:div>
        <w:div w:id="1725442646">
          <w:marLeft w:val="0"/>
          <w:marRight w:val="0"/>
          <w:marTop w:val="0"/>
          <w:marBottom w:val="0"/>
          <w:divBdr>
            <w:top w:val="none" w:sz="0" w:space="0" w:color="auto"/>
            <w:left w:val="none" w:sz="0" w:space="0" w:color="auto"/>
            <w:bottom w:val="none" w:sz="0" w:space="0" w:color="auto"/>
            <w:right w:val="none" w:sz="0" w:space="0" w:color="auto"/>
          </w:divBdr>
        </w:div>
      </w:divsChild>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0023575">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30534197">
      <w:bodyDiv w:val="1"/>
      <w:marLeft w:val="0"/>
      <w:marRight w:val="0"/>
      <w:marTop w:val="0"/>
      <w:marBottom w:val="0"/>
      <w:divBdr>
        <w:top w:val="none" w:sz="0" w:space="0" w:color="auto"/>
        <w:left w:val="none" w:sz="0" w:space="0" w:color="auto"/>
        <w:bottom w:val="none" w:sz="0" w:space="0" w:color="auto"/>
        <w:right w:val="none" w:sz="0" w:space="0" w:color="auto"/>
      </w:divBdr>
      <w:divsChild>
        <w:div w:id="990521970">
          <w:marLeft w:val="0"/>
          <w:marRight w:val="0"/>
          <w:marTop w:val="0"/>
          <w:marBottom w:val="0"/>
          <w:divBdr>
            <w:top w:val="none" w:sz="0" w:space="0" w:color="auto"/>
            <w:left w:val="none" w:sz="0" w:space="0" w:color="auto"/>
            <w:bottom w:val="none" w:sz="0" w:space="0" w:color="auto"/>
            <w:right w:val="none" w:sz="0" w:space="0" w:color="auto"/>
          </w:divBdr>
        </w:div>
      </w:divsChild>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65687025">
      <w:bodyDiv w:val="1"/>
      <w:marLeft w:val="0"/>
      <w:marRight w:val="0"/>
      <w:marTop w:val="0"/>
      <w:marBottom w:val="0"/>
      <w:divBdr>
        <w:top w:val="none" w:sz="0" w:space="0" w:color="auto"/>
        <w:left w:val="none" w:sz="0" w:space="0" w:color="auto"/>
        <w:bottom w:val="none" w:sz="0" w:space="0" w:color="auto"/>
        <w:right w:val="none" w:sz="0" w:space="0" w:color="auto"/>
      </w:divBdr>
      <w:divsChild>
        <w:div w:id="749813063">
          <w:marLeft w:val="0"/>
          <w:marRight w:val="0"/>
          <w:marTop w:val="0"/>
          <w:marBottom w:val="0"/>
          <w:divBdr>
            <w:top w:val="none" w:sz="0" w:space="0" w:color="auto"/>
            <w:left w:val="none" w:sz="0" w:space="0" w:color="auto"/>
            <w:bottom w:val="none" w:sz="0" w:space="0" w:color="auto"/>
            <w:right w:val="none" w:sz="0" w:space="0" w:color="auto"/>
          </w:divBdr>
        </w:div>
      </w:divsChild>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16820461">
      <w:bodyDiv w:val="1"/>
      <w:marLeft w:val="0"/>
      <w:marRight w:val="0"/>
      <w:marTop w:val="0"/>
      <w:marBottom w:val="0"/>
      <w:divBdr>
        <w:top w:val="none" w:sz="0" w:space="0" w:color="auto"/>
        <w:left w:val="none" w:sz="0" w:space="0" w:color="auto"/>
        <w:bottom w:val="none" w:sz="0" w:space="0" w:color="auto"/>
        <w:right w:val="none" w:sz="0" w:space="0" w:color="auto"/>
      </w:divBdr>
      <w:divsChild>
        <w:div w:id="770515793">
          <w:marLeft w:val="0"/>
          <w:marRight w:val="0"/>
          <w:marTop w:val="0"/>
          <w:marBottom w:val="0"/>
          <w:divBdr>
            <w:top w:val="none" w:sz="0" w:space="0" w:color="auto"/>
            <w:left w:val="none" w:sz="0" w:space="0" w:color="auto"/>
            <w:bottom w:val="none" w:sz="0" w:space="0" w:color="auto"/>
            <w:right w:val="none" w:sz="0" w:space="0" w:color="auto"/>
          </w:divBdr>
        </w:div>
      </w:divsChild>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0463"/>
    <w:rsid w:val="001C466F"/>
    <w:rsid w:val="00263F00"/>
    <w:rsid w:val="00363C37"/>
    <w:rsid w:val="00383C66"/>
    <w:rsid w:val="00383C88"/>
    <w:rsid w:val="00390CD5"/>
    <w:rsid w:val="00483F4E"/>
    <w:rsid w:val="004F1616"/>
    <w:rsid w:val="00503E58"/>
    <w:rsid w:val="005910A7"/>
    <w:rsid w:val="006C7BDF"/>
    <w:rsid w:val="00726677"/>
    <w:rsid w:val="00737BAE"/>
    <w:rsid w:val="00871B28"/>
    <w:rsid w:val="00912671"/>
    <w:rsid w:val="00930D52"/>
    <w:rsid w:val="009C1F3E"/>
    <w:rsid w:val="00B63AF7"/>
    <w:rsid w:val="00B92933"/>
    <w:rsid w:val="00BD3BB8"/>
    <w:rsid w:val="00C81A8B"/>
    <w:rsid w:val="00CE4FF2"/>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4126</Words>
  <Characters>22698</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26771</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2025-02-04T20:50:00Z</dcterms:created>
  <dcterms:modified xsi:type="dcterms:W3CDTF">2025-03-31T03:52:00Z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