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452E7F" w:rsidRDefault="00657883" w:rsidP="00FB7C8B">
      <w:pPr>
        <w:jc w:val="both"/>
        <w:rPr>
          <w:rFonts w:asciiTheme="minorHAnsi" w:hAnsiTheme="minorHAnsi" w:cstheme="minorHAnsi"/>
        </w:rPr>
      </w:pPr>
    </w:p>
    <w:p w14:paraId="7415A3EE" w14:textId="77777777" w:rsidR="001705EC" w:rsidRPr="00452E7F" w:rsidRDefault="001705EC" w:rsidP="00FB7C8B">
      <w:pPr>
        <w:jc w:val="both"/>
        <w:rPr>
          <w:rFonts w:asciiTheme="minorHAnsi" w:hAnsiTheme="minorHAnsi" w:cstheme="minorHAnsi"/>
          <w:sz w:val="44"/>
          <w:szCs w:val="44"/>
        </w:rPr>
      </w:pPr>
    </w:p>
    <w:p w14:paraId="7D3EE362" w14:textId="77777777" w:rsidR="001705EC" w:rsidRPr="00452E7F" w:rsidRDefault="001705EC" w:rsidP="00FB7C8B">
      <w:pPr>
        <w:jc w:val="both"/>
        <w:rPr>
          <w:rFonts w:asciiTheme="minorHAnsi" w:hAnsiTheme="minorHAnsi" w:cstheme="minorHAnsi"/>
          <w:sz w:val="44"/>
          <w:szCs w:val="44"/>
        </w:rPr>
      </w:pPr>
    </w:p>
    <w:p w14:paraId="30FD80A7" w14:textId="1F70B377" w:rsidR="006533BC" w:rsidRPr="00452E7F" w:rsidRDefault="00FB7C8B" w:rsidP="00FB7C8B">
      <w:pPr>
        <w:spacing w:after="0"/>
        <w:ind w:left="1900" w:firstLine="380"/>
        <w:jc w:val="both"/>
        <w:rPr>
          <w:rFonts w:asciiTheme="minorHAnsi" w:hAnsiTheme="minorHAnsi" w:cstheme="minorHAnsi"/>
          <w:b/>
          <w:bCs/>
          <w:sz w:val="40"/>
          <w:szCs w:val="40"/>
        </w:rPr>
      </w:pPr>
      <w:r w:rsidRPr="00FB7C8B">
        <w:rPr>
          <w:rFonts w:ascii="Times New Roman" w:hAnsi="Times New Roman"/>
          <w:sz w:val="24"/>
          <w:szCs w:val="24"/>
          <w:lang w:eastAsia="es-CL"/>
        </w:rPr>
        <w:t>PLAN DE CAPACITACIÓN EN SEGURIDAD</w:t>
      </w:r>
    </w:p>
    <w:tbl>
      <w:tblPr>
        <w:tblStyle w:val="Tablaconcuadrcula"/>
        <w:tblW w:w="10368" w:type="dxa"/>
        <w:tblInd w:w="-342" w:type="dxa"/>
        <w:tblLook w:val="04A0" w:firstRow="1" w:lastRow="0" w:firstColumn="1" w:lastColumn="0" w:noHBand="0" w:noVBand="1"/>
      </w:tblPr>
      <w:tblGrid>
        <w:gridCol w:w="1803"/>
        <w:gridCol w:w="1497"/>
        <w:gridCol w:w="1690"/>
        <w:gridCol w:w="2196"/>
        <w:gridCol w:w="978"/>
        <w:gridCol w:w="2204"/>
      </w:tblGrid>
      <w:tr w:rsidR="00452E7F" w:rsidRPr="00452E7F" w14:paraId="273B0C4B" w14:textId="77777777" w:rsidTr="00D02A7F">
        <w:tc>
          <w:tcPr>
            <w:tcW w:w="1908" w:type="dxa"/>
            <w:shd w:val="clear" w:color="auto" w:fill="D9D9D9" w:themeFill="background1" w:themeFillShade="D9"/>
          </w:tcPr>
          <w:p w14:paraId="083D5C51" w14:textId="77777777" w:rsidR="001705EC" w:rsidRPr="00452E7F" w:rsidRDefault="001705EC" w:rsidP="00FB7C8B">
            <w:pPr>
              <w:jc w:val="both"/>
              <w:rPr>
                <w:rFonts w:asciiTheme="minorHAnsi" w:hAnsiTheme="minorHAnsi" w:cstheme="minorHAnsi"/>
                <w:b/>
                <w:bCs/>
                <w:sz w:val="24"/>
                <w:szCs w:val="24"/>
              </w:rPr>
            </w:pPr>
            <w:r w:rsidRPr="00452E7F">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452E7F" w:rsidRDefault="001705EC" w:rsidP="00FB7C8B">
            <w:pPr>
              <w:jc w:val="both"/>
              <w:rPr>
                <w:rFonts w:asciiTheme="minorHAnsi" w:hAnsiTheme="minorHAnsi" w:cstheme="minorHAnsi"/>
                <w:b/>
                <w:bCs/>
                <w:sz w:val="24"/>
                <w:szCs w:val="24"/>
              </w:rPr>
            </w:pPr>
            <w:r w:rsidRPr="00452E7F">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452E7F" w:rsidRDefault="001705EC" w:rsidP="00FB7C8B">
            <w:pPr>
              <w:jc w:val="both"/>
              <w:rPr>
                <w:rFonts w:asciiTheme="minorHAnsi" w:hAnsiTheme="minorHAnsi" w:cstheme="minorHAnsi"/>
                <w:b/>
                <w:bCs/>
                <w:sz w:val="24"/>
                <w:szCs w:val="24"/>
              </w:rPr>
            </w:pPr>
            <w:r w:rsidRPr="00452E7F">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452E7F" w:rsidRDefault="001705EC" w:rsidP="00FB7C8B">
            <w:pPr>
              <w:jc w:val="both"/>
              <w:rPr>
                <w:rFonts w:asciiTheme="minorHAnsi" w:hAnsiTheme="minorHAnsi" w:cstheme="minorHAnsi"/>
                <w:b/>
                <w:bCs/>
                <w:sz w:val="24"/>
                <w:szCs w:val="24"/>
              </w:rPr>
            </w:pPr>
            <w:r w:rsidRPr="00452E7F">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452E7F" w:rsidRDefault="001705EC" w:rsidP="00FB7C8B">
            <w:pPr>
              <w:jc w:val="both"/>
              <w:rPr>
                <w:rFonts w:asciiTheme="minorHAnsi" w:hAnsiTheme="minorHAnsi" w:cstheme="minorHAnsi"/>
                <w:b/>
                <w:bCs/>
                <w:sz w:val="24"/>
                <w:szCs w:val="24"/>
              </w:rPr>
            </w:pPr>
            <w:r w:rsidRPr="00452E7F">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452E7F" w:rsidRDefault="001705EC" w:rsidP="00FB7C8B">
            <w:pPr>
              <w:jc w:val="both"/>
              <w:rPr>
                <w:rFonts w:asciiTheme="minorHAnsi" w:hAnsiTheme="minorHAnsi" w:cstheme="minorHAnsi"/>
                <w:b/>
                <w:bCs/>
                <w:sz w:val="24"/>
                <w:szCs w:val="24"/>
              </w:rPr>
            </w:pPr>
            <w:r w:rsidRPr="00452E7F">
              <w:rPr>
                <w:rFonts w:asciiTheme="minorHAnsi" w:hAnsiTheme="minorHAnsi" w:cstheme="minorHAnsi"/>
                <w:b/>
                <w:bCs/>
                <w:sz w:val="24"/>
                <w:szCs w:val="24"/>
              </w:rPr>
              <w:t>Descripción</w:t>
            </w:r>
          </w:p>
        </w:tc>
      </w:tr>
      <w:tr w:rsidR="00452E7F" w:rsidRPr="00452E7F" w14:paraId="23D5C307" w14:textId="77777777" w:rsidTr="00D02A7F">
        <w:tc>
          <w:tcPr>
            <w:tcW w:w="1908" w:type="dxa"/>
          </w:tcPr>
          <w:p w14:paraId="1F536261" w14:textId="77777777" w:rsidR="001705EC" w:rsidRPr="00452E7F" w:rsidRDefault="001705EC" w:rsidP="00FB7C8B">
            <w:pPr>
              <w:jc w:val="both"/>
              <w:rPr>
                <w:rFonts w:asciiTheme="minorHAnsi" w:hAnsiTheme="minorHAnsi" w:cstheme="minorHAnsi"/>
                <w:sz w:val="24"/>
                <w:szCs w:val="24"/>
              </w:rPr>
            </w:pPr>
            <w:bookmarkStart w:id="0" w:name="_Hlk187601937"/>
            <w:r w:rsidRPr="00452E7F">
              <w:rPr>
                <w:rFonts w:asciiTheme="minorHAnsi" w:hAnsiTheme="minorHAnsi" w:cstheme="minorHAnsi"/>
                <w:sz w:val="24"/>
                <w:szCs w:val="24"/>
              </w:rPr>
              <w:t>V1.0</w:t>
            </w:r>
          </w:p>
        </w:tc>
        <w:tc>
          <w:tcPr>
            <w:tcW w:w="1570" w:type="dxa"/>
          </w:tcPr>
          <w:p w14:paraId="5CF1E181" w14:textId="23D50EDA" w:rsidR="001705EC" w:rsidRPr="00452E7F" w:rsidRDefault="001637D6" w:rsidP="00FB7C8B">
            <w:pPr>
              <w:jc w:val="both"/>
              <w:rPr>
                <w:rFonts w:asciiTheme="minorHAnsi" w:hAnsiTheme="minorHAnsi" w:cstheme="minorHAnsi"/>
                <w:sz w:val="24"/>
                <w:szCs w:val="24"/>
              </w:rPr>
            </w:pPr>
            <w:r w:rsidRPr="00452E7F">
              <w:rPr>
                <w:rFonts w:asciiTheme="minorHAnsi" w:hAnsiTheme="minorHAnsi" w:cstheme="minorHAnsi"/>
                <w:sz w:val="24"/>
                <w:szCs w:val="24"/>
              </w:rPr>
              <w:t>Auditorex Chile</w:t>
            </w:r>
          </w:p>
        </w:tc>
        <w:tc>
          <w:tcPr>
            <w:tcW w:w="1810" w:type="dxa"/>
          </w:tcPr>
          <w:p w14:paraId="48DCB9A0" w14:textId="77777777" w:rsidR="001637D6" w:rsidRPr="00452E7F" w:rsidRDefault="001637D6" w:rsidP="00FB7C8B">
            <w:pPr>
              <w:jc w:val="both"/>
              <w:rPr>
                <w:rFonts w:asciiTheme="minorHAnsi" w:hAnsiTheme="minorHAnsi" w:cstheme="minorHAnsi"/>
                <w:sz w:val="24"/>
                <w:szCs w:val="24"/>
              </w:rPr>
            </w:pPr>
            <w:r w:rsidRPr="00452E7F">
              <w:rPr>
                <w:rFonts w:asciiTheme="minorHAnsi" w:hAnsiTheme="minorHAnsi" w:cstheme="minorHAnsi"/>
                <w:sz w:val="24"/>
                <w:szCs w:val="24"/>
              </w:rPr>
              <w:t>Mauricio Antonio Colomera Villarroel</w:t>
            </w:r>
          </w:p>
          <w:p w14:paraId="4664E988" w14:textId="77777777" w:rsidR="001705EC" w:rsidRPr="00452E7F" w:rsidRDefault="001705EC" w:rsidP="00FB7C8B">
            <w:pPr>
              <w:jc w:val="both"/>
              <w:rPr>
                <w:rFonts w:asciiTheme="minorHAnsi" w:hAnsiTheme="minorHAnsi" w:cstheme="minorHAnsi"/>
                <w:sz w:val="24"/>
                <w:szCs w:val="24"/>
              </w:rPr>
            </w:pPr>
          </w:p>
        </w:tc>
        <w:tc>
          <w:tcPr>
            <w:tcW w:w="1811" w:type="dxa"/>
          </w:tcPr>
          <w:p w14:paraId="285FCDD1" w14:textId="0FAEB9DF" w:rsidR="001705EC" w:rsidRPr="00452E7F" w:rsidRDefault="00452E7F" w:rsidP="00FB7C8B">
            <w:pPr>
              <w:jc w:val="both"/>
              <w:rPr>
                <w:rFonts w:asciiTheme="minorHAnsi" w:hAnsiTheme="minorHAnsi" w:cstheme="minorHAnsi"/>
                <w:sz w:val="24"/>
                <w:szCs w:val="24"/>
              </w:rPr>
            </w:pPr>
            <w:r w:rsidRPr="00452E7F">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452E7F" w:rsidRDefault="00D02999" w:rsidP="00FB7C8B">
            <w:pPr>
              <w:jc w:val="both"/>
              <w:rPr>
                <w:rFonts w:asciiTheme="minorHAnsi" w:hAnsiTheme="minorHAnsi" w:cstheme="minorHAnsi"/>
                <w:szCs w:val="22"/>
              </w:rPr>
            </w:pPr>
            <w:r w:rsidRPr="00452E7F">
              <w:rPr>
                <w:rFonts w:asciiTheme="minorHAnsi" w:hAnsiTheme="minorHAnsi" w:cstheme="minorHAnsi"/>
                <w:szCs w:val="22"/>
              </w:rPr>
              <w:t>12-01-2024</w:t>
            </w:r>
          </w:p>
        </w:tc>
        <w:tc>
          <w:tcPr>
            <w:tcW w:w="2250" w:type="dxa"/>
          </w:tcPr>
          <w:p w14:paraId="6401603C" w14:textId="344D9F08" w:rsidR="001705EC" w:rsidRPr="00452E7F" w:rsidRDefault="00FB7C8B" w:rsidP="00FB7C8B">
            <w:pPr>
              <w:pStyle w:val="NormalWeb"/>
              <w:jc w:val="both"/>
              <w:rPr>
                <w:rFonts w:asciiTheme="minorHAnsi" w:hAnsiTheme="minorHAnsi" w:cstheme="minorHAnsi"/>
              </w:rPr>
            </w:pPr>
            <w:r w:rsidRPr="00FB7C8B">
              <w:rPr>
                <w:lang w:eastAsia="es-CL"/>
              </w:rPr>
              <w:t>PLAN DE CAPACITACIÓN EN SEGURIDAD</w:t>
            </w:r>
          </w:p>
        </w:tc>
      </w:tr>
      <w:bookmarkEnd w:id="0"/>
      <w:tr w:rsidR="00452E7F" w:rsidRPr="00452E7F" w14:paraId="2A38A0FB" w14:textId="77777777" w:rsidTr="00D02A7F">
        <w:tc>
          <w:tcPr>
            <w:tcW w:w="1908" w:type="dxa"/>
          </w:tcPr>
          <w:p w14:paraId="5AA7A63A" w14:textId="77777777" w:rsidR="001705EC" w:rsidRPr="00452E7F" w:rsidRDefault="001705EC" w:rsidP="00FB7C8B">
            <w:pPr>
              <w:jc w:val="both"/>
              <w:rPr>
                <w:rFonts w:asciiTheme="minorHAnsi" w:hAnsiTheme="minorHAnsi" w:cstheme="minorHAnsi"/>
                <w:sz w:val="24"/>
                <w:szCs w:val="24"/>
              </w:rPr>
            </w:pPr>
          </w:p>
        </w:tc>
        <w:tc>
          <w:tcPr>
            <w:tcW w:w="1570" w:type="dxa"/>
          </w:tcPr>
          <w:p w14:paraId="6CA0F23C" w14:textId="77777777" w:rsidR="001705EC" w:rsidRPr="00452E7F" w:rsidRDefault="001705EC" w:rsidP="00FB7C8B">
            <w:pPr>
              <w:jc w:val="both"/>
              <w:rPr>
                <w:rFonts w:asciiTheme="minorHAnsi" w:hAnsiTheme="minorHAnsi" w:cstheme="minorHAnsi"/>
                <w:sz w:val="24"/>
                <w:szCs w:val="24"/>
              </w:rPr>
            </w:pPr>
          </w:p>
        </w:tc>
        <w:tc>
          <w:tcPr>
            <w:tcW w:w="1810" w:type="dxa"/>
          </w:tcPr>
          <w:p w14:paraId="7579C89A" w14:textId="77777777" w:rsidR="001705EC" w:rsidRPr="00452E7F" w:rsidRDefault="001705EC" w:rsidP="00FB7C8B">
            <w:pPr>
              <w:jc w:val="both"/>
              <w:rPr>
                <w:rFonts w:asciiTheme="minorHAnsi" w:hAnsiTheme="minorHAnsi" w:cstheme="minorHAnsi"/>
                <w:sz w:val="24"/>
                <w:szCs w:val="24"/>
              </w:rPr>
            </w:pPr>
          </w:p>
        </w:tc>
        <w:tc>
          <w:tcPr>
            <w:tcW w:w="1811" w:type="dxa"/>
          </w:tcPr>
          <w:p w14:paraId="5C11AFDC" w14:textId="77777777" w:rsidR="001705EC" w:rsidRPr="00452E7F" w:rsidRDefault="001705EC" w:rsidP="00FB7C8B">
            <w:pPr>
              <w:jc w:val="both"/>
              <w:rPr>
                <w:rFonts w:asciiTheme="minorHAnsi" w:hAnsiTheme="minorHAnsi" w:cstheme="minorHAnsi"/>
                <w:sz w:val="24"/>
                <w:szCs w:val="24"/>
              </w:rPr>
            </w:pPr>
          </w:p>
        </w:tc>
        <w:tc>
          <w:tcPr>
            <w:tcW w:w="1019" w:type="dxa"/>
          </w:tcPr>
          <w:p w14:paraId="2D9464C3" w14:textId="77777777" w:rsidR="001705EC" w:rsidRPr="00452E7F" w:rsidRDefault="001705EC" w:rsidP="00FB7C8B">
            <w:pPr>
              <w:jc w:val="both"/>
              <w:rPr>
                <w:rFonts w:asciiTheme="minorHAnsi" w:hAnsiTheme="minorHAnsi" w:cstheme="minorHAnsi"/>
                <w:sz w:val="24"/>
                <w:szCs w:val="24"/>
              </w:rPr>
            </w:pPr>
          </w:p>
        </w:tc>
        <w:tc>
          <w:tcPr>
            <w:tcW w:w="2250" w:type="dxa"/>
          </w:tcPr>
          <w:p w14:paraId="30EA5E83" w14:textId="77777777" w:rsidR="001705EC" w:rsidRPr="00452E7F" w:rsidRDefault="001705EC" w:rsidP="00FB7C8B">
            <w:pPr>
              <w:jc w:val="both"/>
              <w:rPr>
                <w:rFonts w:asciiTheme="minorHAnsi" w:hAnsiTheme="minorHAnsi" w:cstheme="minorHAnsi"/>
                <w:sz w:val="24"/>
                <w:szCs w:val="24"/>
              </w:rPr>
            </w:pPr>
          </w:p>
        </w:tc>
      </w:tr>
      <w:tr w:rsidR="00452E7F" w:rsidRPr="00452E7F" w14:paraId="5D084FF7" w14:textId="77777777" w:rsidTr="00D02A7F">
        <w:tc>
          <w:tcPr>
            <w:tcW w:w="1908" w:type="dxa"/>
          </w:tcPr>
          <w:p w14:paraId="59848B68" w14:textId="77777777" w:rsidR="001705EC" w:rsidRPr="00452E7F" w:rsidRDefault="001705EC" w:rsidP="00FB7C8B">
            <w:pPr>
              <w:jc w:val="both"/>
              <w:rPr>
                <w:rFonts w:asciiTheme="minorHAnsi" w:hAnsiTheme="minorHAnsi" w:cstheme="minorHAnsi"/>
                <w:sz w:val="24"/>
                <w:szCs w:val="24"/>
              </w:rPr>
            </w:pPr>
          </w:p>
        </w:tc>
        <w:tc>
          <w:tcPr>
            <w:tcW w:w="1570" w:type="dxa"/>
          </w:tcPr>
          <w:p w14:paraId="4CE506E6" w14:textId="77777777" w:rsidR="001705EC" w:rsidRPr="00452E7F" w:rsidRDefault="001705EC" w:rsidP="00FB7C8B">
            <w:pPr>
              <w:jc w:val="both"/>
              <w:rPr>
                <w:rFonts w:asciiTheme="minorHAnsi" w:hAnsiTheme="minorHAnsi" w:cstheme="minorHAnsi"/>
                <w:sz w:val="24"/>
                <w:szCs w:val="24"/>
              </w:rPr>
            </w:pPr>
          </w:p>
        </w:tc>
        <w:tc>
          <w:tcPr>
            <w:tcW w:w="1810" w:type="dxa"/>
          </w:tcPr>
          <w:p w14:paraId="09467189" w14:textId="77777777" w:rsidR="001705EC" w:rsidRPr="00452E7F" w:rsidRDefault="001705EC" w:rsidP="00FB7C8B">
            <w:pPr>
              <w:jc w:val="both"/>
              <w:rPr>
                <w:rFonts w:asciiTheme="minorHAnsi" w:hAnsiTheme="minorHAnsi" w:cstheme="minorHAnsi"/>
                <w:sz w:val="24"/>
                <w:szCs w:val="24"/>
              </w:rPr>
            </w:pPr>
          </w:p>
        </w:tc>
        <w:tc>
          <w:tcPr>
            <w:tcW w:w="1811" w:type="dxa"/>
          </w:tcPr>
          <w:p w14:paraId="6E7E4F49" w14:textId="77777777" w:rsidR="001705EC" w:rsidRPr="00452E7F" w:rsidRDefault="001705EC" w:rsidP="00FB7C8B">
            <w:pPr>
              <w:jc w:val="both"/>
              <w:rPr>
                <w:rFonts w:asciiTheme="minorHAnsi" w:hAnsiTheme="minorHAnsi" w:cstheme="minorHAnsi"/>
                <w:sz w:val="24"/>
                <w:szCs w:val="24"/>
              </w:rPr>
            </w:pPr>
          </w:p>
        </w:tc>
        <w:tc>
          <w:tcPr>
            <w:tcW w:w="1019" w:type="dxa"/>
          </w:tcPr>
          <w:p w14:paraId="7EB49E66" w14:textId="77777777" w:rsidR="001705EC" w:rsidRPr="00452E7F" w:rsidRDefault="001705EC" w:rsidP="00FB7C8B">
            <w:pPr>
              <w:jc w:val="both"/>
              <w:rPr>
                <w:rFonts w:asciiTheme="minorHAnsi" w:hAnsiTheme="minorHAnsi" w:cstheme="minorHAnsi"/>
                <w:sz w:val="24"/>
                <w:szCs w:val="24"/>
              </w:rPr>
            </w:pPr>
          </w:p>
        </w:tc>
        <w:tc>
          <w:tcPr>
            <w:tcW w:w="2250" w:type="dxa"/>
          </w:tcPr>
          <w:p w14:paraId="722DAB0F" w14:textId="77777777" w:rsidR="001705EC" w:rsidRPr="00452E7F" w:rsidRDefault="001705EC" w:rsidP="00FB7C8B">
            <w:pPr>
              <w:jc w:val="both"/>
              <w:rPr>
                <w:rFonts w:asciiTheme="minorHAnsi" w:hAnsiTheme="minorHAnsi" w:cstheme="minorHAnsi"/>
                <w:sz w:val="24"/>
                <w:szCs w:val="24"/>
              </w:rPr>
            </w:pPr>
          </w:p>
        </w:tc>
      </w:tr>
      <w:tr w:rsidR="001705EC" w:rsidRPr="00452E7F" w14:paraId="7875EE64" w14:textId="77777777" w:rsidTr="00D02A7F">
        <w:tc>
          <w:tcPr>
            <w:tcW w:w="1908" w:type="dxa"/>
            <w:shd w:val="clear" w:color="auto" w:fill="D9D9D9" w:themeFill="background1" w:themeFillShade="D9"/>
          </w:tcPr>
          <w:p w14:paraId="22F097C4" w14:textId="77777777" w:rsidR="001705EC" w:rsidRPr="00452E7F" w:rsidRDefault="001705EC" w:rsidP="00FB7C8B">
            <w:pPr>
              <w:jc w:val="both"/>
              <w:rPr>
                <w:rFonts w:asciiTheme="minorHAnsi" w:hAnsiTheme="minorHAnsi" w:cstheme="minorHAnsi"/>
                <w:sz w:val="24"/>
                <w:szCs w:val="24"/>
              </w:rPr>
            </w:pPr>
            <w:r w:rsidRPr="00452E7F">
              <w:rPr>
                <w:rFonts w:asciiTheme="minorHAnsi" w:hAnsiTheme="minorHAnsi" w:cstheme="minorHAnsi"/>
                <w:sz w:val="24"/>
                <w:szCs w:val="24"/>
              </w:rPr>
              <w:t>Número de referencia del documento</w:t>
            </w:r>
          </w:p>
        </w:tc>
        <w:tc>
          <w:tcPr>
            <w:tcW w:w="3380" w:type="dxa"/>
            <w:gridSpan w:val="2"/>
          </w:tcPr>
          <w:p w14:paraId="02FAF64D" w14:textId="75CD0C6C" w:rsidR="001705EC" w:rsidRPr="00452E7F" w:rsidRDefault="001705EC" w:rsidP="00FB7C8B">
            <w:pPr>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452E7F" w:rsidRDefault="001705EC" w:rsidP="00FB7C8B">
            <w:pPr>
              <w:jc w:val="both"/>
              <w:rPr>
                <w:rFonts w:asciiTheme="minorHAnsi" w:hAnsiTheme="minorHAnsi" w:cstheme="minorHAnsi"/>
                <w:sz w:val="24"/>
                <w:szCs w:val="24"/>
              </w:rPr>
            </w:pPr>
            <w:r w:rsidRPr="00452E7F">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452E7F" w:rsidRDefault="001705EC" w:rsidP="00FB7C8B">
                <w:pPr>
                  <w:jc w:val="both"/>
                  <w:rPr>
                    <w:rFonts w:asciiTheme="minorHAnsi" w:hAnsiTheme="minorHAnsi" w:cstheme="minorHAnsi"/>
                    <w:sz w:val="24"/>
                    <w:szCs w:val="24"/>
                  </w:rPr>
                </w:pPr>
                <w:r w:rsidRPr="00452E7F">
                  <w:rPr>
                    <w:rFonts w:asciiTheme="minorHAnsi" w:hAnsiTheme="minorHAnsi" w:cstheme="minorHAnsi"/>
                    <w:sz w:val="24"/>
                    <w:szCs w:val="24"/>
                  </w:rPr>
                  <w:t>Confidencial</w:t>
                </w:r>
              </w:p>
            </w:tc>
          </w:sdtContent>
        </w:sdt>
      </w:tr>
    </w:tbl>
    <w:p w14:paraId="5F47735A" w14:textId="77777777" w:rsidR="001705EC" w:rsidRPr="00452E7F" w:rsidRDefault="001705EC" w:rsidP="00FB7C8B">
      <w:pPr>
        <w:jc w:val="both"/>
        <w:rPr>
          <w:rFonts w:asciiTheme="minorHAnsi" w:hAnsiTheme="minorHAnsi" w:cstheme="minorHAnsi"/>
          <w:sz w:val="24"/>
          <w:szCs w:val="24"/>
        </w:rPr>
      </w:pPr>
    </w:p>
    <w:p w14:paraId="5EE8924C" w14:textId="5E77DC27" w:rsidR="00452E7F" w:rsidRPr="00452E7F" w:rsidRDefault="00EB6A90" w:rsidP="00FB7C8B">
      <w:pPr>
        <w:pStyle w:val="NormalWeb"/>
        <w:jc w:val="both"/>
        <w:rPr>
          <w:rFonts w:asciiTheme="minorHAnsi" w:hAnsiTheme="minorHAnsi" w:cstheme="minorHAnsi"/>
          <w:lang w:val="es-CL"/>
        </w:rPr>
      </w:pPr>
      <w:r>
        <w:rPr>
          <w:rFonts w:asciiTheme="minorHAnsi" w:hAnsiTheme="minorHAnsi" w:cstheme="minorHAnsi"/>
          <w:noProof/>
          <w:lang w:val="es-CL"/>
        </w:rPr>
        <w:drawing>
          <wp:inline distT="0" distB="0" distL="0" distR="0" wp14:anchorId="3745A188" wp14:editId="022B6E13">
            <wp:extent cx="3124636" cy="1743318"/>
            <wp:effectExtent l="0" t="0" r="0" b="9525"/>
            <wp:docPr id="202680439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04397"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452E7F">
        <w:rPr>
          <w:rFonts w:asciiTheme="minorHAnsi" w:hAnsiTheme="minorHAnsi" w:cstheme="minorHAnsi"/>
          <w:lang w:val="es-CL"/>
        </w:rPr>
        <w:br w:type="page"/>
      </w:r>
    </w:p>
    <w:p w14:paraId="78F0DB73" w14:textId="77777777" w:rsidR="00FB7C8B" w:rsidRDefault="00FB7C8B" w:rsidP="00FB7C8B">
      <w:pPr>
        <w:spacing w:before="100" w:beforeAutospacing="1" w:after="100" w:afterAutospacing="1" w:line="240" w:lineRule="auto"/>
        <w:rPr>
          <w:rFonts w:ascii="Times New Roman" w:hAnsi="Times New Roman"/>
          <w:b/>
          <w:bCs/>
          <w:sz w:val="24"/>
          <w:szCs w:val="24"/>
          <w:lang w:eastAsia="es-CL"/>
        </w:rPr>
      </w:pPr>
      <w:r w:rsidRPr="00FB7C8B">
        <w:rPr>
          <w:rFonts w:ascii="Times New Roman" w:hAnsi="Times New Roman"/>
          <w:b/>
          <w:bCs/>
          <w:sz w:val="24"/>
          <w:szCs w:val="24"/>
          <w:lang w:eastAsia="es-CL"/>
        </w:rPr>
        <w:lastRenderedPageBreak/>
        <w:t>PORTADA</w:t>
      </w:r>
    </w:p>
    <w:p w14:paraId="4DADE00D" w14:textId="735D4D8F" w:rsidR="00FB7C8B" w:rsidRPr="00FB7C8B" w:rsidRDefault="00FB7C8B" w:rsidP="00FB7C8B">
      <w:pPr>
        <w:spacing w:before="100" w:beforeAutospacing="1" w:after="100" w:afterAutospacing="1" w:line="240" w:lineRule="auto"/>
        <w:rPr>
          <w:rFonts w:ascii="Times New Roman" w:hAnsi="Times New Roman"/>
          <w:sz w:val="24"/>
          <w:szCs w:val="24"/>
          <w:lang w:eastAsia="es-CL"/>
        </w:rPr>
      </w:pPr>
      <w:r w:rsidRPr="00FB7C8B">
        <w:rPr>
          <w:rFonts w:ascii="Times New Roman" w:hAnsi="Times New Roman"/>
          <w:sz w:val="24"/>
          <w:szCs w:val="24"/>
          <w:lang w:eastAsia="es-CL"/>
        </w:rPr>
        <w:br/>
      </w:r>
      <w:bookmarkStart w:id="1" w:name="_Hlk189438192"/>
      <w:r w:rsidRPr="00FB7C8B">
        <w:rPr>
          <w:rFonts w:ascii="Times New Roman" w:hAnsi="Times New Roman"/>
          <w:sz w:val="24"/>
          <w:szCs w:val="24"/>
          <w:lang w:eastAsia="es-CL"/>
        </w:rPr>
        <w:t xml:space="preserve">PLAN DE CAPACITACIÓN EN SEGURIDAD </w:t>
      </w:r>
      <w:bookmarkEnd w:id="1"/>
      <w:r w:rsidRPr="00FB7C8B">
        <w:rPr>
          <w:rFonts w:ascii="Times New Roman" w:hAnsi="Times New Roman"/>
          <w:sz w:val="24"/>
          <w:szCs w:val="24"/>
          <w:lang w:eastAsia="es-CL"/>
        </w:rPr>
        <w:t>DE LA INFORMACIÓN SEGÚN ISO 27001:2022</w:t>
      </w:r>
      <w:r w:rsidRPr="00FB7C8B">
        <w:rPr>
          <w:rFonts w:ascii="Times New Roman" w:hAnsi="Times New Roman"/>
          <w:sz w:val="24"/>
          <w:szCs w:val="24"/>
          <w:lang w:eastAsia="es-CL"/>
        </w:rPr>
        <w:br/>
        <w:t>EMPRESA ANACONDA WEB CHILE</w:t>
      </w:r>
      <w:r w:rsidRPr="00FB7C8B">
        <w:rPr>
          <w:rFonts w:ascii="Times New Roman" w:hAnsi="Times New Roman"/>
          <w:sz w:val="24"/>
          <w:szCs w:val="24"/>
          <w:lang w:eastAsia="es-CL"/>
        </w:rPr>
        <w:br/>
        <w:t>ELABORADO POR MAURICIO ANTONIO COLOMERA VILLARROEL</w:t>
      </w:r>
      <w:r w:rsidRPr="00FB7C8B">
        <w:rPr>
          <w:rFonts w:ascii="Times New Roman" w:hAnsi="Times New Roman"/>
          <w:sz w:val="24"/>
          <w:szCs w:val="24"/>
          <w:lang w:eastAsia="es-CL"/>
        </w:rPr>
        <w:br/>
        <w:t>GERENTE DE SGSI ANACONDA WEB</w:t>
      </w:r>
      <w:r w:rsidRPr="00FB7C8B">
        <w:rPr>
          <w:rFonts w:ascii="Times New Roman" w:hAnsi="Times New Roman"/>
          <w:sz w:val="24"/>
          <w:szCs w:val="24"/>
          <w:lang w:eastAsia="es-CL"/>
        </w:rPr>
        <w:br/>
        <w:t>IMPLEMENTADOR AUDITOREX CHILE SPA</w:t>
      </w:r>
    </w:p>
    <w:p w14:paraId="788D133E"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A6A90F1"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876D0ED"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659DCB0A"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50D822E4"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5F7FCDB4"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2E111CC2"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606E9004"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5206670"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13566342"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1FA7C9D1"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3EE639C"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76CFBDCD"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20A12B52"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5B053739"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7CD07D38"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4EE53828"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1519E50"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00411542"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5C23E0D"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7E41B071"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227943F1" w14:textId="77D33FC0"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INDICE</w:t>
      </w:r>
    </w:p>
    <w:p w14:paraId="213039A3"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INTRODUCCIÓN</w:t>
      </w:r>
    </w:p>
    <w:p w14:paraId="521FE7D3"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ALCANCE</w:t>
      </w:r>
    </w:p>
    <w:p w14:paraId="2D0D59AD"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OBJETIVOS DE LA CAPACITACIÓN</w:t>
      </w:r>
    </w:p>
    <w:p w14:paraId="74361B62"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ROLES Y RESPONSABILIDADES</w:t>
      </w:r>
    </w:p>
    <w:p w14:paraId="5AC58120"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METODOLOGÍA DE FORMACIÓN Y CONCIENTIZACIÓN</w:t>
      </w:r>
    </w:p>
    <w:p w14:paraId="65F792A6"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CONTENIDO FORMATIVO GENERAL</w:t>
      </w:r>
    </w:p>
    <w:p w14:paraId="65C1C4F7"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CONTENIDO DE FORMACIÓN PARA ROLES CRÍTICOS</w:t>
      </w:r>
    </w:p>
    <w:p w14:paraId="55AE2FB1"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FRECUENCIA Y CRONOGRAMA</w:t>
      </w:r>
    </w:p>
    <w:p w14:paraId="16686BBA"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INDICADORES DE DESEMPEÑO</w:t>
      </w:r>
    </w:p>
    <w:p w14:paraId="3EF96A8E"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MECANISMOS DE MEJORA CONTINUA</w:t>
      </w:r>
    </w:p>
    <w:p w14:paraId="017994F8" w14:textId="77777777" w:rsidR="00FB7C8B" w:rsidRPr="00FB7C8B" w:rsidRDefault="00FB7C8B" w:rsidP="00FB7C8B">
      <w:pPr>
        <w:numPr>
          <w:ilvl w:val="0"/>
          <w:numId w:val="57"/>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CONCLUSIÓN</w:t>
      </w:r>
    </w:p>
    <w:p w14:paraId="07FAD611"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4F16D711"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0305BD91"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2FBCBE52"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427FE7B7"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6E9A7988"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0F7FE784"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9BEC029"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2BD534A7"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4096B1E"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24E4E21F"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192BB3C0"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675ED04"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1346AECD"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56AE9576"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1FD044E5" w14:textId="77777777" w:rsidR="00FB7C8B" w:rsidRDefault="00FB7C8B" w:rsidP="00FB7C8B">
      <w:pPr>
        <w:spacing w:before="100" w:beforeAutospacing="1" w:after="100" w:afterAutospacing="1" w:line="240" w:lineRule="auto"/>
        <w:jc w:val="both"/>
        <w:rPr>
          <w:rFonts w:ascii="Times New Roman" w:hAnsi="Times New Roman"/>
          <w:b/>
          <w:bCs/>
          <w:sz w:val="24"/>
          <w:szCs w:val="24"/>
          <w:lang w:eastAsia="es-CL"/>
        </w:rPr>
      </w:pPr>
    </w:p>
    <w:p w14:paraId="3054973B" w14:textId="02A8C668"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1. INTRODUCCIÓN</w:t>
      </w:r>
    </w:p>
    <w:p w14:paraId="383A818F"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La seguridad de la información es un componente esencial en toda organización que maneje datos sensibles propios o de terceros. Se refiere a la protección de los datos contra accesos no autorizados, alteraciones y pérdidas, asegurando que la información sea confiable, esté disponible cuando se necesite y se mantenga confidencial. Para Anaconda Web, empresa dedicada a servicios de desarrollo de software, marketing digital y soluciones tecnológicas, la exposición a amenazas cibernéticas es alta debido a la constante interacción en entornos digitales. Este plan de capacitación en seguridad de la información tiene como objetivo alinear las prácticas internas con los estándares internacionales establecidos en la norma ISO 27001:2022, incluyendo una referencia al Anexo A, que contiene controles específicos de seguridad aplicables a la organización. Algunos ejemplos incluyen la gestión de accesos, que en el caso de Anaconda Web se aplica mediante autenticación multifactor y permisos basados en roles, y la protección contra malware, implementada con sistemas de monitoreo activo y soluciones antivirus., incluyendo controles clave como la gestión de riesgos, que implica identificar, evaluar y mitigar amenazas potenciales, por ejemplo, evaluando vulnerabilidades en sistemas de servidores; la protección de datos mediante el control de accesos, como restringir el ingreso a áreas de desarrollo con autenticación multifactor; la evaluación continua de vulnerabilidades, mediante pruebas de penetración periódicas en aplicaciones web; y el establecimiento de planes de respuesta ante incidentes, que incluye simulaciones de ciberataques para mejorar la capacidad de reacción.</w:t>
      </w:r>
    </w:p>
    <w:p w14:paraId="37892919"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El plan busca fortalecer la cultura organizacional en seguridad, asegurando que cada colaborador entienda su papel en la protección de los activos informacionales de la empresa. A través de sesiones de formación y concienciación, se busca que el personal reconozca las amenazas más comunes, como el phishing, el </w:t>
      </w:r>
      <w:proofErr w:type="spellStart"/>
      <w:r w:rsidRPr="00FB7C8B">
        <w:rPr>
          <w:rFonts w:ascii="Times New Roman" w:hAnsi="Times New Roman"/>
          <w:sz w:val="24"/>
          <w:szCs w:val="24"/>
          <w:lang w:eastAsia="es-CL"/>
        </w:rPr>
        <w:t>ransomware</w:t>
      </w:r>
      <w:proofErr w:type="spellEnd"/>
      <w:r w:rsidRPr="00FB7C8B">
        <w:rPr>
          <w:rFonts w:ascii="Times New Roman" w:hAnsi="Times New Roman"/>
          <w:sz w:val="24"/>
          <w:szCs w:val="24"/>
          <w:lang w:eastAsia="es-CL"/>
        </w:rPr>
        <w:t xml:space="preserve"> y otros riesgos asociados al entorno digital, y que adopte medidas preventivas, como el uso de autenticación multifactor y la actualización regular de software, así como correctivas, tales como el aislamiento de dispositivos comprometidos y la restauración de datos a partir de respaldos seguros.</w:t>
      </w:r>
    </w:p>
    <w:p w14:paraId="23FA73A8"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Este documento también define las responsabilidades de cada uno de los actores clave en la implementación del programa, incluyendo la alta dirección, el responsable de seguridad de la información y los jefes de área. De igual forma, se establece una metodología que combina sesiones teóricas y prácticas, simulacros de incidentes, evaluaciones y comunicación continua para reforzar los conocimientos adquiridos.</w:t>
      </w:r>
    </w:p>
    <w:p w14:paraId="5A33CA1F"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Con esta estructura, Anaconda Web pretende desarrollar un enfoque preventivo frente a las amenazas cibernéticas y establecer las bases para una gestión segura, resiliente y eficiente de la información, cumpliendo así con los requisitos de la norma y mejorando la confianza de sus clientes y colaboradores.</w:t>
      </w:r>
    </w:p>
    <w:p w14:paraId="0FDDFC27"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2. ALCANCE</w:t>
      </w:r>
    </w:p>
    <w:p w14:paraId="521F256E"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Este plan de capacitación abarca a todas las áreas y niveles jerárquicos de Anaconda Web. Incluye al personal de desarrollo, programación, marketing digital, soporte al cliente, administración y recursos humanos, así como a los colaboradores con roles directivos. Dado </w:t>
      </w:r>
      <w:r w:rsidRPr="00FB7C8B">
        <w:rPr>
          <w:rFonts w:ascii="Times New Roman" w:hAnsi="Times New Roman"/>
          <w:sz w:val="24"/>
          <w:szCs w:val="24"/>
          <w:lang w:eastAsia="es-CL"/>
        </w:rPr>
        <w:lastRenderedPageBreak/>
        <w:t>que todos los empleados manejan directa o indirectamente información sensible, es necesario que cada uno comprenda las políticas y procedimientos internos de seguridad.</w:t>
      </w:r>
    </w:p>
    <w:p w14:paraId="0FEBCED2"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La capacitación también se extiende a proveedores y terceros que tengan acceso a los sistemas y datos de la empresa. Para garantizar el cumplimiento de estos requisitos, se implementarán auditorías periódicas, revisión de contratos con cláusulas de seguridad específicas y capacitaciones dirigidas a dichos proveedores sobre las políticas y controles exigidos por el SGSI. Estos deben estar sujetos a acuerdos de confidencialidad y cumplir con los requisitos mínimos de seguridad establecidos en el Sistema de Gestión de Seguridad de la Información (SGSI) de Anaconda Web.</w:t>
      </w:r>
    </w:p>
    <w:p w14:paraId="646A0A4E"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Además, el alcance del plan incluye tanto los entornos físicos como virtuales en los que se maneje información relevante. Esto implica que se deben aplicar medidas de seguridad en el acceso a las oficinas, como el uso de controles de acceso electrónicos y sistemas de videovigilancia; en el uso de dispositivos móviles, a través de la implementación de cifrado de datos, autenticación biométrica y herramientas de gestión de dispositivos; y en el manejo de aplicaciones y sistemas, mediante la aplicación de controles de acceso basados en roles, auditorías de seguridad y actualizaciones regulares de software.</w:t>
      </w:r>
    </w:p>
    <w:p w14:paraId="531A3F22"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Finalmente, se busca garantizar que todos los procesos críticos de la empresa, aquellos que tienen un impacto directo en la continuidad del negocio, la protección de datos sensibles o el cumplimiento normativo, estén respaldados por personal capacitado que pueda prevenir, detectar y responder de manera efectiva ante incidentes de seguridad. Algunos ejemplos de estos procesos incluyen la gestión de infraestructuras tecnológicas, la administración de bases de datos, la supervisión de accesos y autorizaciones, así como el mantenimiento de servicios críticos para los clientes. La implementación adecuada de este plan contribuirá al cumplimiento normativo y a la mejora continua del SGSI.</w:t>
      </w:r>
    </w:p>
    <w:p w14:paraId="30F4CB4D"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3. OBJETIVOS DE LA CAPACITACIÓN</w:t>
      </w:r>
    </w:p>
    <w:p w14:paraId="3A281B8B"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Uno de los principales objetivos de esta capacitación es fortalecer el conocimiento sobre los conceptos fundamentales de la seguridad de la información, como la confidencialidad, integridad y disponibilidad. La confidencialidad se refiere a proteger la información contra accesos no autorizados, la integridad implica garantizar que los datos no sean alterados de manera indebida, y la disponibilidad asegura que la información esté accesible cuando sea necesaria. Esto permitirá que los colaboradores comprendan la importancia de proteger los datos y recursos informáticos de la empresa, evitando acciones que puedan ponerlos en riesgo.</w:t>
      </w:r>
    </w:p>
    <w:p w14:paraId="2FB583C8"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Otro objetivo es concienciar al personal sobre las amenazas específicas que enfrenta la organización. Entre estas se encuentran los ataques de phishing, </w:t>
      </w:r>
      <w:proofErr w:type="gramStart"/>
      <w:r w:rsidRPr="00FB7C8B">
        <w:rPr>
          <w:rFonts w:ascii="Times New Roman" w:hAnsi="Times New Roman"/>
          <w:sz w:val="24"/>
          <w:szCs w:val="24"/>
          <w:lang w:eastAsia="es-CL"/>
        </w:rPr>
        <w:t>malware</w:t>
      </w:r>
      <w:proofErr w:type="gramEnd"/>
      <w:r w:rsidRPr="00FB7C8B">
        <w:rPr>
          <w:rFonts w:ascii="Times New Roman" w:hAnsi="Times New Roman"/>
          <w:sz w:val="24"/>
          <w:szCs w:val="24"/>
          <w:lang w:eastAsia="es-CL"/>
        </w:rPr>
        <w:t xml:space="preserve">, </w:t>
      </w:r>
      <w:proofErr w:type="spellStart"/>
      <w:r w:rsidRPr="00FB7C8B">
        <w:rPr>
          <w:rFonts w:ascii="Times New Roman" w:hAnsi="Times New Roman"/>
          <w:sz w:val="24"/>
          <w:szCs w:val="24"/>
          <w:lang w:eastAsia="es-CL"/>
        </w:rPr>
        <w:t>ransomware</w:t>
      </w:r>
      <w:proofErr w:type="spellEnd"/>
      <w:r w:rsidRPr="00FB7C8B">
        <w:rPr>
          <w:rFonts w:ascii="Times New Roman" w:hAnsi="Times New Roman"/>
          <w:sz w:val="24"/>
          <w:szCs w:val="24"/>
          <w:lang w:eastAsia="es-CL"/>
        </w:rPr>
        <w:t xml:space="preserve"> y la ingeniería social. La capacitación incluirá ejemplos prácticos y ejercicios que permitan identificar situaciones de riesgo y adoptar medidas preventivas.</w:t>
      </w:r>
    </w:p>
    <w:p w14:paraId="618D52CA"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La capacitación también tiene como finalidad garantizar el cumplimiento de los controles y políticas establecidos en el SGSI, así como los requisitos de auditoría de ISO 27001:2022. Algunos ejemplos de estos controles incluyen la aplicación de contraseñas seguras, el monitoreo de accesos a los sistemas, la gestión de parches de seguridad y la implementación de planes de recuperación ante desastres. Esto implica que cada colaborador debe estar </w:t>
      </w:r>
      <w:r w:rsidRPr="00FB7C8B">
        <w:rPr>
          <w:rFonts w:ascii="Times New Roman" w:hAnsi="Times New Roman"/>
          <w:sz w:val="24"/>
          <w:szCs w:val="24"/>
          <w:lang w:eastAsia="es-CL"/>
        </w:rPr>
        <w:lastRenderedPageBreak/>
        <w:t>preparado para actuar conforme a los procedimientos y reportar incidentes o vulnerabilidades de manera oportuna.</w:t>
      </w:r>
    </w:p>
    <w:p w14:paraId="05AE0600"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Finalmente, el programa de capacitación busca mejorar la capacidad de respuesta ante incidentes de seguridad. Los colaboradores serán instruidos en los pasos a seguir para mitigar el impacto de posibles brechas y en la coordinación con otros equipos para garantizar la continuidad del negocio en situaciones de emergencia.</w:t>
      </w:r>
    </w:p>
    <w:p w14:paraId="0028CFB9"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4. ROLES Y RESPONSABILIDADES</w:t>
      </w:r>
    </w:p>
    <w:p w14:paraId="38B595A5" w14:textId="754863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La alta dirección de Anaconda Web tiene un papel clave en el éxito de este plan de capacitación. Su responsabilidad incluye asignar los recursos necesarios, promover una cultura de seguridad y liderar con el ejemplo. También deben supervisar el cumplimiento de los objetivos del SGSI y fomentar la participación de todos los colaboradores.</w:t>
      </w:r>
    </w:p>
    <w:p w14:paraId="293A9F94"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El responsable de seguridad de la información (RSI) es el encargado de coordinar las actividades de formación, garantizar que los contenidos cumplan con los requisitos de ISO 27001 y supervisar la ejecución del plan. Este rol incluye también la revisión y actualización periódica de los materiales de capacitación.</w:t>
      </w:r>
    </w:p>
    <w:p w14:paraId="4908C150"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Los jefes de área o líderes de equipo tienen la tarea de asegurar que su personal asista a las sesiones de capacitación y aplique en su trabajo diario los conocimientos adquiridos. Para supervisar esta aplicación, se realizarán revisiones periódicas del desempeño, auditorías internas de cumplimiento y evaluaciones de conocimientos mediante pruebas prácticas. Su función es vital para reforzar la implementación de las políticas de seguridad en cada departamento.</w:t>
      </w:r>
    </w:p>
    <w:p w14:paraId="6FECFE04"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Los colaboradores, por su parte, son responsables de participar activamente en las actividades formativas, cumplir con las políticas internas de seguridad y reportar cualquier incidente o anormalidad. La colaboración y compromiso de todos los empleados es esencial para la protección de los activos informacionales.</w:t>
      </w:r>
    </w:p>
    <w:p w14:paraId="71D9C521"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5. METODOLOGÍA DE FORMACIÓN Y CONCIENTIZACIÓN</w:t>
      </w:r>
    </w:p>
    <w:p w14:paraId="4A6C6F8F"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La metodología del plan de capacitación combina sesiones presenciales o virtuales, talleres prácticos y herramientas de aprendizaje digital. Las sesiones iniciales se centran en exponer los conceptos básicos de seguridad de la información, mientras que los talleres permiten a los colaboradores identificar y gestionar situaciones de riesgo.</w:t>
      </w:r>
    </w:p>
    <w:p w14:paraId="3D00A26E"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Se utilizará una plataforma de e-learning para ofrecer módulos interactivos y evaluaciones que midan el progreso del personal. Los módulos tendrán una duración promedio de 30 a 60 minutos, y se impartirán con una frecuencia trimestral para asegurar la actualización constante de conocimientos. Los contenidos serán actualizados periódicamente para reflejar los cambios en las amenazas tecnológicas y las necesidades organizacionales.</w:t>
      </w:r>
    </w:p>
    <w:p w14:paraId="5C643BDD"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Adicionalmente, se realizarán simulaciones de incidentes, como ataques de phishing, que incluirán el envío de correos simulados con enlaces o archivos sospechosos para medir la reacción del personal. Estas simulaciones serán evaluadas con criterios como el porcentaje de </w:t>
      </w:r>
      <w:r w:rsidRPr="00FB7C8B">
        <w:rPr>
          <w:rFonts w:ascii="Times New Roman" w:hAnsi="Times New Roman"/>
          <w:sz w:val="24"/>
          <w:szCs w:val="24"/>
          <w:lang w:eastAsia="es-CL"/>
        </w:rPr>
        <w:lastRenderedPageBreak/>
        <w:t>empleados que identifican y reportan el incidente, la rapidez en la notificación, y las acciones correctivas aplicadas. Los resultados se analizarán para identificar oportunidades de mejora en la formación. Estos ejercicios contribuirán a reforzar la cultura de seguridad en la organización.</w:t>
      </w:r>
    </w:p>
    <w:p w14:paraId="0C596854"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Finalmente, el plan incluye un programa de comunicación continua, con boletines informativos, recordatorios y afiches que mantendrán a los colaboradores informados sobre buenas prácticas y políticas de seguridad. Estos boletines abordarán temas específicos como la prevención de ataques de phishing, la importancia de las actualizaciones de software, la gestión segura de contraseñas y recomendaciones sobre el manejo de dispositivos móviles y acceso remoto. Serán emitidos de manera mensual para mantener informados a los colaboradores de manera constante.</w:t>
      </w:r>
    </w:p>
    <w:p w14:paraId="5D04063A"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6. CONTENIDO FORMATIVO GENERAL</w:t>
      </w:r>
    </w:p>
    <w:p w14:paraId="7E6FC33F"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El contenido formativo general estará enfocado en conceptos clave como la confidencialidad, integridad y disponibilidad de la información. Para apoyar la enseñanza de estos conceptos, se implementarán actividades prácticas como simulaciones de incidentes de seguridad, estudios de caso y talleres de resolución de problemas. Además, se proporcionarán materiales de referencia como manuales, guías de buenas prácticas y videos explicativos para reforzar los aprendizajes. También se explicarán las políticas internas de seguridad, el manejo seguro de contraseñas y la gestión adecuada de los dispositivos.</w:t>
      </w:r>
    </w:p>
    <w:p w14:paraId="20A24279"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Se incluirá formación sobre las amenazas comunes, como el phishing y la ingeniería social, así como las medidas preventivas que los colaboradores deben adoptar para proteger los activos informacionales, tales como la verificación de enlaces y remitentes en correos electrónicos, el uso de software actualizado y autenticación multifactor, y la correcta gestión de contraseñas.</w:t>
      </w:r>
    </w:p>
    <w:p w14:paraId="0BDCD5BB"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Además, se abordará la normativa local aplicable en materia de protección de datos personales y las implicaciones legales del manejo de información sensible, incluyendo la Ley </w:t>
      </w:r>
      <w:proofErr w:type="spellStart"/>
      <w:r w:rsidRPr="00FB7C8B">
        <w:rPr>
          <w:rFonts w:ascii="Times New Roman" w:hAnsi="Times New Roman"/>
          <w:sz w:val="24"/>
          <w:szCs w:val="24"/>
          <w:lang w:eastAsia="es-CL"/>
        </w:rPr>
        <w:t>Nº</w:t>
      </w:r>
      <w:proofErr w:type="spellEnd"/>
      <w:r w:rsidRPr="00FB7C8B">
        <w:rPr>
          <w:rFonts w:ascii="Times New Roman" w:hAnsi="Times New Roman"/>
          <w:sz w:val="24"/>
          <w:szCs w:val="24"/>
          <w:lang w:eastAsia="es-CL"/>
        </w:rPr>
        <w:t xml:space="preserve"> 19.628 sobre Protección de la Vida Privada en Chile, que regula el tratamiento de datos personales y establece los derechos y obligaciones de las partes involucradas. Esto permitirá que los empleados comprendan sus responsabilidades legales y regulatorias.</w:t>
      </w:r>
    </w:p>
    <w:p w14:paraId="32001C22"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Por último, se explicará el procedimiento de reporte de incidentes y el flujo de comunicación establecido en el SGSI, asegurando que todo el personal sepa cómo actuar ante una situación de riesgo. Este procedimiento incluirá pasos como la notificación inmediata al responsable de seguridad, la documentación detallada del incidente, la activación de los protocolos de contención y análisis, así como la comunicación escalonada con los jefes de área y la alta dirección. Los roles involucrados incluyen al personal operativo, que detecta y reporta el incidente; al equipo de seguridad, que gestiona la respuesta; y a los directivos, que supervisan las decisiones críticas para minimizar el impacto.</w:t>
      </w:r>
    </w:p>
    <w:p w14:paraId="49441CD7"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7. CONTENIDO DE FORMACIÓN PARA ROLES CRÍTICOS</w:t>
      </w:r>
    </w:p>
    <w:p w14:paraId="551351CD"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Los roles críticos en Anaconda Web comprenden aquellos que tienen un acceso elevado a sistemas sensibles, tales como desarrolladores de software, administradores de sistemas y analistas de seguridad. Además, también se incluyen roles de gestión de bases de datos, especialistas en redes y cualquier personal con privilegios para realizar cambios en la </w:t>
      </w:r>
      <w:r w:rsidRPr="00FB7C8B">
        <w:rPr>
          <w:rFonts w:ascii="Times New Roman" w:hAnsi="Times New Roman"/>
          <w:sz w:val="24"/>
          <w:szCs w:val="24"/>
          <w:lang w:eastAsia="es-CL"/>
        </w:rPr>
        <w:lastRenderedPageBreak/>
        <w:t xml:space="preserve">configuración de seguridad. Situaciones críticas como la administración de </w:t>
      </w:r>
      <w:proofErr w:type="spellStart"/>
      <w:r w:rsidRPr="00FB7C8B">
        <w:rPr>
          <w:rFonts w:ascii="Times New Roman" w:hAnsi="Times New Roman"/>
          <w:sz w:val="24"/>
          <w:szCs w:val="24"/>
          <w:lang w:eastAsia="es-CL"/>
        </w:rPr>
        <w:t>backups</w:t>
      </w:r>
      <w:proofErr w:type="spellEnd"/>
      <w:r w:rsidRPr="00FB7C8B">
        <w:rPr>
          <w:rFonts w:ascii="Times New Roman" w:hAnsi="Times New Roman"/>
          <w:sz w:val="24"/>
          <w:szCs w:val="24"/>
          <w:lang w:eastAsia="es-CL"/>
        </w:rPr>
        <w:t xml:space="preserve"> o la gestión de incidentes también requieren formación especializada. La formación en estos casos es más detallada y orientada a la prevención de vulnerabilidades específicas y la aplicación de controles avanzados.</w:t>
      </w:r>
    </w:p>
    <w:p w14:paraId="6135FC50"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La formación incluirá metodologías de codificación segura, implementación de parches de seguridad, pruebas de vulnerabilidades y gestión de configuraciones seguras. También se abordarán temas relacionados con la auditoría de seguridad, la monitorización de eventos y la protección de sistemas en entornos locales y en la nube.</w:t>
      </w:r>
    </w:p>
    <w:p w14:paraId="6F1D76E8"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Además, los ejercicios prácticos estarán enfocados en simulaciones de ataques dirigidos, pruebas de penetración y respuesta a incidentes complejos. Estos ejercicios permitirán evaluar la capacidad de los equipos técnicos para identificar, contener y mitigar incidentes en tiempo real.</w:t>
      </w:r>
    </w:p>
    <w:p w14:paraId="5867870F"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Los roles críticos también recibirán actualizaciones constantes sobre las amenazas emergentes y los cambios en las normativas, garantizando que puedan mantener la seguridad de la infraestructura tecnológica de la empresa.</w:t>
      </w:r>
    </w:p>
    <w:p w14:paraId="16B53021"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8. FRECUENCIA Y CRONOGRAMA</w:t>
      </w:r>
    </w:p>
    <w:p w14:paraId="4004281F"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La capacitación se estructurará en diferentes etapas para asegurar que todo el personal de Anaconda Web reciba formación adecuada y oportuna. Los nuevos empleados participarán en una sesión de inducción obligatoria al ingresar a la empresa, donde se les proporcionarán los conceptos básicos de seguridad de la información, políticas internas y el procedimiento de reporte de incidentes. Esta sesión estará diseñada para integrarse en el proceso de </w:t>
      </w:r>
      <w:proofErr w:type="spellStart"/>
      <w:r w:rsidRPr="00FB7C8B">
        <w:rPr>
          <w:rFonts w:ascii="Times New Roman" w:hAnsi="Times New Roman"/>
          <w:sz w:val="24"/>
          <w:szCs w:val="24"/>
          <w:lang w:eastAsia="es-CL"/>
        </w:rPr>
        <w:t>onboarding</w:t>
      </w:r>
      <w:proofErr w:type="spellEnd"/>
      <w:r w:rsidRPr="00FB7C8B">
        <w:rPr>
          <w:rFonts w:ascii="Times New Roman" w:hAnsi="Times New Roman"/>
          <w:sz w:val="24"/>
          <w:szCs w:val="24"/>
          <w:lang w:eastAsia="es-CL"/>
        </w:rPr>
        <w:t>.</w:t>
      </w:r>
    </w:p>
    <w:p w14:paraId="7A8407B2"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Posteriormente, se llevarán a cabo capacitaciones periódicas, al menos de manera anual, para reforzar y actualizar los conocimientos adquiridos. Estas sesiones incluirán temas emergentes relacionados con amenazas recientes, cambios regulatorios y mejoras en los controles de seguridad. Las capacitaciones periódicas se ajustarán según el área o rol del colaborador, con una formación más intensiva para roles críticos.</w:t>
      </w:r>
    </w:p>
    <w:p w14:paraId="36284115"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Simulaciones y pruebas prácticas, como ataques de phishing controlados, se realizarán con una frecuencia semestral. Los criterios de éxito de estas simulaciones incluirán el porcentaje de colaboradores que detecten y reporten el incidente, la rapidez con la que se notifica a los responsables de seguridad, y la implementación adecuada de las acciones correctivas según los procedimientos establecidos. Estos ejercicios servirán para evaluar el nivel de concienciación del personal y medir la efectividad de las formaciones previas. Los resultados de estas evaluaciones permitirán ajustar la frecuencia y el contenido de futuras sesiones.</w:t>
      </w:r>
    </w:p>
    <w:p w14:paraId="4155A190"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Por último, se establecerá un calendario anual donde se especificarán las fechas, responsables y objetivos de cada actividad de formación. Este cronograma estará disponible en las plataformas de comunicación interna de la empresa, permitiendo que los colaboradores planifiquen su participación de manera anticipada. Los líderes de equipo supervisarán el cumplimiento de estas actividades dentro de sus áreas respectivas.</w:t>
      </w:r>
    </w:p>
    <w:p w14:paraId="0D23F07A"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9. INDICADORES DE DESEMPEÑO</w:t>
      </w:r>
    </w:p>
    <w:p w14:paraId="36CD1FA9"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lastRenderedPageBreak/>
        <w:t>Para medir la efectividad del plan de capacitación en seguridad de la información, se establecerán indicadores clave que permitan evaluar el progreso y el impacto de las actividades formativas. Estos indicadores incluirán:</w:t>
      </w:r>
    </w:p>
    <w:p w14:paraId="764457BB" w14:textId="77777777" w:rsidR="00FB7C8B" w:rsidRPr="00FB7C8B" w:rsidRDefault="00FB7C8B" w:rsidP="00FB7C8B">
      <w:pPr>
        <w:numPr>
          <w:ilvl w:val="0"/>
          <w:numId w:val="58"/>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Asistencia y participación:</w:t>
      </w:r>
      <w:r w:rsidRPr="00FB7C8B">
        <w:rPr>
          <w:rFonts w:ascii="Times New Roman" w:hAnsi="Times New Roman"/>
          <w:sz w:val="24"/>
          <w:szCs w:val="24"/>
          <w:lang w:eastAsia="es-CL"/>
        </w:rPr>
        <w:t xml:space="preserve"> Porcentaje de asistencia a las sesiones de formación y de finalización de los módulos e-learning. Se considera satisfactorio un porcentaje mínimo del 80% de asistencia para alcanzar los objetivos del plan.</w:t>
      </w:r>
    </w:p>
    <w:p w14:paraId="36E689C2" w14:textId="77777777" w:rsidR="00FB7C8B" w:rsidRPr="00FB7C8B" w:rsidRDefault="00FB7C8B" w:rsidP="00FB7C8B">
      <w:pPr>
        <w:numPr>
          <w:ilvl w:val="0"/>
          <w:numId w:val="58"/>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Resultados en evaluaciones:</w:t>
      </w:r>
      <w:r w:rsidRPr="00FB7C8B">
        <w:rPr>
          <w:rFonts w:ascii="Times New Roman" w:hAnsi="Times New Roman"/>
          <w:sz w:val="24"/>
          <w:szCs w:val="24"/>
          <w:lang w:eastAsia="es-CL"/>
        </w:rPr>
        <w:t xml:space="preserve"> Calificaciones promedio en las evaluaciones teóricas y prácticas realizadas durante y después de las capacitaciones. Se considerará un resultado exitoso si el 85% o más de los colaboradores obtienen una calificación mínima de 70 puntos sobre 100.</w:t>
      </w:r>
    </w:p>
    <w:p w14:paraId="453FB5D0" w14:textId="77777777" w:rsidR="00FB7C8B" w:rsidRPr="00FB7C8B" w:rsidRDefault="00FB7C8B" w:rsidP="00FB7C8B">
      <w:pPr>
        <w:numPr>
          <w:ilvl w:val="0"/>
          <w:numId w:val="58"/>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Reportes de incidentes:</w:t>
      </w:r>
      <w:r w:rsidRPr="00FB7C8B">
        <w:rPr>
          <w:rFonts w:ascii="Times New Roman" w:hAnsi="Times New Roman"/>
          <w:sz w:val="24"/>
          <w:szCs w:val="24"/>
          <w:lang w:eastAsia="es-CL"/>
        </w:rPr>
        <w:t xml:space="preserve"> Incremento en la cantidad de reportes oportunos de incidentes o situaciones sospechosas por parte de los colaboradores. La 'oportunidad' en estos reportes se medirá con base en el tiempo transcurrido desde la detección del incidente hasta su notificación, siendo aceptable un tiempo máximo de 30 minutos para incidentes críticos.</w:t>
      </w:r>
    </w:p>
    <w:p w14:paraId="382EBA57" w14:textId="77777777" w:rsidR="00FB7C8B" w:rsidRPr="00FB7C8B" w:rsidRDefault="00FB7C8B" w:rsidP="00FB7C8B">
      <w:pPr>
        <w:numPr>
          <w:ilvl w:val="0"/>
          <w:numId w:val="58"/>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Simulaciones de ataques:</w:t>
      </w:r>
      <w:r w:rsidRPr="00FB7C8B">
        <w:rPr>
          <w:rFonts w:ascii="Times New Roman" w:hAnsi="Times New Roman"/>
          <w:sz w:val="24"/>
          <w:szCs w:val="24"/>
          <w:lang w:eastAsia="es-CL"/>
        </w:rPr>
        <w:t xml:space="preserve"> Resultados en simulaciones de phishing u otros ejercicios de ataque controlado, medidos por el porcentaje de detección y la respuesta adecuada. Se considerará satisfactorio un porcentaje de detección y reporte de al menos el 90% de los incidentes simulados.</w:t>
      </w:r>
    </w:p>
    <w:p w14:paraId="73AF63E9" w14:textId="77777777" w:rsidR="00FB7C8B" w:rsidRPr="00FB7C8B" w:rsidRDefault="00FB7C8B" w:rsidP="00FB7C8B">
      <w:pPr>
        <w:numPr>
          <w:ilvl w:val="0"/>
          <w:numId w:val="58"/>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Reducción de incidentes:</w:t>
      </w:r>
      <w:r w:rsidRPr="00FB7C8B">
        <w:rPr>
          <w:rFonts w:ascii="Times New Roman" w:hAnsi="Times New Roman"/>
          <w:sz w:val="24"/>
          <w:szCs w:val="24"/>
          <w:lang w:eastAsia="es-CL"/>
        </w:rPr>
        <w:t xml:space="preserve"> Disminución en el número de incidentes de seguridad relacionados con errores humanos. Se espera alcanzar una reducción de al menos un 20% anual como resultado de las capacitaciones y las medidas preventivas implementadas.</w:t>
      </w:r>
    </w:p>
    <w:p w14:paraId="2A98C65A"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Los resultados de estos indicadores serán analizados trimestralmente y presentados a la alta dirección para identificar áreas de mejora y ajustar las estrategias de formación según sea necesario. Las acciones específicas que podría tomar la alta dirección incluyen la asignación de recursos adicionales, la revisión de políticas de seguridad, el establecimiento de nuevas líneas de formación específica y la incorporación de tecnologías de protección más avanzadas. Las acciones que podrá tomar la alta dirección incluyen la asignación de recursos adicionales, la revisión de políticas de seguridad, la implementación de nuevas tecnologías de protección y el refuerzo de los programas de formación para roles específicos.</w:t>
      </w:r>
    </w:p>
    <w:p w14:paraId="41FE22F7"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10. MECANISMOS DE MEJORA CONTINUA</w:t>
      </w:r>
    </w:p>
    <w:p w14:paraId="4D904761"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El plan de capacitación en seguridad de la información se someterá a un proceso constante de revisión y mejora continua. Este proceso incluirá revisiones trimestrales realizadas por el responsable de seguridad de la información, quien recopilará datos de indicadores de desempeño, retroalimentación de los participantes y resultados de auditorías internas. Los hallazgos serán analizados junto a los jefes de área y la alta dirección para identificar ajustes necesarios en el contenido, la metodología o la frecuencia de las sesiones de formación. Esto garantizará que el contenido, las metodologías y las estrategias de formación se mantengan actualizados y alineados con las necesidades de la organización y las amenazas emergentes.</w:t>
      </w:r>
    </w:p>
    <w:p w14:paraId="330F326D"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Los mecanismos de mejora continua incluirán:</w:t>
      </w:r>
    </w:p>
    <w:p w14:paraId="690E3F6F" w14:textId="77777777" w:rsidR="00FB7C8B" w:rsidRPr="00FB7C8B" w:rsidRDefault="00FB7C8B" w:rsidP="00FB7C8B">
      <w:pPr>
        <w:numPr>
          <w:ilvl w:val="0"/>
          <w:numId w:val="59"/>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lastRenderedPageBreak/>
        <w:t>Encuestas de retroalimentación:</w:t>
      </w:r>
      <w:r w:rsidRPr="00FB7C8B">
        <w:rPr>
          <w:rFonts w:ascii="Times New Roman" w:hAnsi="Times New Roman"/>
          <w:sz w:val="24"/>
          <w:szCs w:val="24"/>
          <w:lang w:eastAsia="es-CL"/>
        </w:rPr>
        <w:t xml:space="preserve"> Estas se realizarán de forma semestral y los resultados serán analizados para identificar patrones comunes, detectando posibles debilidades en el programa de formación. Los informes resultantes serán presentados al equipo de seguridad y a la alta dirección. Los participantes de las capacitaciones completarán encuestas de satisfacción para evaluar la calidad de los contenidos, la relevancia de los temas y la aplicabilidad de los conocimientos.</w:t>
      </w:r>
    </w:p>
    <w:p w14:paraId="62A47C3C" w14:textId="77777777" w:rsidR="00FB7C8B" w:rsidRPr="00FB7C8B" w:rsidRDefault="00FB7C8B" w:rsidP="00FB7C8B">
      <w:pPr>
        <w:numPr>
          <w:ilvl w:val="0"/>
          <w:numId w:val="59"/>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Análisis de resultados:</w:t>
      </w:r>
      <w:r w:rsidRPr="00FB7C8B">
        <w:rPr>
          <w:rFonts w:ascii="Times New Roman" w:hAnsi="Times New Roman"/>
          <w:sz w:val="24"/>
          <w:szCs w:val="24"/>
          <w:lang w:eastAsia="es-CL"/>
        </w:rPr>
        <w:t xml:space="preserve"> Se realizará un análisis periódico de los resultados de los indicadores de desempeño para detectar patrones y áreas que requieran refuerzo.</w:t>
      </w:r>
    </w:p>
    <w:p w14:paraId="5B3EEDC0" w14:textId="77777777" w:rsidR="00FB7C8B" w:rsidRPr="00FB7C8B" w:rsidRDefault="00FB7C8B" w:rsidP="00FB7C8B">
      <w:pPr>
        <w:numPr>
          <w:ilvl w:val="0"/>
          <w:numId w:val="59"/>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Auditorías internas:</w:t>
      </w:r>
      <w:r w:rsidRPr="00FB7C8B">
        <w:rPr>
          <w:rFonts w:ascii="Times New Roman" w:hAnsi="Times New Roman"/>
          <w:sz w:val="24"/>
          <w:szCs w:val="24"/>
          <w:lang w:eastAsia="es-CL"/>
        </w:rPr>
        <w:t xml:space="preserve"> Se llevarán a cabo auditorías internas para evaluar el cumplimiento de los requisitos del SGSI en materia de formación y concienciación.</w:t>
      </w:r>
    </w:p>
    <w:p w14:paraId="1833C46E" w14:textId="77777777" w:rsidR="00FB7C8B" w:rsidRPr="00FB7C8B" w:rsidRDefault="00FB7C8B" w:rsidP="00FB7C8B">
      <w:pPr>
        <w:numPr>
          <w:ilvl w:val="0"/>
          <w:numId w:val="59"/>
        </w:num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Actualización de contenidos:</w:t>
      </w:r>
      <w:r w:rsidRPr="00FB7C8B">
        <w:rPr>
          <w:rFonts w:ascii="Times New Roman" w:hAnsi="Times New Roman"/>
          <w:sz w:val="24"/>
          <w:szCs w:val="24"/>
          <w:lang w:eastAsia="es-CL"/>
        </w:rPr>
        <w:t xml:space="preserve"> Los contenidos formativos se actualizarán regularmente para reflejar cambios en la normativa aplicable, la tecnología y las amenazas cibernéticas.</w:t>
      </w:r>
    </w:p>
    <w:p w14:paraId="15037619"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El responsable de seguridad de la información compilará los hallazgos de estas revisiones y presentará un informe a la alta dirección con propuestas de mejora, asegurando que el plan continúe siendo una herramienta efectiva para proteger los activos informacionales.</w:t>
      </w:r>
    </w:p>
    <w:p w14:paraId="40D65128"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b/>
          <w:bCs/>
          <w:sz w:val="24"/>
          <w:szCs w:val="24"/>
          <w:lang w:eastAsia="es-CL"/>
        </w:rPr>
        <w:t>11. CONCLUSIÓN</w:t>
      </w:r>
    </w:p>
    <w:p w14:paraId="78F44E95"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La implementación de este plan de capacitación en seguridad de la información es un paso fundamental para consolidar una cultura organizacional enfocada en la protección de los datos y activos críticos de Anaconda Web. A través de la formación constante y especializada, se busca que todos los colaboradores comprendan los riesgos asociados al entorno digital y adopten prácticas seguras en sus actividades diarias.</w:t>
      </w:r>
    </w:p>
    <w:p w14:paraId="4F77AF47"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 xml:space="preserve">El compromiso de la alta dirección, junto con la </w:t>
      </w:r>
      <w:proofErr w:type="gramStart"/>
      <w:r w:rsidRPr="00FB7C8B">
        <w:rPr>
          <w:rFonts w:ascii="Times New Roman" w:hAnsi="Times New Roman"/>
          <w:sz w:val="24"/>
          <w:szCs w:val="24"/>
          <w:lang w:eastAsia="es-CL"/>
        </w:rPr>
        <w:t>participación activa</w:t>
      </w:r>
      <w:proofErr w:type="gramEnd"/>
      <w:r w:rsidRPr="00FB7C8B">
        <w:rPr>
          <w:rFonts w:ascii="Times New Roman" w:hAnsi="Times New Roman"/>
          <w:sz w:val="24"/>
          <w:szCs w:val="24"/>
          <w:lang w:eastAsia="es-CL"/>
        </w:rPr>
        <w:t xml:space="preserve"> de los equipos de trabajo, es esencial para el éxito de esta iniciativa. El cumplimiento de los controles establecidos en el SGSI y la aplicación efectiva de los conocimientos adquiridos contribuirán a reducir la probabilidad de incidentes de seguridad y a mejorar la capacidad de respuesta ante contingencias.</w:t>
      </w:r>
    </w:p>
    <w:p w14:paraId="3D8C0817"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Este plan no es estático, sino que se ajustará de forma continua a medida que evolucionen las amenazas, las tecnologías y las necesidades de la organización. Este proceso de ajuste se llevará a cabo mediante revisiones trimestrales, evaluaciones de los indicadores de desempeño, la incorporación de recomendaciones obtenidas de auditorías internas y retroalimentación de los colaboradores. Se generarán informes trimestrales que serán presentados en reuniones de seguimiento, donde participarán el responsable de seguridad de la información, los jefes de área y la alta dirección. Estos informes incluirán análisis de indicadores, resultados de simulaciones y propuestas de mejora. Además, se analizarán incidentes recientes para adaptar las estrategias formativas según las lecciones aprendidas. Con ello, Anaconda Web busca no solo cumplir con la norma ISO 27001:2022, sino también fortalecer la confianza de sus clientes y colaboradores en la gestión segura de la información.</w:t>
      </w:r>
    </w:p>
    <w:p w14:paraId="401F3744" w14:textId="77777777" w:rsidR="00FB7C8B" w:rsidRPr="00FB7C8B" w:rsidRDefault="00FB7C8B" w:rsidP="00FB7C8B">
      <w:pPr>
        <w:spacing w:before="100" w:beforeAutospacing="1" w:after="100" w:afterAutospacing="1" w:line="240" w:lineRule="auto"/>
        <w:jc w:val="both"/>
        <w:rPr>
          <w:rFonts w:ascii="Times New Roman" w:hAnsi="Times New Roman"/>
          <w:sz w:val="24"/>
          <w:szCs w:val="24"/>
          <w:lang w:eastAsia="es-CL"/>
        </w:rPr>
      </w:pPr>
      <w:r w:rsidRPr="00FB7C8B">
        <w:rPr>
          <w:rFonts w:ascii="Times New Roman" w:hAnsi="Times New Roman"/>
          <w:sz w:val="24"/>
          <w:szCs w:val="24"/>
          <w:lang w:eastAsia="es-CL"/>
        </w:rPr>
        <w:t>En definitiva, este esfuerzo conjunto permitirá a la organización mantenerse competitiva en un entorno digital cada vez más complejo y exigente.</w:t>
      </w:r>
    </w:p>
    <w:p w14:paraId="32DA72E4" w14:textId="77777777" w:rsidR="00452E7F" w:rsidRPr="00452E7F" w:rsidRDefault="00452E7F" w:rsidP="00FB7C8B">
      <w:pPr>
        <w:pStyle w:val="NormalWeb"/>
        <w:jc w:val="both"/>
        <w:rPr>
          <w:rFonts w:asciiTheme="minorHAnsi" w:hAnsiTheme="minorHAnsi" w:cstheme="minorHAnsi"/>
          <w:lang w:val="es-CL"/>
        </w:rPr>
      </w:pPr>
    </w:p>
    <w:sectPr w:rsidR="00452E7F" w:rsidRPr="00452E7F"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B4B86" w14:textId="77777777" w:rsidR="008A4A58" w:rsidRPr="00452E7F" w:rsidRDefault="008A4A58">
      <w:r w:rsidRPr="00452E7F">
        <w:separator/>
      </w:r>
    </w:p>
    <w:p w14:paraId="417D1DEF" w14:textId="77777777" w:rsidR="008A4A58" w:rsidRPr="00452E7F" w:rsidRDefault="008A4A58"/>
    <w:p w14:paraId="77F233E3" w14:textId="77777777" w:rsidR="008A4A58" w:rsidRPr="00452E7F" w:rsidRDefault="008A4A58"/>
    <w:p w14:paraId="21BD720B" w14:textId="77777777" w:rsidR="008A4A58" w:rsidRPr="00452E7F" w:rsidRDefault="008A4A58" w:rsidP="00C1318C"/>
  </w:endnote>
  <w:endnote w:type="continuationSeparator" w:id="0">
    <w:p w14:paraId="7D4ADE65" w14:textId="77777777" w:rsidR="008A4A58" w:rsidRPr="00452E7F" w:rsidRDefault="008A4A58">
      <w:r w:rsidRPr="00452E7F">
        <w:continuationSeparator/>
      </w:r>
    </w:p>
    <w:p w14:paraId="3C42D27C" w14:textId="77777777" w:rsidR="008A4A58" w:rsidRPr="00452E7F" w:rsidRDefault="008A4A58"/>
    <w:p w14:paraId="6A91BA62" w14:textId="77777777" w:rsidR="008A4A58" w:rsidRPr="00452E7F" w:rsidRDefault="008A4A58"/>
    <w:p w14:paraId="73A82B8C" w14:textId="77777777" w:rsidR="008A4A58" w:rsidRPr="00452E7F" w:rsidRDefault="008A4A58"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1247" w14:textId="627D4593" w:rsidR="00AB01A2" w:rsidRPr="00FB7C8B" w:rsidRDefault="00FB7C8B" w:rsidP="00FB7C8B">
    <w:pPr>
      <w:pStyle w:val="Piedepgina"/>
      <w:jc w:val="center"/>
    </w:pPr>
    <w:r w:rsidRPr="00FB7C8B">
      <w:rPr>
        <w:rFonts w:ascii="Times New Roman" w:hAnsi="Times New Roman"/>
        <w:sz w:val="24"/>
        <w:szCs w:val="24"/>
        <w:lang w:eastAsia="es-CL"/>
      </w:rPr>
      <w:t>PLAN DE CAPACITACIÓN EN SEGURIDAD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A99C" w14:textId="77777777" w:rsidR="008A4A58" w:rsidRPr="00452E7F" w:rsidRDefault="008A4A58">
      <w:r w:rsidRPr="00452E7F">
        <w:separator/>
      </w:r>
    </w:p>
    <w:p w14:paraId="7766A37B" w14:textId="77777777" w:rsidR="008A4A58" w:rsidRPr="00452E7F" w:rsidRDefault="008A4A58"/>
    <w:p w14:paraId="379A8F69" w14:textId="77777777" w:rsidR="008A4A58" w:rsidRPr="00452E7F" w:rsidRDefault="008A4A58"/>
    <w:p w14:paraId="3F7C6E02" w14:textId="77777777" w:rsidR="008A4A58" w:rsidRPr="00452E7F" w:rsidRDefault="008A4A58" w:rsidP="00C1318C"/>
  </w:footnote>
  <w:footnote w:type="continuationSeparator" w:id="0">
    <w:p w14:paraId="2CBD3E19" w14:textId="77777777" w:rsidR="008A4A58" w:rsidRPr="00452E7F" w:rsidRDefault="008A4A58">
      <w:r w:rsidRPr="00452E7F">
        <w:continuationSeparator/>
      </w:r>
    </w:p>
    <w:p w14:paraId="7303FF86" w14:textId="77777777" w:rsidR="008A4A58" w:rsidRPr="00452E7F" w:rsidRDefault="008A4A58"/>
    <w:p w14:paraId="7B6EAB97" w14:textId="77777777" w:rsidR="008A4A58" w:rsidRPr="00452E7F" w:rsidRDefault="008A4A58"/>
    <w:p w14:paraId="5FB9C00E" w14:textId="77777777" w:rsidR="008A4A58" w:rsidRPr="00452E7F" w:rsidRDefault="008A4A58"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452E7F" w:rsidRDefault="001637D6">
    <w:r w:rsidRPr="00452E7F">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D11AD0"/>
    <w:multiLevelType w:val="multilevel"/>
    <w:tmpl w:val="B83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2"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C68FC"/>
    <w:multiLevelType w:val="multilevel"/>
    <w:tmpl w:val="958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2357D"/>
    <w:multiLevelType w:val="multilevel"/>
    <w:tmpl w:val="6FAE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9"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1"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6"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39"/>
  </w:num>
  <w:num w:numId="2" w16cid:durableId="74938854">
    <w:abstractNumId w:val="17"/>
  </w:num>
  <w:num w:numId="3" w16cid:durableId="1494763561">
    <w:abstractNumId w:val="14"/>
  </w:num>
  <w:num w:numId="4" w16cid:durableId="2135100286">
    <w:abstractNumId w:val="38"/>
  </w:num>
  <w:num w:numId="5" w16cid:durableId="1000818834">
    <w:abstractNumId w:val="20"/>
  </w:num>
  <w:num w:numId="6" w16cid:durableId="1632788525">
    <w:abstractNumId w:val="49"/>
  </w:num>
  <w:num w:numId="7" w16cid:durableId="1321421067">
    <w:abstractNumId w:val="34"/>
  </w:num>
  <w:num w:numId="8" w16cid:durableId="352341285">
    <w:abstractNumId w:val="40"/>
  </w:num>
  <w:num w:numId="9" w16cid:durableId="27727978">
    <w:abstractNumId w:val="32"/>
  </w:num>
  <w:num w:numId="10" w16cid:durableId="1859850961">
    <w:abstractNumId w:val="12"/>
  </w:num>
  <w:num w:numId="11" w16cid:durableId="1630670735">
    <w:abstractNumId w:val="18"/>
  </w:num>
  <w:num w:numId="12" w16cid:durableId="1692032352">
    <w:abstractNumId w:val="20"/>
  </w:num>
  <w:num w:numId="13" w16cid:durableId="1393849829">
    <w:abstractNumId w:val="20"/>
  </w:num>
  <w:num w:numId="14" w16cid:durableId="815293384">
    <w:abstractNumId w:val="20"/>
  </w:num>
  <w:num w:numId="15" w16cid:durableId="1977754839">
    <w:abstractNumId w:val="47"/>
  </w:num>
  <w:num w:numId="16" w16cid:durableId="240061859">
    <w:abstractNumId w:val="22"/>
  </w:num>
  <w:num w:numId="17" w16cid:durableId="1741440573">
    <w:abstractNumId w:val="35"/>
  </w:num>
  <w:num w:numId="18" w16cid:durableId="404303887">
    <w:abstractNumId w:val="23"/>
  </w:num>
  <w:num w:numId="19" w16cid:durableId="1072853763">
    <w:abstractNumId w:val="5"/>
  </w:num>
  <w:num w:numId="20" w16cid:durableId="888345100">
    <w:abstractNumId w:val="26"/>
  </w:num>
  <w:num w:numId="21" w16cid:durableId="2083486945">
    <w:abstractNumId w:val="29"/>
  </w:num>
  <w:num w:numId="22" w16cid:durableId="1412317948">
    <w:abstractNumId w:val="0"/>
  </w:num>
  <w:num w:numId="23" w16cid:durableId="1332220685">
    <w:abstractNumId w:val="45"/>
  </w:num>
  <w:num w:numId="24" w16cid:durableId="587539902">
    <w:abstractNumId w:val="48"/>
  </w:num>
  <w:num w:numId="25" w16cid:durableId="1814641950">
    <w:abstractNumId w:val="11"/>
  </w:num>
  <w:num w:numId="26" w16cid:durableId="805513463">
    <w:abstractNumId w:val="1"/>
  </w:num>
  <w:num w:numId="27" w16cid:durableId="1555776139">
    <w:abstractNumId w:val="51"/>
  </w:num>
  <w:num w:numId="28" w16cid:durableId="2123913244">
    <w:abstractNumId w:val="13"/>
  </w:num>
  <w:num w:numId="29" w16cid:durableId="874922778">
    <w:abstractNumId w:val="24"/>
  </w:num>
  <w:num w:numId="30" w16cid:durableId="1757896361">
    <w:abstractNumId w:val="3"/>
  </w:num>
  <w:num w:numId="31" w16cid:durableId="1888297015">
    <w:abstractNumId w:val="20"/>
  </w:num>
  <w:num w:numId="32" w16cid:durableId="1875121296">
    <w:abstractNumId w:val="20"/>
  </w:num>
  <w:num w:numId="33" w16cid:durableId="711199856">
    <w:abstractNumId w:val="20"/>
  </w:num>
  <w:num w:numId="34" w16cid:durableId="1914506562">
    <w:abstractNumId w:val="20"/>
  </w:num>
  <w:num w:numId="35" w16cid:durableId="1030836293">
    <w:abstractNumId w:val="42"/>
  </w:num>
  <w:num w:numId="36" w16cid:durableId="674503644">
    <w:abstractNumId w:val="10"/>
  </w:num>
  <w:num w:numId="37" w16cid:durableId="1888105176">
    <w:abstractNumId w:val="50"/>
  </w:num>
  <w:num w:numId="38" w16cid:durableId="342171148">
    <w:abstractNumId w:val="16"/>
  </w:num>
  <w:num w:numId="39" w16cid:durableId="1308512191">
    <w:abstractNumId w:val="41"/>
  </w:num>
  <w:num w:numId="40" w16cid:durableId="751203121">
    <w:abstractNumId w:val="7"/>
  </w:num>
  <w:num w:numId="41" w16cid:durableId="1001616379">
    <w:abstractNumId w:val="44"/>
  </w:num>
  <w:num w:numId="42" w16cid:durableId="157235028">
    <w:abstractNumId w:val="30"/>
  </w:num>
  <w:num w:numId="43" w16cid:durableId="1076974531">
    <w:abstractNumId w:val="28"/>
  </w:num>
  <w:num w:numId="44" w16cid:durableId="908157133">
    <w:abstractNumId w:val="9"/>
  </w:num>
  <w:num w:numId="45" w16cid:durableId="1528714069">
    <w:abstractNumId w:val="43"/>
  </w:num>
  <w:num w:numId="46" w16cid:durableId="1350448151">
    <w:abstractNumId w:val="36"/>
  </w:num>
  <w:num w:numId="47" w16cid:durableId="134489178">
    <w:abstractNumId w:val="25"/>
  </w:num>
  <w:num w:numId="48" w16cid:durableId="904069908">
    <w:abstractNumId w:val="33"/>
  </w:num>
  <w:num w:numId="49" w16cid:durableId="876355981">
    <w:abstractNumId w:val="19"/>
  </w:num>
  <w:num w:numId="50" w16cid:durableId="1270042179">
    <w:abstractNumId w:val="37"/>
  </w:num>
  <w:num w:numId="51" w16cid:durableId="610477338">
    <w:abstractNumId w:val="8"/>
  </w:num>
  <w:num w:numId="52" w16cid:durableId="1976401646">
    <w:abstractNumId w:val="2"/>
  </w:num>
  <w:num w:numId="53" w16cid:durableId="1718821827">
    <w:abstractNumId w:val="27"/>
  </w:num>
  <w:num w:numId="54" w16cid:durableId="404844148">
    <w:abstractNumId w:val="6"/>
  </w:num>
  <w:num w:numId="55" w16cid:durableId="819855879">
    <w:abstractNumId w:val="21"/>
  </w:num>
  <w:num w:numId="56" w16cid:durableId="362633569">
    <w:abstractNumId w:val="46"/>
  </w:num>
  <w:num w:numId="57" w16cid:durableId="1654604958">
    <w:abstractNumId w:val="31"/>
  </w:num>
  <w:num w:numId="58" w16cid:durableId="574321648">
    <w:abstractNumId w:val="15"/>
  </w:num>
  <w:num w:numId="59" w16cid:durableId="101942545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A5F3C"/>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2F5689"/>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7CA"/>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A3331"/>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E75E8"/>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4A58"/>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DE7"/>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B6A90"/>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B7C8B"/>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17924666">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2F5689"/>
    <w:rsid w:val="00363C37"/>
    <w:rsid w:val="00383C66"/>
    <w:rsid w:val="00383C88"/>
    <w:rsid w:val="00390CD5"/>
    <w:rsid w:val="004177CA"/>
    <w:rsid w:val="00483F4E"/>
    <w:rsid w:val="004F1616"/>
    <w:rsid w:val="00503E58"/>
    <w:rsid w:val="005910A7"/>
    <w:rsid w:val="006C7BDF"/>
    <w:rsid w:val="00737BAE"/>
    <w:rsid w:val="00861D23"/>
    <w:rsid w:val="00871B28"/>
    <w:rsid w:val="00912671"/>
    <w:rsid w:val="00930D52"/>
    <w:rsid w:val="009C1F3E"/>
    <w:rsid w:val="00B63AF7"/>
    <w:rsid w:val="00B92933"/>
    <w:rsid w:val="00C2077E"/>
    <w:rsid w:val="00C81A8B"/>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3615</Words>
  <Characters>19887</Characters>
  <Application>Microsoft Office Word</Application>
  <DocSecurity>0</DocSecurity>
  <Lines>165</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23456</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2025-02-03T04:31:00Z</dcterms:created>
  <dcterms:modified xsi:type="dcterms:W3CDTF">2025-03-31T03:10:00Z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