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255F0B" w:rsidRDefault="00657883" w:rsidP="00D02999">
      <w:pPr>
        <w:jc w:val="both"/>
        <w:rPr>
          <w:rFonts w:asciiTheme="minorHAnsi" w:hAnsiTheme="minorHAnsi" w:cstheme="minorHAnsi"/>
        </w:rPr>
      </w:pPr>
    </w:p>
    <w:p w14:paraId="7415A3EE" w14:textId="77777777" w:rsidR="001705EC" w:rsidRPr="00255F0B" w:rsidRDefault="001705EC" w:rsidP="00D02999">
      <w:pPr>
        <w:jc w:val="both"/>
        <w:rPr>
          <w:rFonts w:asciiTheme="minorHAnsi" w:hAnsiTheme="minorHAnsi" w:cstheme="minorHAnsi"/>
          <w:sz w:val="44"/>
          <w:szCs w:val="44"/>
        </w:rPr>
      </w:pPr>
    </w:p>
    <w:p w14:paraId="0C856897" w14:textId="7E36FFBC" w:rsidR="005C43FE" w:rsidRPr="005C43FE" w:rsidRDefault="005C43FE" w:rsidP="005C43FE">
      <w:pPr>
        <w:jc w:val="center"/>
        <w:rPr>
          <w:rFonts w:asciiTheme="minorHAnsi" w:hAnsiTheme="minorHAnsi" w:cstheme="minorHAnsi"/>
          <w:sz w:val="24"/>
          <w:szCs w:val="24"/>
          <w:lang w:eastAsia="es-CL"/>
        </w:rPr>
      </w:pPr>
      <w:r w:rsidRPr="005C43FE">
        <w:rPr>
          <w:rFonts w:asciiTheme="minorHAnsi" w:hAnsiTheme="minorHAnsi" w:cstheme="minorHAnsi"/>
          <w:sz w:val="24"/>
          <w:szCs w:val="24"/>
        </w:rPr>
        <w:t>Anexo A.16 PROCEDIMIENTO</w:t>
      </w:r>
      <w:r w:rsidRPr="002538DC">
        <w:rPr>
          <w:rFonts w:asciiTheme="minorHAnsi" w:hAnsiTheme="minorHAnsi" w:cstheme="minorHAnsi"/>
          <w:sz w:val="24"/>
          <w:szCs w:val="24"/>
          <w:lang w:eastAsia="es-CL"/>
        </w:rPr>
        <w:t xml:space="preserve"> DE GESTIÓN DE INCIDENTES</w:t>
      </w:r>
    </w:p>
    <w:p w14:paraId="30FD80A7" w14:textId="750A16A2" w:rsidR="006533BC" w:rsidRPr="00255F0B" w:rsidRDefault="006533BC" w:rsidP="00D02999">
      <w:pPr>
        <w:spacing w:after="0"/>
        <w:ind w:left="1900" w:firstLine="380"/>
        <w:jc w:val="both"/>
        <w:rPr>
          <w:rFonts w:asciiTheme="minorHAnsi" w:hAnsiTheme="minorHAnsi" w:cstheme="minorHAnsi"/>
          <w:b/>
          <w:bCs/>
          <w:sz w:val="40"/>
          <w:szCs w:val="40"/>
        </w:rPr>
      </w:pPr>
    </w:p>
    <w:tbl>
      <w:tblPr>
        <w:tblStyle w:val="Tablaconcuadrcula"/>
        <w:tblW w:w="10368" w:type="dxa"/>
        <w:tblInd w:w="-342" w:type="dxa"/>
        <w:tblLook w:val="04A0" w:firstRow="1" w:lastRow="0" w:firstColumn="1" w:lastColumn="0" w:noHBand="0" w:noVBand="1"/>
      </w:tblPr>
      <w:tblGrid>
        <w:gridCol w:w="1806"/>
        <w:gridCol w:w="1500"/>
        <w:gridCol w:w="1694"/>
        <w:gridCol w:w="2196"/>
        <w:gridCol w:w="979"/>
        <w:gridCol w:w="2193"/>
      </w:tblGrid>
      <w:tr w:rsidR="00452E7F" w:rsidRPr="00255F0B" w14:paraId="273B0C4B" w14:textId="77777777" w:rsidTr="00D02A7F">
        <w:tc>
          <w:tcPr>
            <w:tcW w:w="1908" w:type="dxa"/>
            <w:shd w:val="clear" w:color="auto" w:fill="D9D9D9" w:themeFill="background1" w:themeFillShade="D9"/>
          </w:tcPr>
          <w:p w14:paraId="083D5C51" w14:textId="77777777" w:rsidR="001705EC" w:rsidRPr="00255F0B" w:rsidRDefault="001705EC" w:rsidP="00D02999">
            <w:pPr>
              <w:jc w:val="both"/>
              <w:rPr>
                <w:rFonts w:asciiTheme="minorHAnsi" w:hAnsiTheme="minorHAnsi" w:cstheme="minorHAnsi"/>
                <w:b/>
                <w:bCs/>
                <w:sz w:val="24"/>
                <w:szCs w:val="24"/>
              </w:rPr>
            </w:pPr>
            <w:r w:rsidRPr="00255F0B">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255F0B" w:rsidRDefault="001705EC" w:rsidP="00D02999">
            <w:pPr>
              <w:jc w:val="both"/>
              <w:rPr>
                <w:rFonts w:asciiTheme="minorHAnsi" w:hAnsiTheme="minorHAnsi" w:cstheme="minorHAnsi"/>
                <w:b/>
                <w:bCs/>
                <w:sz w:val="24"/>
                <w:szCs w:val="24"/>
              </w:rPr>
            </w:pPr>
            <w:r w:rsidRPr="00255F0B">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255F0B" w:rsidRDefault="001705EC" w:rsidP="00D02999">
            <w:pPr>
              <w:jc w:val="both"/>
              <w:rPr>
                <w:rFonts w:asciiTheme="minorHAnsi" w:hAnsiTheme="minorHAnsi" w:cstheme="minorHAnsi"/>
                <w:b/>
                <w:bCs/>
                <w:sz w:val="24"/>
                <w:szCs w:val="24"/>
              </w:rPr>
            </w:pPr>
            <w:r w:rsidRPr="00255F0B">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255F0B" w:rsidRDefault="001705EC" w:rsidP="00D02999">
            <w:pPr>
              <w:jc w:val="both"/>
              <w:rPr>
                <w:rFonts w:asciiTheme="minorHAnsi" w:hAnsiTheme="minorHAnsi" w:cstheme="minorHAnsi"/>
                <w:b/>
                <w:bCs/>
                <w:sz w:val="24"/>
                <w:szCs w:val="24"/>
              </w:rPr>
            </w:pPr>
            <w:r w:rsidRPr="00255F0B">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255F0B" w:rsidRDefault="001705EC" w:rsidP="00D02999">
            <w:pPr>
              <w:jc w:val="both"/>
              <w:rPr>
                <w:rFonts w:asciiTheme="minorHAnsi" w:hAnsiTheme="minorHAnsi" w:cstheme="minorHAnsi"/>
                <w:b/>
                <w:bCs/>
                <w:sz w:val="24"/>
                <w:szCs w:val="24"/>
              </w:rPr>
            </w:pPr>
            <w:r w:rsidRPr="00255F0B">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255F0B" w:rsidRDefault="001705EC" w:rsidP="00D02999">
            <w:pPr>
              <w:jc w:val="both"/>
              <w:rPr>
                <w:rFonts w:asciiTheme="minorHAnsi" w:hAnsiTheme="minorHAnsi" w:cstheme="minorHAnsi"/>
                <w:b/>
                <w:bCs/>
                <w:sz w:val="24"/>
                <w:szCs w:val="24"/>
              </w:rPr>
            </w:pPr>
            <w:r w:rsidRPr="00255F0B">
              <w:rPr>
                <w:rFonts w:asciiTheme="minorHAnsi" w:hAnsiTheme="minorHAnsi" w:cstheme="minorHAnsi"/>
                <w:b/>
                <w:bCs/>
                <w:sz w:val="24"/>
                <w:szCs w:val="24"/>
              </w:rPr>
              <w:t>Descripción</w:t>
            </w:r>
          </w:p>
        </w:tc>
      </w:tr>
      <w:tr w:rsidR="00452E7F" w:rsidRPr="00255F0B" w14:paraId="23D5C307" w14:textId="77777777" w:rsidTr="00D02A7F">
        <w:tc>
          <w:tcPr>
            <w:tcW w:w="1908" w:type="dxa"/>
          </w:tcPr>
          <w:p w14:paraId="1F536261" w14:textId="77777777" w:rsidR="001705EC" w:rsidRPr="00255F0B" w:rsidRDefault="001705EC" w:rsidP="00D02999">
            <w:pPr>
              <w:jc w:val="both"/>
              <w:rPr>
                <w:rFonts w:asciiTheme="minorHAnsi" w:hAnsiTheme="minorHAnsi" w:cstheme="minorHAnsi"/>
                <w:sz w:val="24"/>
                <w:szCs w:val="24"/>
              </w:rPr>
            </w:pPr>
            <w:bookmarkStart w:id="0" w:name="_Hlk187601937"/>
            <w:r w:rsidRPr="00255F0B">
              <w:rPr>
                <w:rFonts w:asciiTheme="minorHAnsi" w:hAnsiTheme="minorHAnsi" w:cstheme="minorHAnsi"/>
                <w:sz w:val="24"/>
                <w:szCs w:val="24"/>
              </w:rPr>
              <w:t>V1.0</w:t>
            </w:r>
          </w:p>
        </w:tc>
        <w:tc>
          <w:tcPr>
            <w:tcW w:w="1570" w:type="dxa"/>
          </w:tcPr>
          <w:p w14:paraId="5CF1E181" w14:textId="23D50EDA" w:rsidR="001705EC" w:rsidRPr="00255F0B" w:rsidRDefault="001637D6" w:rsidP="00D02999">
            <w:pPr>
              <w:jc w:val="both"/>
              <w:rPr>
                <w:rFonts w:asciiTheme="minorHAnsi" w:hAnsiTheme="minorHAnsi" w:cstheme="minorHAnsi"/>
                <w:sz w:val="24"/>
                <w:szCs w:val="24"/>
              </w:rPr>
            </w:pPr>
            <w:r w:rsidRPr="00255F0B">
              <w:rPr>
                <w:rFonts w:asciiTheme="minorHAnsi" w:hAnsiTheme="minorHAnsi" w:cstheme="minorHAnsi"/>
                <w:sz w:val="24"/>
                <w:szCs w:val="24"/>
              </w:rPr>
              <w:t>Auditorex Chile</w:t>
            </w:r>
          </w:p>
        </w:tc>
        <w:tc>
          <w:tcPr>
            <w:tcW w:w="1810" w:type="dxa"/>
          </w:tcPr>
          <w:p w14:paraId="48DCB9A0" w14:textId="77777777" w:rsidR="001637D6" w:rsidRPr="00255F0B" w:rsidRDefault="001637D6" w:rsidP="00D02999">
            <w:pPr>
              <w:jc w:val="both"/>
              <w:rPr>
                <w:rFonts w:asciiTheme="minorHAnsi" w:hAnsiTheme="minorHAnsi" w:cstheme="minorHAnsi"/>
                <w:sz w:val="24"/>
                <w:szCs w:val="24"/>
              </w:rPr>
            </w:pPr>
            <w:r w:rsidRPr="00255F0B">
              <w:rPr>
                <w:rFonts w:asciiTheme="minorHAnsi" w:hAnsiTheme="minorHAnsi" w:cstheme="minorHAnsi"/>
                <w:sz w:val="24"/>
                <w:szCs w:val="24"/>
              </w:rPr>
              <w:t>Mauricio Antonio Colomera Villarroel</w:t>
            </w:r>
          </w:p>
          <w:p w14:paraId="4664E988" w14:textId="77777777" w:rsidR="001705EC" w:rsidRPr="00255F0B" w:rsidRDefault="001705EC" w:rsidP="00D02999">
            <w:pPr>
              <w:jc w:val="both"/>
              <w:rPr>
                <w:rFonts w:asciiTheme="minorHAnsi" w:hAnsiTheme="minorHAnsi" w:cstheme="minorHAnsi"/>
                <w:sz w:val="24"/>
                <w:szCs w:val="24"/>
              </w:rPr>
            </w:pPr>
          </w:p>
        </w:tc>
        <w:tc>
          <w:tcPr>
            <w:tcW w:w="1811" w:type="dxa"/>
          </w:tcPr>
          <w:p w14:paraId="285FCDD1" w14:textId="0FAEB9DF" w:rsidR="001705EC" w:rsidRPr="00255F0B" w:rsidRDefault="00452E7F" w:rsidP="00D02999">
            <w:pPr>
              <w:jc w:val="both"/>
              <w:rPr>
                <w:rFonts w:asciiTheme="minorHAnsi" w:hAnsiTheme="minorHAnsi" w:cstheme="minorHAnsi"/>
                <w:sz w:val="24"/>
                <w:szCs w:val="24"/>
              </w:rPr>
            </w:pPr>
            <w:r w:rsidRPr="00255F0B">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255F0B" w:rsidRDefault="00D02999" w:rsidP="00D02999">
            <w:pPr>
              <w:jc w:val="both"/>
              <w:rPr>
                <w:rFonts w:asciiTheme="minorHAnsi" w:hAnsiTheme="minorHAnsi" w:cstheme="minorHAnsi"/>
                <w:szCs w:val="22"/>
              </w:rPr>
            </w:pPr>
            <w:r w:rsidRPr="00255F0B">
              <w:rPr>
                <w:rFonts w:asciiTheme="minorHAnsi" w:hAnsiTheme="minorHAnsi" w:cstheme="minorHAnsi"/>
                <w:szCs w:val="22"/>
              </w:rPr>
              <w:t>12-01-2024</w:t>
            </w:r>
          </w:p>
        </w:tc>
        <w:tc>
          <w:tcPr>
            <w:tcW w:w="2250" w:type="dxa"/>
          </w:tcPr>
          <w:p w14:paraId="6401603C" w14:textId="51D4FBF9" w:rsidR="001705EC" w:rsidRPr="005C43FE" w:rsidRDefault="005C43FE" w:rsidP="00A80114">
            <w:pPr>
              <w:pStyle w:val="NormalWeb"/>
              <w:rPr>
                <w:rFonts w:ascii="Calibri" w:hAnsi="Calibri" w:cs="Calibri"/>
                <w:lang w:val="es-CL"/>
              </w:rPr>
            </w:pPr>
            <w:r w:rsidRPr="002538DC">
              <w:rPr>
                <w:rFonts w:ascii="Calibri" w:hAnsi="Calibri" w:cs="Calibri"/>
                <w:b/>
                <w:bCs/>
                <w:lang w:eastAsia="es-CL"/>
              </w:rPr>
              <w:t>PROCEDIMIENTO DE GESTIÓN DE INCIDENTES</w:t>
            </w:r>
          </w:p>
        </w:tc>
      </w:tr>
      <w:bookmarkEnd w:id="0"/>
      <w:tr w:rsidR="00452E7F" w:rsidRPr="00255F0B" w14:paraId="2A38A0FB" w14:textId="77777777" w:rsidTr="00D02A7F">
        <w:tc>
          <w:tcPr>
            <w:tcW w:w="1908" w:type="dxa"/>
          </w:tcPr>
          <w:p w14:paraId="5AA7A63A" w14:textId="77777777" w:rsidR="001705EC" w:rsidRPr="00255F0B" w:rsidRDefault="001705EC" w:rsidP="00D02999">
            <w:pPr>
              <w:jc w:val="both"/>
              <w:rPr>
                <w:rFonts w:asciiTheme="minorHAnsi" w:hAnsiTheme="minorHAnsi" w:cstheme="minorHAnsi"/>
                <w:sz w:val="24"/>
                <w:szCs w:val="24"/>
              </w:rPr>
            </w:pPr>
          </w:p>
        </w:tc>
        <w:tc>
          <w:tcPr>
            <w:tcW w:w="1570" w:type="dxa"/>
          </w:tcPr>
          <w:p w14:paraId="6CA0F23C" w14:textId="77777777" w:rsidR="001705EC" w:rsidRPr="00255F0B" w:rsidRDefault="001705EC" w:rsidP="00D02999">
            <w:pPr>
              <w:jc w:val="both"/>
              <w:rPr>
                <w:rFonts w:asciiTheme="minorHAnsi" w:hAnsiTheme="minorHAnsi" w:cstheme="minorHAnsi"/>
                <w:sz w:val="24"/>
                <w:szCs w:val="24"/>
              </w:rPr>
            </w:pPr>
          </w:p>
        </w:tc>
        <w:tc>
          <w:tcPr>
            <w:tcW w:w="1810" w:type="dxa"/>
          </w:tcPr>
          <w:p w14:paraId="7579C89A" w14:textId="77777777" w:rsidR="001705EC" w:rsidRPr="00255F0B" w:rsidRDefault="001705EC" w:rsidP="00D02999">
            <w:pPr>
              <w:jc w:val="both"/>
              <w:rPr>
                <w:rFonts w:asciiTheme="minorHAnsi" w:hAnsiTheme="minorHAnsi" w:cstheme="minorHAnsi"/>
                <w:sz w:val="24"/>
                <w:szCs w:val="24"/>
              </w:rPr>
            </w:pPr>
          </w:p>
        </w:tc>
        <w:tc>
          <w:tcPr>
            <w:tcW w:w="1811" w:type="dxa"/>
          </w:tcPr>
          <w:p w14:paraId="5C11AFDC" w14:textId="77777777" w:rsidR="001705EC" w:rsidRPr="00255F0B" w:rsidRDefault="001705EC" w:rsidP="00D02999">
            <w:pPr>
              <w:jc w:val="both"/>
              <w:rPr>
                <w:rFonts w:asciiTheme="minorHAnsi" w:hAnsiTheme="minorHAnsi" w:cstheme="minorHAnsi"/>
                <w:sz w:val="24"/>
                <w:szCs w:val="24"/>
              </w:rPr>
            </w:pPr>
          </w:p>
        </w:tc>
        <w:tc>
          <w:tcPr>
            <w:tcW w:w="1019" w:type="dxa"/>
          </w:tcPr>
          <w:p w14:paraId="2D9464C3" w14:textId="77777777" w:rsidR="001705EC" w:rsidRPr="00255F0B" w:rsidRDefault="001705EC" w:rsidP="00D02999">
            <w:pPr>
              <w:jc w:val="both"/>
              <w:rPr>
                <w:rFonts w:asciiTheme="minorHAnsi" w:hAnsiTheme="minorHAnsi" w:cstheme="minorHAnsi"/>
                <w:sz w:val="24"/>
                <w:szCs w:val="24"/>
              </w:rPr>
            </w:pPr>
          </w:p>
        </w:tc>
        <w:tc>
          <w:tcPr>
            <w:tcW w:w="2250" w:type="dxa"/>
          </w:tcPr>
          <w:p w14:paraId="30EA5E83" w14:textId="77777777" w:rsidR="001705EC" w:rsidRPr="00255F0B" w:rsidRDefault="001705EC" w:rsidP="00D02999">
            <w:pPr>
              <w:jc w:val="both"/>
              <w:rPr>
                <w:rFonts w:asciiTheme="minorHAnsi" w:hAnsiTheme="minorHAnsi" w:cstheme="minorHAnsi"/>
                <w:sz w:val="24"/>
                <w:szCs w:val="24"/>
              </w:rPr>
            </w:pPr>
          </w:p>
        </w:tc>
      </w:tr>
      <w:tr w:rsidR="00452E7F" w:rsidRPr="00255F0B" w14:paraId="5D084FF7" w14:textId="77777777" w:rsidTr="00D02A7F">
        <w:tc>
          <w:tcPr>
            <w:tcW w:w="1908" w:type="dxa"/>
          </w:tcPr>
          <w:p w14:paraId="59848B68" w14:textId="77777777" w:rsidR="001705EC" w:rsidRPr="00255F0B" w:rsidRDefault="001705EC" w:rsidP="00D02999">
            <w:pPr>
              <w:jc w:val="both"/>
              <w:rPr>
                <w:rFonts w:asciiTheme="minorHAnsi" w:hAnsiTheme="minorHAnsi" w:cstheme="minorHAnsi"/>
                <w:sz w:val="24"/>
                <w:szCs w:val="24"/>
              </w:rPr>
            </w:pPr>
          </w:p>
        </w:tc>
        <w:tc>
          <w:tcPr>
            <w:tcW w:w="1570" w:type="dxa"/>
          </w:tcPr>
          <w:p w14:paraId="4CE506E6" w14:textId="77777777" w:rsidR="001705EC" w:rsidRPr="00255F0B" w:rsidRDefault="001705EC" w:rsidP="00D02999">
            <w:pPr>
              <w:jc w:val="both"/>
              <w:rPr>
                <w:rFonts w:asciiTheme="minorHAnsi" w:hAnsiTheme="minorHAnsi" w:cstheme="minorHAnsi"/>
                <w:sz w:val="24"/>
                <w:szCs w:val="24"/>
              </w:rPr>
            </w:pPr>
          </w:p>
        </w:tc>
        <w:tc>
          <w:tcPr>
            <w:tcW w:w="1810" w:type="dxa"/>
          </w:tcPr>
          <w:p w14:paraId="09467189" w14:textId="77777777" w:rsidR="001705EC" w:rsidRPr="00255F0B" w:rsidRDefault="001705EC" w:rsidP="00D02999">
            <w:pPr>
              <w:jc w:val="both"/>
              <w:rPr>
                <w:rFonts w:asciiTheme="minorHAnsi" w:hAnsiTheme="minorHAnsi" w:cstheme="minorHAnsi"/>
                <w:sz w:val="24"/>
                <w:szCs w:val="24"/>
              </w:rPr>
            </w:pPr>
          </w:p>
        </w:tc>
        <w:tc>
          <w:tcPr>
            <w:tcW w:w="1811" w:type="dxa"/>
          </w:tcPr>
          <w:p w14:paraId="6E7E4F49" w14:textId="77777777" w:rsidR="001705EC" w:rsidRPr="00255F0B" w:rsidRDefault="001705EC" w:rsidP="00D02999">
            <w:pPr>
              <w:jc w:val="both"/>
              <w:rPr>
                <w:rFonts w:asciiTheme="minorHAnsi" w:hAnsiTheme="minorHAnsi" w:cstheme="minorHAnsi"/>
                <w:sz w:val="24"/>
                <w:szCs w:val="24"/>
              </w:rPr>
            </w:pPr>
          </w:p>
        </w:tc>
        <w:tc>
          <w:tcPr>
            <w:tcW w:w="1019" w:type="dxa"/>
          </w:tcPr>
          <w:p w14:paraId="7EB49E66" w14:textId="77777777" w:rsidR="001705EC" w:rsidRPr="00255F0B" w:rsidRDefault="001705EC" w:rsidP="00D02999">
            <w:pPr>
              <w:jc w:val="both"/>
              <w:rPr>
                <w:rFonts w:asciiTheme="minorHAnsi" w:hAnsiTheme="minorHAnsi" w:cstheme="minorHAnsi"/>
                <w:sz w:val="24"/>
                <w:szCs w:val="24"/>
              </w:rPr>
            </w:pPr>
          </w:p>
        </w:tc>
        <w:tc>
          <w:tcPr>
            <w:tcW w:w="2250" w:type="dxa"/>
          </w:tcPr>
          <w:p w14:paraId="722DAB0F" w14:textId="77777777" w:rsidR="001705EC" w:rsidRPr="00255F0B" w:rsidRDefault="001705EC" w:rsidP="00D02999">
            <w:pPr>
              <w:jc w:val="both"/>
              <w:rPr>
                <w:rFonts w:asciiTheme="minorHAnsi" w:hAnsiTheme="minorHAnsi" w:cstheme="minorHAnsi"/>
                <w:sz w:val="24"/>
                <w:szCs w:val="24"/>
              </w:rPr>
            </w:pPr>
          </w:p>
        </w:tc>
      </w:tr>
      <w:tr w:rsidR="001705EC" w:rsidRPr="00255F0B" w14:paraId="7875EE64" w14:textId="77777777" w:rsidTr="00D02A7F">
        <w:tc>
          <w:tcPr>
            <w:tcW w:w="1908" w:type="dxa"/>
            <w:shd w:val="clear" w:color="auto" w:fill="D9D9D9" w:themeFill="background1" w:themeFillShade="D9"/>
          </w:tcPr>
          <w:p w14:paraId="22F097C4" w14:textId="77777777" w:rsidR="001705EC" w:rsidRPr="00255F0B" w:rsidRDefault="001705EC" w:rsidP="00D02999">
            <w:pPr>
              <w:jc w:val="both"/>
              <w:rPr>
                <w:rFonts w:asciiTheme="minorHAnsi" w:hAnsiTheme="minorHAnsi" w:cstheme="minorHAnsi"/>
                <w:sz w:val="24"/>
                <w:szCs w:val="24"/>
              </w:rPr>
            </w:pPr>
            <w:r w:rsidRPr="00255F0B">
              <w:rPr>
                <w:rFonts w:asciiTheme="minorHAnsi" w:hAnsiTheme="minorHAnsi" w:cstheme="minorHAnsi"/>
                <w:sz w:val="24"/>
                <w:szCs w:val="24"/>
              </w:rPr>
              <w:t>Número de referencia del documento</w:t>
            </w:r>
          </w:p>
        </w:tc>
        <w:tc>
          <w:tcPr>
            <w:tcW w:w="3380" w:type="dxa"/>
            <w:gridSpan w:val="2"/>
          </w:tcPr>
          <w:p w14:paraId="1D2ACC4D" w14:textId="77777777" w:rsidR="001705EC" w:rsidRDefault="005C43FE" w:rsidP="005C43FE">
            <w:pPr>
              <w:pStyle w:val="Prrafodelista"/>
              <w:numPr>
                <w:ilvl w:val="0"/>
                <w:numId w:val="68"/>
              </w:numPr>
              <w:jc w:val="both"/>
              <w:rPr>
                <w:rFonts w:asciiTheme="minorHAnsi" w:hAnsiTheme="minorHAnsi" w:cstheme="minorHAnsi"/>
                <w:sz w:val="24"/>
                <w:szCs w:val="24"/>
              </w:rPr>
            </w:pPr>
            <w:r>
              <w:rPr>
                <w:rFonts w:asciiTheme="minorHAnsi" w:hAnsiTheme="minorHAnsi" w:cstheme="minorHAnsi"/>
                <w:sz w:val="24"/>
                <w:szCs w:val="24"/>
              </w:rPr>
              <w:t>16</w:t>
            </w:r>
          </w:p>
          <w:p w14:paraId="02FAF64D" w14:textId="45883694" w:rsidR="005C43FE" w:rsidRPr="005C43FE" w:rsidRDefault="005C43FE" w:rsidP="005C43FE">
            <w:pPr>
              <w:pStyle w:val="Prrafodelista"/>
              <w:jc w:val="both"/>
              <w:rPr>
                <w:rFonts w:asciiTheme="minorHAnsi" w:hAnsiTheme="minorHAnsi" w:cstheme="minorHAnsi"/>
                <w:sz w:val="24"/>
                <w:szCs w:val="24"/>
              </w:rPr>
            </w:pPr>
          </w:p>
        </w:tc>
        <w:tc>
          <w:tcPr>
            <w:tcW w:w="2830" w:type="dxa"/>
            <w:gridSpan w:val="2"/>
            <w:shd w:val="clear" w:color="auto" w:fill="D9D9D9" w:themeFill="background1" w:themeFillShade="D9"/>
          </w:tcPr>
          <w:p w14:paraId="70C78F02" w14:textId="77777777" w:rsidR="001705EC" w:rsidRPr="00255F0B" w:rsidRDefault="001705EC" w:rsidP="00D02999">
            <w:pPr>
              <w:jc w:val="both"/>
              <w:rPr>
                <w:rFonts w:asciiTheme="minorHAnsi" w:hAnsiTheme="minorHAnsi" w:cstheme="minorHAnsi"/>
                <w:sz w:val="24"/>
                <w:szCs w:val="24"/>
              </w:rPr>
            </w:pPr>
            <w:r w:rsidRPr="00255F0B">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255F0B" w:rsidRDefault="001705EC" w:rsidP="00D02999">
                <w:pPr>
                  <w:jc w:val="both"/>
                  <w:rPr>
                    <w:rFonts w:asciiTheme="minorHAnsi" w:hAnsiTheme="minorHAnsi" w:cstheme="minorHAnsi"/>
                    <w:sz w:val="24"/>
                    <w:szCs w:val="24"/>
                  </w:rPr>
                </w:pPr>
                <w:r w:rsidRPr="00255F0B">
                  <w:rPr>
                    <w:rFonts w:asciiTheme="minorHAnsi" w:hAnsiTheme="minorHAnsi" w:cstheme="minorHAnsi"/>
                    <w:sz w:val="24"/>
                    <w:szCs w:val="24"/>
                  </w:rPr>
                  <w:t>Confidencial</w:t>
                </w:r>
              </w:p>
            </w:tc>
          </w:sdtContent>
        </w:sdt>
      </w:tr>
    </w:tbl>
    <w:p w14:paraId="5F47735A" w14:textId="77777777" w:rsidR="001705EC" w:rsidRPr="00255F0B" w:rsidRDefault="001705EC" w:rsidP="00D02999">
      <w:pPr>
        <w:jc w:val="both"/>
        <w:rPr>
          <w:rFonts w:asciiTheme="minorHAnsi" w:hAnsiTheme="minorHAnsi" w:cstheme="minorHAnsi"/>
          <w:sz w:val="24"/>
          <w:szCs w:val="24"/>
        </w:rPr>
      </w:pPr>
    </w:p>
    <w:p w14:paraId="5EE8924C" w14:textId="77777777" w:rsidR="00452E7F" w:rsidRPr="00255F0B" w:rsidRDefault="001705EC" w:rsidP="00452E7F">
      <w:pPr>
        <w:pStyle w:val="NormalWeb"/>
        <w:rPr>
          <w:rFonts w:asciiTheme="minorHAnsi" w:hAnsiTheme="minorHAnsi" w:cstheme="minorHAnsi"/>
          <w:lang w:val="es-CL"/>
        </w:rPr>
      </w:pPr>
      <w:r w:rsidRPr="00255F0B">
        <w:rPr>
          <w:rFonts w:asciiTheme="minorHAnsi" w:hAnsiTheme="minorHAnsi" w:cstheme="minorHAnsi"/>
          <w:lang w:val="es-CL"/>
        </w:rPr>
        <w:br w:type="page"/>
      </w:r>
    </w:p>
    <w:p w14:paraId="36D574A6" w14:textId="77777777" w:rsidR="003F0442" w:rsidRDefault="003F0442" w:rsidP="002538DC">
      <w:pPr>
        <w:spacing w:before="100" w:beforeAutospacing="1" w:after="100" w:afterAutospacing="1" w:line="240" w:lineRule="auto"/>
        <w:rPr>
          <w:rFonts w:ascii="Times New Roman" w:hAnsi="Times New Roman"/>
          <w:b/>
          <w:bCs/>
          <w:sz w:val="24"/>
          <w:szCs w:val="24"/>
          <w:lang w:eastAsia="es-CL"/>
        </w:rPr>
      </w:pPr>
    </w:p>
    <w:p w14:paraId="6B3F64CF" w14:textId="055C0917" w:rsidR="002538DC" w:rsidRPr="002538DC" w:rsidRDefault="002538DC" w:rsidP="002538DC">
      <w:p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PROCEDIMIENTO DE GESTIÓN DE INCIDENTES</w:t>
      </w:r>
      <w:r w:rsidRPr="002538DC">
        <w:rPr>
          <w:rFonts w:ascii="Times New Roman" w:hAnsi="Times New Roman"/>
          <w:sz w:val="24"/>
          <w:szCs w:val="24"/>
          <w:lang w:eastAsia="es-CL"/>
        </w:rPr>
        <w:br/>
      </w:r>
      <w:r w:rsidRPr="002538DC">
        <w:rPr>
          <w:rFonts w:ascii="Times New Roman" w:hAnsi="Times New Roman"/>
          <w:b/>
          <w:bCs/>
          <w:sz w:val="24"/>
          <w:szCs w:val="24"/>
          <w:lang w:eastAsia="es-CL"/>
        </w:rPr>
        <w:t>Empresa:</w:t>
      </w:r>
      <w:r w:rsidRPr="002538DC">
        <w:rPr>
          <w:rFonts w:ascii="Times New Roman" w:hAnsi="Times New Roman"/>
          <w:sz w:val="24"/>
          <w:szCs w:val="24"/>
          <w:lang w:eastAsia="es-CL"/>
        </w:rPr>
        <w:t xml:space="preserve"> Anaconda Web</w:t>
      </w:r>
      <w:r w:rsidRPr="002538DC">
        <w:rPr>
          <w:rFonts w:ascii="Times New Roman" w:hAnsi="Times New Roman"/>
          <w:sz w:val="24"/>
          <w:szCs w:val="24"/>
          <w:lang w:eastAsia="es-CL"/>
        </w:rPr>
        <w:br/>
      </w:r>
      <w:r w:rsidRPr="002538DC">
        <w:rPr>
          <w:rFonts w:ascii="Times New Roman" w:hAnsi="Times New Roman"/>
          <w:b/>
          <w:bCs/>
          <w:sz w:val="24"/>
          <w:szCs w:val="24"/>
          <w:lang w:eastAsia="es-CL"/>
        </w:rPr>
        <w:t>Versión:</w:t>
      </w:r>
      <w:r w:rsidRPr="002538DC">
        <w:rPr>
          <w:rFonts w:ascii="Times New Roman" w:hAnsi="Times New Roman"/>
          <w:sz w:val="24"/>
          <w:szCs w:val="24"/>
          <w:lang w:eastAsia="es-CL"/>
        </w:rPr>
        <w:t xml:space="preserve"> </w:t>
      </w:r>
      <w:r w:rsidR="00DB209F">
        <w:rPr>
          <w:rFonts w:ascii="Times New Roman" w:hAnsi="Times New Roman"/>
          <w:sz w:val="24"/>
          <w:szCs w:val="24"/>
          <w:lang w:eastAsia="es-CL"/>
        </w:rPr>
        <w:t>A.16</w:t>
      </w:r>
      <w:r w:rsidRPr="002538DC">
        <w:rPr>
          <w:rFonts w:ascii="Times New Roman" w:hAnsi="Times New Roman"/>
          <w:sz w:val="24"/>
          <w:szCs w:val="24"/>
          <w:lang w:eastAsia="es-CL"/>
        </w:rPr>
        <w:br/>
      </w:r>
      <w:r w:rsidRPr="002538DC">
        <w:rPr>
          <w:rFonts w:ascii="Times New Roman" w:hAnsi="Times New Roman"/>
          <w:b/>
          <w:bCs/>
          <w:sz w:val="24"/>
          <w:szCs w:val="24"/>
          <w:lang w:eastAsia="es-CL"/>
        </w:rPr>
        <w:t>Autor:</w:t>
      </w:r>
      <w:r w:rsidRPr="002538DC">
        <w:rPr>
          <w:rFonts w:ascii="Times New Roman" w:hAnsi="Times New Roman"/>
          <w:sz w:val="24"/>
          <w:szCs w:val="24"/>
          <w:lang w:eastAsia="es-CL"/>
        </w:rPr>
        <w:t xml:space="preserve"> Responsable de Seguridad de la Información</w:t>
      </w:r>
      <w:r w:rsidRPr="002538DC">
        <w:rPr>
          <w:rFonts w:ascii="Times New Roman" w:hAnsi="Times New Roman"/>
          <w:sz w:val="24"/>
          <w:szCs w:val="24"/>
          <w:lang w:eastAsia="es-CL"/>
        </w:rPr>
        <w:br/>
      </w:r>
      <w:r w:rsidRPr="002538DC">
        <w:rPr>
          <w:rFonts w:ascii="Times New Roman" w:hAnsi="Times New Roman"/>
          <w:b/>
          <w:bCs/>
          <w:sz w:val="24"/>
          <w:szCs w:val="24"/>
          <w:lang w:eastAsia="es-CL"/>
        </w:rPr>
        <w:t>Revisores:</w:t>
      </w:r>
      <w:r w:rsidRPr="002538DC">
        <w:rPr>
          <w:rFonts w:ascii="Times New Roman" w:hAnsi="Times New Roman"/>
          <w:sz w:val="24"/>
          <w:szCs w:val="24"/>
          <w:lang w:eastAsia="es-CL"/>
        </w:rPr>
        <w:t> Mauricio Antonio Colomera Villarroel</w:t>
      </w:r>
      <w:r>
        <w:rPr>
          <w:rFonts w:ascii="Times New Roman" w:hAnsi="Times New Roman"/>
          <w:sz w:val="24"/>
          <w:szCs w:val="24"/>
          <w:lang w:eastAsia="es-CL"/>
        </w:rPr>
        <w:t xml:space="preserve"> - </w:t>
      </w:r>
      <w:r w:rsidRPr="002538DC">
        <w:rPr>
          <w:rFonts w:ascii="Times New Roman" w:hAnsi="Times New Roman"/>
          <w:sz w:val="24"/>
          <w:szCs w:val="24"/>
          <w:lang w:eastAsia="es-CL"/>
        </w:rPr>
        <w:t>Gerente de SGSI</w:t>
      </w:r>
      <w:r w:rsidRPr="002538DC">
        <w:rPr>
          <w:rFonts w:ascii="Times New Roman" w:hAnsi="Times New Roman"/>
          <w:sz w:val="24"/>
          <w:szCs w:val="24"/>
          <w:lang w:eastAsia="es-CL"/>
        </w:rPr>
        <w:br/>
      </w:r>
      <w:r w:rsidRPr="002538DC">
        <w:rPr>
          <w:rFonts w:ascii="Times New Roman" w:hAnsi="Times New Roman"/>
          <w:b/>
          <w:bCs/>
          <w:sz w:val="24"/>
          <w:szCs w:val="24"/>
          <w:lang w:eastAsia="es-CL"/>
        </w:rPr>
        <w:t>Fecha:</w:t>
      </w:r>
      <w:r w:rsidRPr="002538DC">
        <w:rPr>
          <w:rFonts w:ascii="Times New Roman" w:hAnsi="Times New Roman"/>
          <w:sz w:val="24"/>
          <w:szCs w:val="24"/>
          <w:lang w:eastAsia="es-CL"/>
        </w:rPr>
        <w:t xml:space="preserve"> 14/02/2025</w:t>
      </w:r>
      <w:r w:rsidRPr="002538DC">
        <w:rPr>
          <w:rFonts w:ascii="Times New Roman" w:hAnsi="Times New Roman"/>
          <w:sz w:val="24"/>
          <w:szCs w:val="24"/>
          <w:lang w:eastAsia="es-CL"/>
        </w:rPr>
        <w:br/>
      </w:r>
      <w:r w:rsidRPr="002538DC">
        <w:rPr>
          <w:rFonts w:ascii="Times New Roman" w:hAnsi="Times New Roman"/>
          <w:b/>
          <w:bCs/>
          <w:sz w:val="24"/>
          <w:szCs w:val="24"/>
          <w:lang w:eastAsia="es-CL"/>
        </w:rPr>
        <w:t>Nivel de Clasificación:</w:t>
      </w:r>
      <w:r w:rsidRPr="002538DC">
        <w:rPr>
          <w:rFonts w:ascii="Times New Roman" w:hAnsi="Times New Roman"/>
          <w:sz w:val="24"/>
          <w:szCs w:val="24"/>
          <w:lang w:eastAsia="es-CL"/>
        </w:rPr>
        <w:t xml:space="preserve"> Confidencial</w:t>
      </w:r>
    </w:p>
    <w:p w14:paraId="7A0B39B4" w14:textId="09E0FB0A" w:rsidR="002538DC" w:rsidRPr="002538DC" w:rsidRDefault="002538DC" w:rsidP="002538DC">
      <w:pPr>
        <w:spacing w:after="0" w:line="240" w:lineRule="auto"/>
        <w:rPr>
          <w:rFonts w:ascii="Times New Roman" w:hAnsi="Times New Roman"/>
          <w:sz w:val="24"/>
          <w:szCs w:val="24"/>
          <w:lang w:eastAsia="es-CL"/>
        </w:rPr>
      </w:pPr>
    </w:p>
    <w:p w14:paraId="1BB1ACCC" w14:textId="77777777" w:rsidR="002538DC" w:rsidRPr="002538DC" w:rsidRDefault="002538DC" w:rsidP="002538DC">
      <w:pPr>
        <w:spacing w:before="100" w:beforeAutospacing="1" w:after="100" w:afterAutospacing="1" w:line="240" w:lineRule="auto"/>
        <w:outlineLvl w:val="2"/>
        <w:rPr>
          <w:rFonts w:ascii="Times New Roman" w:hAnsi="Times New Roman"/>
          <w:b/>
          <w:bCs/>
          <w:sz w:val="27"/>
          <w:szCs w:val="27"/>
          <w:lang w:eastAsia="es-CL"/>
        </w:rPr>
      </w:pPr>
      <w:r w:rsidRPr="002538DC">
        <w:rPr>
          <w:rFonts w:ascii="Times New Roman" w:hAnsi="Times New Roman"/>
          <w:b/>
          <w:bCs/>
          <w:sz w:val="27"/>
          <w:szCs w:val="27"/>
          <w:lang w:eastAsia="es-CL"/>
        </w:rPr>
        <w:t>ÍNDICE</w:t>
      </w:r>
    </w:p>
    <w:p w14:paraId="0A3ED213"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Objetivo</w:t>
      </w:r>
    </w:p>
    <w:p w14:paraId="270DCCB7"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Alcance</w:t>
      </w:r>
    </w:p>
    <w:p w14:paraId="57734998"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Definiciones</w:t>
      </w:r>
    </w:p>
    <w:p w14:paraId="7CDB2023"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Roles y Responsabilidades</w:t>
      </w:r>
    </w:p>
    <w:p w14:paraId="7D6CC956"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Procedimiento de Gestión de Incidentes</w:t>
      </w:r>
      <w:r w:rsidRPr="002538DC">
        <w:rPr>
          <w:rFonts w:ascii="Times New Roman" w:hAnsi="Times New Roman"/>
          <w:sz w:val="24"/>
          <w:szCs w:val="24"/>
          <w:lang w:eastAsia="es-CL"/>
        </w:rPr>
        <w:br/>
        <w:t>5.1. Identificación</w:t>
      </w:r>
      <w:r w:rsidRPr="002538DC">
        <w:rPr>
          <w:rFonts w:ascii="Times New Roman" w:hAnsi="Times New Roman"/>
          <w:sz w:val="24"/>
          <w:szCs w:val="24"/>
          <w:lang w:eastAsia="es-CL"/>
        </w:rPr>
        <w:br/>
        <w:t>5.2. Registro</w:t>
      </w:r>
      <w:r w:rsidRPr="002538DC">
        <w:rPr>
          <w:rFonts w:ascii="Times New Roman" w:hAnsi="Times New Roman"/>
          <w:sz w:val="24"/>
          <w:szCs w:val="24"/>
          <w:lang w:eastAsia="es-CL"/>
        </w:rPr>
        <w:br/>
        <w:t>5.3. Clasificación</w:t>
      </w:r>
      <w:r w:rsidRPr="002538DC">
        <w:rPr>
          <w:rFonts w:ascii="Times New Roman" w:hAnsi="Times New Roman"/>
          <w:sz w:val="24"/>
          <w:szCs w:val="24"/>
          <w:lang w:eastAsia="es-CL"/>
        </w:rPr>
        <w:br/>
        <w:t>5.4. Análisis e Investigación</w:t>
      </w:r>
      <w:r w:rsidRPr="002538DC">
        <w:rPr>
          <w:rFonts w:ascii="Times New Roman" w:hAnsi="Times New Roman"/>
          <w:sz w:val="24"/>
          <w:szCs w:val="24"/>
          <w:lang w:eastAsia="es-CL"/>
        </w:rPr>
        <w:br/>
        <w:t>5.5. Contención y Erradicación</w:t>
      </w:r>
      <w:r w:rsidRPr="002538DC">
        <w:rPr>
          <w:rFonts w:ascii="Times New Roman" w:hAnsi="Times New Roman"/>
          <w:sz w:val="24"/>
          <w:szCs w:val="24"/>
          <w:lang w:eastAsia="es-CL"/>
        </w:rPr>
        <w:br/>
        <w:t>5.6. Recuperación</w:t>
      </w:r>
      <w:r w:rsidRPr="002538DC">
        <w:rPr>
          <w:rFonts w:ascii="Times New Roman" w:hAnsi="Times New Roman"/>
          <w:sz w:val="24"/>
          <w:szCs w:val="24"/>
          <w:lang w:eastAsia="es-CL"/>
        </w:rPr>
        <w:br/>
        <w:t>5.7. Cierre y Lecciones Aprendidas</w:t>
      </w:r>
    </w:p>
    <w:p w14:paraId="5174D45D"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Registros</w:t>
      </w:r>
    </w:p>
    <w:p w14:paraId="0A03D1D3"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Referencias</w:t>
      </w:r>
    </w:p>
    <w:p w14:paraId="4F953D8E" w14:textId="77777777" w:rsidR="002538DC" w:rsidRPr="002538DC" w:rsidRDefault="002538DC" w:rsidP="002538DC">
      <w:pPr>
        <w:numPr>
          <w:ilvl w:val="0"/>
          <w:numId w:val="60"/>
        </w:numPr>
        <w:spacing w:before="100" w:beforeAutospacing="1" w:after="100" w:afterAutospacing="1" w:line="240" w:lineRule="auto"/>
        <w:rPr>
          <w:rFonts w:ascii="Times New Roman" w:hAnsi="Times New Roman"/>
          <w:sz w:val="24"/>
          <w:szCs w:val="24"/>
          <w:lang w:eastAsia="es-CL"/>
        </w:rPr>
      </w:pPr>
      <w:r w:rsidRPr="002538DC">
        <w:rPr>
          <w:rFonts w:ascii="Times New Roman" w:hAnsi="Times New Roman"/>
          <w:b/>
          <w:bCs/>
          <w:sz w:val="24"/>
          <w:szCs w:val="24"/>
          <w:lang w:eastAsia="es-CL"/>
        </w:rPr>
        <w:t>Control de Cambios</w:t>
      </w:r>
    </w:p>
    <w:p w14:paraId="2B674961" w14:textId="170B5812" w:rsidR="002538DC" w:rsidRPr="002538DC" w:rsidRDefault="002538DC" w:rsidP="002538DC">
      <w:pPr>
        <w:spacing w:after="0" w:line="240" w:lineRule="auto"/>
        <w:rPr>
          <w:rFonts w:ascii="Times New Roman" w:hAnsi="Times New Roman"/>
          <w:sz w:val="24"/>
          <w:szCs w:val="24"/>
          <w:lang w:eastAsia="es-CL"/>
        </w:rPr>
      </w:pPr>
    </w:p>
    <w:p w14:paraId="625B3E88"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421CE877"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5C76B035"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13E8767A"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593A39D1"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19835AF7"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06FE4F9E"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0B7397C2" w14:textId="77777777" w:rsidR="00DB209F" w:rsidRDefault="00DB209F" w:rsidP="00DB209F">
      <w:pPr>
        <w:spacing w:before="100" w:beforeAutospacing="1" w:after="100" w:afterAutospacing="1" w:line="240" w:lineRule="auto"/>
        <w:ind w:left="360"/>
        <w:jc w:val="both"/>
        <w:outlineLvl w:val="2"/>
        <w:rPr>
          <w:rFonts w:ascii="Times New Roman" w:hAnsi="Times New Roman"/>
          <w:b/>
          <w:bCs/>
          <w:sz w:val="27"/>
          <w:szCs w:val="27"/>
          <w:lang w:eastAsia="es-CL"/>
        </w:rPr>
      </w:pPr>
    </w:p>
    <w:p w14:paraId="3476CB15" w14:textId="65410BEE" w:rsidR="002538DC" w:rsidRPr="002538DC"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2538DC">
        <w:rPr>
          <w:rFonts w:ascii="Times New Roman" w:hAnsi="Times New Roman"/>
          <w:b/>
          <w:bCs/>
          <w:sz w:val="27"/>
          <w:szCs w:val="27"/>
          <w:lang w:eastAsia="es-CL"/>
        </w:rPr>
        <w:lastRenderedPageBreak/>
        <w:t>1. OBJETIVO</w:t>
      </w:r>
    </w:p>
    <w:p w14:paraId="4C59AAFC"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Este procedimiento establece un enfoque integral y sistemático para gestionar incidentes de seguridad en Anaconda Web, proporcionando lineamientos claros para su identificación, análisis, respuesta y resolución. Su propósito es minimizar el impacto operativo y proteger la confidencialidad, integridad y disponibilidad de la información, alineándose con la norma ISO 27001:2022.</w:t>
      </w:r>
    </w:p>
    <w:p w14:paraId="270174E4"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b/>
          <w:bCs/>
          <w:sz w:val="24"/>
          <w:szCs w:val="24"/>
          <w:lang w:eastAsia="es-CL"/>
        </w:rPr>
        <w:t>Indicadores Clave de Desempeño (</w:t>
      </w:r>
      <w:proofErr w:type="spellStart"/>
      <w:r w:rsidRPr="00DB209F">
        <w:rPr>
          <w:rFonts w:ascii="Times New Roman" w:hAnsi="Times New Roman"/>
          <w:b/>
          <w:bCs/>
          <w:sz w:val="24"/>
          <w:szCs w:val="24"/>
          <w:lang w:eastAsia="es-CL"/>
        </w:rPr>
        <w:t>KPIs</w:t>
      </w:r>
      <w:proofErr w:type="spellEnd"/>
      <w:r w:rsidRPr="00DB209F">
        <w:rPr>
          <w:rFonts w:ascii="Times New Roman" w:hAnsi="Times New Roman"/>
          <w:b/>
          <w:bCs/>
          <w:sz w:val="24"/>
          <w:szCs w:val="24"/>
          <w:lang w:eastAsia="es-CL"/>
        </w:rPr>
        <w:t>):</w:t>
      </w:r>
    </w:p>
    <w:p w14:paraId="7DEE2584"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Tiempo Promedio de Respuesta (MTTR):</w:t>
      </w:r>
      <w:r w:rsidRPr="002538DC">
        <w:rPr>
          <w:rFonts w:ascii="Times New Roman" w:hAnsi="Times New Roman"/>
          <w:sz w:val="24"/>
          <w:szCs w:val="24"/>
          <w:lang w:eastAsia="es-CL"/>
        </w:rPr>
        <w:t xml:space="preserve"> Tiempo desde la detección hasta la resolución del incidente. Su análisis permite medir la eficiencia del equipo de respuesta y detectar áreas de mejora.</w:t>
      </w:r>
    </w:p>
    <w:p w14:paraId="34223F3A"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Tiempo Promedio de Detección (MTTD):</w:t>
      </w:r>
      <w:r w:rsidRPr="002538DC">
        <w:rPr>
          <w:rFonts w:ascii="Times New Roman" w:hAnsi="Times New Roman"/>
          <w:sz w:val="24"/>
          <w:szCs w:val="24"/>
          <w:lang w:eastAsia="es-CL"/>
        </w:rPr>
        <w:t xml:space="preserve"> Tiempo transcurrido desde la ocurrencia del incidente hasta su identificación. Evalúa la efectividad de los sistemas de monitoreo y detección temprana.</w:t>
      </w:r>
    </w:p>
    <w:p w14:paraId="20E05ABB"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Número de Incidentes Cerrados dentro del Plazo Definido:</w:t>
      </w:r>
      <w:r w:rsidRPr="002538DC">
        <w:rPr>
          <w:rFonts w:ascii="Times New Roman" w:hAnsi="Times New Roman"/>
          <w:sz w:val="24"/>
          <w:szCs w:val="24"/>
          <w:lang w:eastAsia="es-CL"/>
        </w:rPr>
        <w:t xml:space="preserve"> Refleja la capacidad de cumplir con los acuerdos de nivel de servicio (SLA) y la eficiencia en la gestión de recursos.</w:t>
      </w:r>
    </w:p>
    <w:p w14:paraId="5A05766C"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Porcentaje de Incidentes Resueltos en la Primera Intervención:</w:t>
      </w:r>
      <w:r w:rsidRPr="002538DC">
        <w:rPr>
          <w:rFonts w:ascii="Times New Roman" w:hAnsi="Times New Roman"/>
          <w:sz w:val="24"/>
          <w:szCs w:val="24"/>
          <w:lang w:eastAsia="es-CL"/>
        </w:rPr>
        <w:t xml:space="preserve"> Mide la habilidad del equipo de soporte para resolver incidentes sin necesidad de escalamiento, reduciendo el tiempo total de impacto y aumentando la satisfacción del usuario.</w:t>
      </w:r>
    </w:p>
    <w:p w14:paraId="1E9CF9CF"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Plan de Continuidad del Negocio:</w:t>
      </w:r>
      <w:r w:rsidRPr="002538DC">
        <w:rPr>
          <w:rFonts w:ascii="Times New Roman" w:hAnsi="Times New Roman"/>
          <w:sz w:val="24"/>
          <w:szCs w:val="24"/>
          <w:lang w:eastAsia="es-CL"/>
        </w:rPr>
        <w:t xml:space="preserve"> Documento que establece procedimientos para garantizar la continuidad operativa frente a incidentes críticos.</w:t>
      </w:r>
    </w:p>
    <w:p w14:paraId="0728353F"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Manual de Respuesta ante Incidentes:</w:t>
      </w:r>
      <w:r w:rsidRPr="002538DC">
        <w:rPr>
          <w:rFonts w:ascii="Times New Roman" w:hAnsi="Times New Roman"/>
          <w:sz w:val="24"/>
          <w:szCs w:val="24"/>
          <w:lang w:eastAsia="es-CL"/>
        </w:rPr>
        <w:t xml:space="preserve"> Protocolo detallado para la gestión de incidentes, alineado con la ISO 27001.</w:t>
      </w:r>
    </w:p>
    <w:p w14:paraId="2C8F6A76"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Política de Gestión de Riesgos:</w:t>
      </w:r>
      <w:r w:rsidRPr="002538DC">
        <w:rPr>
          <w:rFonts w:ascii="Times New Roman" w:hAnsi="Times New Roman"/>
          <w:sz w:val="24"/>
          <w:szCs w:val="24"/>
          <w:lang w:eastAsia="es-CL"/>
        </w:rPr>
        <w:t xml:space="preserve"> Documento que define la evaluación y tratamiento de riesgos asociados a la seguridad de la información.</w:t>
      </w:r>
    </w:p>
    <w:p w14:paraId="14F3E9AA"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Protocolo de Comunicación de Crisis:</w:t>
      </w:r>
      <w:r w:rsidRPr="002538DC">
        <w:rPr>
          <w:rFonts w:ascii="Times New Roman" w:hAnsi="Times New Roman"/>
          <w:sz w:val="24"/>
          <w:szCs w:val="24"/>
          <w:lang w:eastAsia="es-CL"/>
        </w:rPr>
        <w:t xml:space="preserve"> Procedimiento para la notificación interna y externa durante incidentes críticos.</w:t>
      </w:r>
    </w:p>
    <w:p w14:paraId="6C57EC75"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Además, se vincula este objetivo con las políticas asociadas de Anaconda Web, como el Plan de Continuidad del Negocio y el Manual de Respuesta ante Incidentes, asegurando la alineación con la estrategia corporativa y la normativa ISO 27001.</w:t>
      </w:r>
    </w:p>
    <w:p w14:paraId="04172C35"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Este procedimiento establece un enfoque integral y sistemático para gestionar incidentes de seguridad en Anaconda Web, proporcionando lineamientos claros para su identificación, análisis, respuesta y resolución. Su propósito es minimizar el impacto operativo y proteger la confidencialidad, integridad y disponibilidad de la información, alineándose con la norma ISO 27001:2022.</w:t>
      </w:r>
    </w:p>
    <w:p w14:paraId="0807AFB8"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lastRenderedPageBreak/>
        <w:t>Además de prevenir la recurrencia mediante acciones correctivas, este procedimiento fomenta la rápida identificación y notificación de incidentes, garantizando una respuesta oportuna. La documentación de cada incidente se realiza de manera detallada, permitiendo un seguimiento transparente y facilitando la mejora continua del sistema de gestión de seguridad.</w:t>
      </w:r>
    </w:p>
    <w:p w14:paraId="29ECDDBE"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También promueve el aprendizaje organizacional mediante revisiones post-incidente y análisis de causas raíz, identificando áreas de oportunidad y fortaleciendo controles preventivos. Esta práctica contribuye a reducir riesgos futuros y a consolidar una cultura de seguridad.</w:t>
      </w:r>
    </w:p>
    <w:p w14:paraId="7F0388D4"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En última instancia, este documento respalda el compromiso de Anaconda Web con la seguridad de la información, estableciendo un proceso que involucra a toda la organización, desde los usuarios hasta los responsables de seguridad, y alineando los esfuerzos con las mejores prácticas internacionales.</w:t>
      </w:r>
    </w:p>
    <w:p w14:paraId="45A51FCE" w14:textId="77777777" w:rsidR="002538DC"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2538DC">
        <w:rPr>
          <w:rFonts w:ascii="Times New Roman" w:hAnsi="Times New Roman"/>
          <w:b/>
          <w:bCs/>
          <w:sz w:val="27"/>
          <w:szCs w:val="27"/>
          <w:lang w:eastAsia="es-CL"/>
        </w:rPr>
        <w:t>2. ALCANCE</w:t>
      </w:r>
    </w:p>
    <w:p w14:paraId="7F56E36B" w14:textId="77777777" w:rsidR="00DB209F" w:rsidRPr="00DB209F" w:rsidRDefault="00DB209F" w:rsidP="00DB209F">
      <w:pPr>
        <w:spacing w:before="100" w:beforeAutospacing="1" w:after="100" w:afterAutospacing="1" w:line="240" w:lineRule="auto"/>
        <w:ind w:left="360"/>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Este procedimiento abarca todas las áreas, activos y recursos de Anaconda Web, incluyendo tanto componentes físicos como digitales y humanos.</w:t>
      </w:r>
    </w:p>
    <w:p w14:paraId="435F7608" w14:textId="77777777" w:rsidR="00DB209F" w:rsidRPr="00DB209F" w:rsidRDefault="00DB209F" w:rsidP="00DB209F">
      <w:pPr>
        <w:spacing w:before="100" w:beforeAutospacing="1" w:after="100" w:afterAutospacing="1" w:line="240" w:lineRule="auto"/>
        <w:ind w:left="360"/>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3. Alcance del SGSI 3.1 Límite del SGSI: El SGSI cubre todas las actividades, activos, instalaciones y empleados dentro del centro de datos ubicado en Av. Bernardo O'Higgins 485, Temuco. Incluye todas las operaciones relacionadas con el almacenamiento, procesamiento y transmisión de datos de clientes y sistemas críticos de la organización.</w:t>
      </w:r>
    </w:p>
    <w:p w14:paraId="403FFBFB" w14:textId="77777777" w:rsidR="00DB209F" w:rsidRPr="00DB209F" w:rsidRDefault="00DB209F" w:rsidP="00DB209F">
      <w:pPr>
        <w:spacing w:before="100" w:beforeAutospacing="1" w:after="100" w:afterAutospacing="1" w:line="240" w:lineRule="auto"/>
        <w:ind w:left="360"/>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3.2 Ubicaciones: El SGSI incluye las siguientes ubicaciones físicas:</w:t>
      </w:r>
    </w:p>
    <w:p w14:paraId="71B29550" w14:textId="77777777" w:rsidR="00DB209F" w:rsidRPr="00DB209F" w:rsidRDefault="00DB209F" w:rsidP="00DB209F">
      <w:pPr>
        <w:numPr>
          <w:ilvl w:val="0"/>
          <w:numId w:val="65"/>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Área de Servidores: Zona segura donde se encuentran los servidores de clientes y los equipos críticos.</w:t>
      </w:r>
    </w:p>
    <w:p w14:paraId="6B1702B0" w14:textId="77777777" w:rsidR="00DB209F" w:rsidRPr="00DB209F" w:rsidRDefault="00DB209F" w:rsidP="00DB209F">
      <w:pPr>
        <w:numPr>
          <w:ilvl w:val="0"/>
          <w:numId w:val="65"/>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Centro de Operaciones de Seguridad (SOC): Espacio donde el personal de seguridad monitoriza las operaciones del data center.</w:t>
      </w:r>
    </w:p>
    <w:p w14:paraId="6CCF180A" w14:textId="77777777" w:rsidR="00DB209F" w:rsidRPr="00DB209F" w:rsidRDefault="00DB209F" w:rsidP="00DB209F">
      <w:pPr>
        <w:numPr>
          <w:ilvl w:val="0"/>
          <w:numId w:val="65"/>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Área de Soporte Técnico: Donde se realizan tareas de mantenimiento y reparación.</w:t>
      </w:r>
    </w:p>
    <w:p w14:paraId="5FDA2C72" w14:textId="77777777" w:rsidR="00DB209F" w:rsidRPr="00DB209F" w:rsidRDefault="00DB209F" w:rsidP="00DB209F">
      <w:pPr>
        <w:numPr>
          <w:ilvl w:val="0"/>
          <w:numId w:val="65"/>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Oficinas Administrativas: Espacio donde se gestiona la documentación y la administración de los recursos humanos.</w:t>
      </w:r>
    </w:p>
    <w:p w14:paraId="4FE7F225" w14:textId="77777777" w:rsidR="00DB209F" w:rsidRPr="00DB209F" w:rsidRDefault="00DB209F" w:rsidP="00DB209F">
      <w:pPr>
        <w:spacing w:before="100" w:beforeAutospacing="1" w:after="100" w:afterAutospacing="1" w:line="240" w:lineRule="auto"/>
        <w:ind w:left="360"/>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3.3 Activos Incluidos: Los activos críticos cubiertos dentro del alcance incluyen:</w:t>
      </w:r>
    </w:p>
    <w:p w14:paraId="10416264" w14:textId="77777777" w:rsidR="00DB209F" w:rsidRPr="00DB209F" w:rsidRDefault="00DB209F" w:rsidP="00DB209F">
      <w:pPr>
        <w:numPr>
          <w:ilvl w:val="0"/>
          <w:numId w:val="66"/>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Infraestructura de servidores: Equipos físicos (servidores, racks, fuentes de poder redundantes) para procesamiento y almacenamiento de datos.</w:t>
      </w:r>
    </w:p>
    <w:p w14:paraId="37684DDA" w14:textId="77777777" w:rsidR="00DB209F" w:rsidRPr="00DB209F" w:rsidRDefault="00DB209F" w:rsidP="00DB209F">
      <w:pPr>
        <w:numPr>
          <w:ilvl w:val="0"/>
          <w:numId w:val="66"/>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 xml:space="preserve">Red de Comunicaciones: Incluye </w:t>
      </w:r>
      <w:proofErr w:type="spellStart"/>
      <w:r w:rsidRPr="00DB209F">
        <w:rPr>
          <w:rFonts w:asciiTheme="minorHAnsi" w:hAnsiTheme="minorHAnsi" w:cstheme="minorHAnsi"/>
          <w:sz w:val="24"/>
          <w:szCs w:val="24"/>
          <w:lang w:eastAsia="es-CL"/>
        </w:rPr>
        <w:t>routers</w:t>
      </w:r>
      <w:proofErr w:type="spellEnd"/>
      <w:r w:rsidRPr="00DB209F">
        <w:rPr>
          <w:rFonts w:asciiTheme="minorHAnsi" w:hAnsiTheme="minorHAnsi" w:cstheme="minorHAnsi"/>
          <w:sz w:val="24"/>
          <w:szCs w:val="24"/>
          <w:lang w:eastAsia="es-CL"/>
        </w:rPr>
        <w:t>, switches, firewalls y cables de red necesarios para la conectividad y protección de la red interna y externa.</w:t>
      </w:r>
    </w:p>
    <w:p w14:paraId="377F6E86" w14:textId="77777777" w:rsidR="00DB209F" w:rsidRPr="00DB209F" w:rsidRDefault="00DB209F" w:rsidP="00DB209F">
      <w:pPr>
        <w:numPr>
          <w:ilvl w:val="0"/>
          <w:numId w:val="66"/>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Software de Monitoreo y Control: Aplicaciones utilizadas para monitorear el estado de los servidores y la red.</w:t>
      </w:r>
    </w:p>
    <w:p w14:paraId="2EBFEBB7" w14:textId="77777777" w:rsidR="00DB209F" w:rsidRPr="00DB209F" w:rsidRDefault="00DB209F" w:rsidP="00DB209F">
      <w:pPr>
        <w:numPr>
          <w:ilvl w:val="0"/>
          <w:numId w:val="66"/>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Sistemas de Almacenamiento de Respaldo: Dispositivos y servicios en la nube utilizados para realizar copias de seguridad de la información.</w:t>
      </w:r>
    </w:p>
    <w:p w14:paraId="13C28793" w14:textId="77777777" w:rsidR="00DB209F" w:rsidRPr="00DB209F" w:rsidRDefault="00DB209F" w:rsidP="00DB209F">
      <w:pPr>
        <w:numPr>
          <w:ilvl w:val="0"/>
          <w:numId w:val="66"/>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lastRenderedPageBreak/>
        <w:t>Sistemas de Control de Acceso Físico: Cámaras de seguridad, puertas de acceso restringido y sistemas biométricos para proteger las áreas críticas.</w:t>
      </w:r>
    </w:p>
    <w:p w14:paraId="28D7DFCE" w14:textId="77777777" w:rsidR="00DB209F" w:rsidRPr="00DB209F" w:rsidRDefault="00DB209F" w:rsidP="00DB209F">
      <w:pPr>
        <w:numPr>
          <w:ilvl w:val="0"/>
          <w:numId w:val="66"/>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Documentación: Políticas, procedimientos y registros que soportan el SGSI y su implementación.</w:t>
      </w:r>
    </w:p>
    <w:p w14:paraId="7CB1ADA9" w14:textId="77777777" w:rsidR="00DB209F" w:rsidRPr="00DB209F" w:rsidRDefault="00DB209F" w:rsidP="00DB209F">
      <w:pPr>
        <w:spacing w:before="100" w:beforeAutospacing="1" w:after="100" w:afterAutospacing="1" w:line="240" w:lineRule="auto"/>
        <w:ind w:left="360"/>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3.4 Procesos Cubiertos: El SGSI incluye los siguientes procesos clave:</w:t>
      </w:r>
    </w:p>
    <w:p w14:paraId="476025B4" w14:textId="77777777" w:rsidR="00DB209F" w:rsidRPr="00DB209F" w:rsidRDefault="00DB209F" w:rsidP="00DB209F">
      <w:pPr>
        <w:numPr>
          <w:ilvl w:val="0"/>
          <w:numId w:val="67"/>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Control de Acceso: Proceso para gestionar los accesos físicos y lógicos de los empleados y contratistas.</w:t>
      </w:r>
    </w:p>
    <w:p w14:paraId="4E93473A" w14:textId="77777777" w:rsidR="00DB209F" w:rsidRPr="00DB209F" w:rsidRDefault="00DB209F" w:rsidP="00DB209F">
      <w:pPr>
        <w:numPr>
          <w:ilvl w:val="0"/>
          <w:numId w:val="67"/>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Gestión de Incidentes de Seguridad: Proceso para identificar, responder y documentar incidentes de seguridad.</w:t>
      </w:r>
    </w:p>
    <w:p w14:paraId="032057F0" w14:textId="77777777" w:rsidR="00DB209F" w:rsidRPr="00DB209F" w:rsidRDefault="00DB209F" w:rsidP="00DB209F">
      <w:pPr>
        <w:numPr>
          <w:ilvl w:val="0"/>
          <w:numId w:val="67"/>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Gestión de Continuidad y Recuperación ante Desastres: Preparación y respuesta ante interrupciones o emergencias.</w:t>
      </w:r>
    </w:p>
    <w:p w14:paraId="0ADA39D4" w14:textId="77777777" w:rsidR="00DB209F" w:rsidRPr="00DB209F" w:rsidRDefault="00DB209F" w:rsidP="00DB209F">
      <w:pPr>
        <w:numPr>
          <w:ilvl w:val="0"/>
          <w:numId w:val="67"/>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Evaluación y Tratamiento de Riesgos: Identificación, análisis y tratamiento de los riesgos de seguridad.</w:t>
      </w:r>
    </w:p>
    <w:p w14:paraId="70E930DD" w14:textId="77777777" w:rsidR="00DB209F" w:rsidRPr="00DB209F" w:rsidRDefault="00DB209F" w:rsidP="00DB209F">
      <w:pPr>
        <w:numPr>
          <w:ilvl w:val="0"/>
          <w:numId w:val="67"/>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Monitoreo y Auditoría Interna: Seguimiento y verificación del cumplimiento de los controles implementados.</w:t>
      </w:r>
    </w:p>
    <w:p w14:paraId="3D047D9F" w14:textId="77777777" w:rsidR="00DB209F" w:rsidRPr="00DB209F" w:rsidRDefault="00DB209F" w:rsidP="00DB209F">
      <w:pPr>
        <w:numPr>
          <w:ilvl w:val="0"/>
          <w:numId w:val="67"/>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Gestión de Cambios: Procedimiento de control de cambios en la infraestructura y sistemas.</w:t>
      </w:r>
    </w:p>
    <w:p w14:paraId="2C00697C" w14:textId="64EDE136" w:rsidR="00DB209F" w:rsidRPr="002538DC" w:rsidRDefault="00DB209F" w:rsidP="00DB209F">
      <w:pPr>
        <w:numPr>
          <w:ilvl w:val="0"/>
          <w:numId w:val="67"/>
        </w:numPr>
        <w:spacing w:before="100" w:beforeAutospacing="1" w:after="100" w:afterAutospacing="1" w:line="240" w:lineRule="auto"/>
        <w:jc w:val="both"/>
        <w:outlineLvl w:val="2"/>
        <w:rPr>
          <w:rFonts w:asciiTheme="minorHAnsi" w:hAnsiTheme="minorHAnsi" w:cstheme="minorHAnsi"/>
          <w:sz w:val="24"/>
          <w:szCs w:val="24"/>
          <w:lang w:eastAsia="es-CL"/>
        </w:rPr>
      </w:pPr>
      <w:r w:rsidRPr="00DB209F">
        <w:rPr>
          <w:rFonts w:asciiTheme="minorHAnsi" w:hAnsiTheme="minorHAnsi" w:cstheme="minorHAnsi"/>
          <w:sz w:val="24"/>
          <w:szCs w:val="24"/>
          <w:lang w:eastAsia="es-CL"/>
        </w:rPr>
        <w:t>Mantenimiento de Equipos y Sistemas: Asegura el correcto funcionamiento y disponibilidad de los equipos críticos.</w:t>
      </w:r>
    </w:p>
    <w:p w14:paraId="6AC2062A" w14:textId="77777777" w:rsidR="002538DC" w:rsidRPr="002538DC"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2538DC">
        <w:rPr>
          <w:rFonts w:ascii="Times New Roman" w:hAnsi="Times New Roman"/>
          <w:b/>
          <w:bCs/>
          <w:sz w:val="27"/>
          <w:szCs w:val="27"/>
          <w:lang w:eastAsia="es-CL"/>
        </w:rPr>
        <w:t>3. DEFINICIONES</w:t>
      </w:r>
    </w:p>
    <w:p w14:paraId="30735B6A"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Un incidente de seguridad se refiere a cualquier suceso que comprometa la seguridad de la información, afectando la confidencialidad, integridad o disponibilidad de los activos. Este concepto es fundamental para distinguir entre incidentes reales y eventos menores.</w:t>
      </w:r>
    </w:p>
    <w:p w14:paraId="5486C966"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Un evento es toda ocurrencia que podría indicar una amenaza potencial, siendo esencial su evaluación para determinar si constituye un incidente. La identificación temprana de eventos permite una respuesta más rápida y efectiva.</w:t>
      </w:r>
    </w:p>
    <w:p w14:paraId="51E92A5E"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El gestor de incidentes es la persona designada para coordinar la respuesta y documentar el proceso. Este rol es clave para garantizar una gestión organizada y eficiente, asegurando que todas las acciones sean registradas adecuadamente.</w:t>
      </w:r>
    </w:p>
    <w:p w14:paraId="790B2998"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El impacto se refiere a las consecuencias de un incidente en los activos de Anaconda Web. Evaluar su alcance es esencial para priorizar la respuesta y definir las acciones correctivas necesarias.</w:t>
      </w:r>
    </w:p>
    <w:p w14:paraId="3C479711" w14:textId="77777777" w:rsidR="002538DC" w:rsidRPr="002538DC"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2538DC">
        <w:rPr>
          <w:rFonts w:ascii="Times New Roman" w:hAnsi="Times New Roman"/>
          <w:b/>
          <w:bCs/>
          <w:sz w:val="27"/>
          <w:szCs w:val="27"/>
          <w:lang w:eastAsia="es-CL"/>
        </w:rPr>
        <w:t>4. ROLES Y RESPONSABILIDADES</w:t>
      </w:r>
    </w:p>
    <w:p w14:paraId="217B41EB"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El </w:t>
      </w:r>
      <w:proofErr w:type="gramStart"/>
      <w:r w:rsidRPr="00DB209F">
        <w:rPr>
          <w:rFonts w:ascii="Times New Roman" w:hAnsi="Times New Roman"/>
          <w:sz w:val="24"/>
          <w:szCs w:val="24"/>
          <w:lang w:eastAsia="es-CL"/>
        </w:rPr>
        <w:t>Responsable</w:t>
      </w:r>
      <w:proofErr w:type="gramEnd"/>
      <w:r w:rsidRPr="00DB209F">
        <w:rPr>
          <w:rFonts w:ascii="Times New Roman" w:hAnsi="Times New Roman"/>
          <w:sz w:val="24"/>
          <w:szCs w:val="24"/>
          <w:lang w:eastAsia="es-CL"/>
        </w:rPr>
        <w:t xml:space="preserve"> de Seguridad supervisa de forma integral el ciclo de gestión de incidentes, desde la detección hasta el cierre, garantizando que los procedimientos establecidos se cumplan de acuerdo con las mejores prácticas. Su labor incluye coordinar respuestas, validar revisiones post-incidente y proponer mejoras continuas al proceso.</w:t>
      </w:r>
    </w:p>
    <w:p w14:paraId="109C8694"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lastRenderedPageBreak/>
        <w:t>Fidel Gómez, como encargado del registro de eventos de inicio y apagado del sistema, proporciona un historial fundamental para el análisis forense y la investigación de incidentes. Su registro permite identificar patrones sospechosos y establecer líneas de tiempo precisas para comprender la secuencia de eventos.</w:t>
      </w:r>
    </w:p>
    <w:p w14:paraId="5FE383B3"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Los gestores de incidentes son responsables de liderar las investigaciones, aplicar medidas correctivas inmediatas y documentar todas las acciones tomadas. Además, coordinan con otras áreas internas y externas para garantizar una respuesta eficiente y alineada con las políticas de Anaconda Web.</w:t>
      </w:r>
    </w:p>
    <w:p w14:paraId="3640631D"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Los usuarios, como primera línea de defensa, tienen la responsabilidad de identificar y reportar cualquier incidente de forma inmediata, proporcionando información relevante y colaborando activamente en su análisis. Su participación es esencial para una respuesta ágil y para fortalecer la cultura de seguridad organizacional. </w:t>
      </w:r>
    </w:p>
    <w:p w14:paraId="5F271764" w14:textId="77777777" w:rsidR="002538DC" w:rsidRPr="002538DC"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2538DC">
        <w:rPr>
          <w:rFonts w:ascii="Times New Roman" w:hAnsi="Times New Roman"/>
          <w:b/>
          <w:bCs/>
          <w:sz w:val="27"/>
          <w:szCs w:val="27"/>
          <w:lang w:eastAsia="es-CL"/>
        </w:rPr>
        <w:t>5. PROCEDIMIENTO DE GESTIÓN DE INCIDENTES</w:t>
      </w:r>
    </w:p>
    <w:p w14:paraId="79B93895"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5.1. Identificación:</w:t>
      </w:r>
    </w:p>
    <w:p w14:paraId="51BCA37D"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Se debe detectar y reportar incidentes de inmediato al canal oficial: soporte@anacondaweb.cl. Este proceso involucra la observación activa de alertas, monitoreos y notificaciones internas o externas. Una identificación eficaz es fundamental para minimizar el impacto.</w:t>
      </w:r>
    </w:p>
    <w:p w14:paraId="4CD8D9E3"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Además de registrar la fecha, hora, descripción y evidencia inicial del incidente, se debe documentar la fuente del hallazgo y las herramientas utilizadas para su detección. Este registro detallado contribuye a la trazabilidad y futuras auditorías.</w:t>
      </w:r>
    </w:p>
    <w:p w14:paraId="362BAD63"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El análisis preliminar consiste en evaluar rápidamente el impacto potencial, considerando los activos afectados, la criticidad de los sistemas comprometidos y posibles riesgos colaterales. Esta evaluación inicial orienta la toma de decisiones sobre las acciones inmediatas.</w:t>
      </w:r>
    </w:p>
    <w:p w14:paraId="44A77339"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Finalmente, se debe notificar a las áreas afectadas según la naturaleza del incidente. Esta notificación debe incluir un breve resumen del incidente, su posible impacto y las primeras acciones tomadas. Esta etapa es clave para activar los protocolos internos de respuesta. </w:t>
      </w:r>
    </w:p>
    <w:p w14:paraId="66FC3DC0"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5.2. Registro:</w:t>
      </w:r>
    </w:p>
    <w:p w14:paraId="75D9EC1A"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Además de documentar el incidente en el sistema de gestión de incidentes, este proceso incluye una descripción completa del suceso, identificando la fuente de detección y los sistemas afectados. Se asignará un número de caso único y una categoría específica, facilitando la trazabilidad.</w:t>
      </w:r>
    </w:p>
    <w:p w14:paraId="44439D3A"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Es fundamental registrar a todos los involucrados, describiendo sus roles y acciones tomadas, lo que permite construir una línea de tiempo detallada de la respuesta al incidente. Esta documentación es clave para auditorías y revisiones posteriores.</w:t>
      </w:r>
    </w:p>
    <w:p w14:paraId="70F3969B"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lastRenderedPageBreak/>
        <w:t>Se mantendrá un historial de actualizaciones y estados del caso, registrando cada actividad realizada durante el ciclo de vida del incidente. Esto garantiza un seguimiento preciso y facilita el aprendizaje posterior.</w:t>
      </w:r>
    </w:p>
    <w:p w14:paraId="4BE59EA9"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El registro debe cumplir con los estándares definidos en la norma ISO 27001:2022, asegurando la integridad, disponibilidad y confidencialidad de la información. Esta fase constituye la base para el análisis e investigación posterior, proporcionando insumos críticos para la identificación de causas y la definición de acciones correctivas. </w:t>
      </w:r>
      <w:r w:rsidRPr="00DB209F">
        <w:rPr>
          <w:rFonts w:ascii="Times New Roman" w:hAnsi="Times New Roman"/>
          <w:b/>
          <w:bCs/>
          <w:sz w:val="24"/>
          <w:szCs w:val="24"/>
          <w:lang w:eastAsia="es-CL"/>
        </w:rPr>
        <w:t>Registro:</w:t>
      </w:r>
    </w:p>
    <w:p w14:paraId="43049807"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5.3. Clasificación:</w:t>
      </w:r>
    </w:p>
    <w:p w14:paraId="22492E32"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Además de determinar la severidad del incidente (Alta, Media o Baja), esta fase incluye la evaluación de posibles daños a la continuidad del negocio y al sistema de seguridad. La severidad se define considerando el alcance del impacto, la duración estimada y las áreas afectadas.</w:t>
      </w:r>
    </w:p>
    <w:p w14:paraId="6C7DEBFC"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Evaluar la criticidad implica analizar cómo el incidente afecta a procesos esenciales, clientes o terceros. Este análisis se realiza considerando factores como la pérdida de disponibilidad, integridad y confidencialidad de la información, así como posibles consecuencias legales o reputacionales.</w:t>
      </w:r>
    </w:p>
    <w:p w14:paraId="35D308C0"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Asignar una prioridad para la atención se basa en la combinación de severidad y criticidad. Se utilizan matrices de riesgo para establecer tiempos de respuesta según la importancia del incidente, lo que permite una gestión eficiente de los recursos.</w:t>
      </w:r>
    </w:p>
    <w:p w14:paraId="7C037E4B"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Revisar la clasificación periódicamente es crucial, especialmente cuando el incidente evoluciona o se dispone de nueva información. Esta revisión debe registrarse para mantener la trazabilidad y garantizar que los esfuerzos se dirijan de manera adecuada según la naturaleza y complejidad del incidente. </w:t>
      </w:r>
      <w:r w:rsidRPr="00DB209F">
        <w:rPr>
          <w:rFonts w:ascii="Times New Roman" w:hAnsi="Times New Roman"/>
          <w:b/>
          <w:bCs/>
          <w:sz w:val="24"/>
          <w:szCs w:val="24"/>
          <w:lang w:eastAsia="es-CL"/>
        </w:rPr>
        <w:t>Clasificación:</w:t>
      </w:r>
    </w:p>
    <w:p w14:paraId="2D110D91"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5.4. Análisis e Investigación:</w:t>
      </w:r>
    </w:p>
    <w:p w14:paraId="02423325"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Esta fase no solo consiste en identificar el origen, causa raíz y mecanismos de ataque, sino también en comprender en profundidad cómo y por qué ocurrió el incidente. Este análisis incluye la revisión de registros de auditoría, entrevistas con el personal y el uso de herramientas forenses para recopilar pruebas.</w:t>
      </w:r>
    </w:p>
    <w:p w14:paraId="40B0C026"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El análisis del impacto en activos, procesos y clientes debe abarcar no solo los daños inmediatos, sino también las posibles repercusiones a largo plazo, como pérdida de clientes, daños a la reputación y costos asociados a la recuperación.</w:t>
      </w:r>
    </w:p>
    <w:p w14:paraId="57C84401"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La recolección de evidencias relevantes se realiza conforme a procedimientos forenses, garantizando la integridad de los registros para auditorías futuras o acciones legales. Estas evidencias se almacenan de forma segura y bajo acceso restringido.</w:t>
      </w:r>
    </w:p>
    <w:p w14:paraId="38E5AECF"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En la documentación de hallazgos y medidas correctivas, se deben identificar tanto las causas técnicas como organizacionales que propiciaron el incidente. Las medidas sugeridas </w:t>
      </w:r>
      <w:r w:rsidRPr="00DB209F">
        <w:rPr>
          <w:rFonts w:ascii="Times New Roman" w:hAnsi="Times New Roman"/>
          <w:sz w:val="24"/>
          <w:szCs w:val="24"/>
          <w:lang w:eastAsia="es-CL"/>
        </w:rPr>
        <w:lastRenderedPageBreak/>
        <w:t>deben ser concretas, asignando responsables y plazos para su implementación, fomentando así una mejora continua del sistema de gestión de incidentes.</w:t>
      </w:r>
    </w:p>
    <w:p w14:paraId="5E7009DF"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Además de identificar el origen, causa raíz y mecanismos de ataque, este proceso debe incluir un análisis detallado de cómo ocurrió el incidente, qué vulnerabilidades fueron explotadas y qué sistemas fueron comprometidos. Este análisis debe ser documentado meticulosamente para su revisión posterior.</w:t>
      </w:r>
    </w:p>
    <w:p w14:paraId="0B37A594"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Analizar el impacto en activos, procesos y clientes implica evaluar la magnitud de las afectaciones y las posibles consecuencias operativas, financieras o legales. Es importante identificar qué procesos críticos se vieron interrumpidos y cómo se vieron afectados los clientes o socios comerciales.</w:t>
      </w:r>
    </w:p>
    <w:p w14:paraId="70D7D204"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Recoger evidencias relevantes es un paso crucial para auditorías y posibles acciones legales. Esta evidencia debe ser almacenada de forma segura y conforme a la normativa forense, manteniendo la integridad de los registros.</w:t>
      </w:r>
    </w:p>
    <w:p w14:paraId="22A0C696"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Documentar hallazgos y sugerir medidas correctivas es el cierre de la investigación. Aquí se detallan las causas identificadas y se proponen acciones concretas para prevenir la recurrencia del incidente.</w:t>
      </w:r>
    </w:p>
    <w:p w14:paraId="0CEF27F6"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5.5. Contención y Erradicación:</w:t>
      </w:r>
    </w:p>
    <w:p w14:paraId="4DDCB613"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Aplicar medidas inmediatas para detener el impacto del incidente implica la implementación de acciones rápidas como el bloqueo de accesos no autorizados o la desconexión de sistemas afectados. La contención tiene como objetivo evitar que el incidente se propague y cause mayores daños.</w:t>
      </w:r>
    </w:p>
    <w:p w14:paraId="2741C91A"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Aislar sistemas comprometidos es fundamental para limitar el alcance del incidente. Esta acción puede incluir la desconexión de servidores, aplicaciones o redes específicas.</w:t>
      </w:r>
    </w:p>
    <w:p w14:paraId="21CCA7E4"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Eliminar accesos indebidos y bloquear vulnerabilidades detectadas consiste en aplicar parches de seguridad, cambiar contraseñas y revocar permisos, reduciendo las probabilidades de una repetición del ataque.</w:t>
      </w:r>
    </w:p>
    <w:p w14:paraId="43518735"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Confirmar la erradicación mediante pruebas posteriores asegura que las medidas adoptadas fueron efectivas. Se deben realizar verificaciones técnicas y auditorías para validar que el sistema está libre de amenazas. </w:t>
      </w:r>
    </w:p>
    <w:p w14:paraId="29BCCAA1"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b/>
          <w:bCs/>
          <w:sz w:val="24"/>
          <w:szCs w:val="24"/>
          <w:lang w:eastAsia="es-CL"/>
        </w:rPr>
        <w:t>Análisis e Investigación:</w:t>
      </w:r>
    </w:p>
    <w:p w14:paraId="4AB65C2D"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5.6. Recuperación:</w:t>
      </w:r>
    </w:p>
    <w:p w14:paraId="50FB1472"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Además de restaurar sistemas desde copias de seguridad verificadas, esta fase implica validar que dichas copias estén libres de </w:t>
      </w:r>
      <w:proofErr w:type="gramStart"/>
      <w:r w:rsidRPr="00DB209F">
        <w:rPr>
          <w:rFonts w:ascii="Times New Roman" w:hAnsi="Times New Roman"/>
          <w:sz w:val="24"/>
          <w:szCs w:val="24"/>
          <w:lang w:eastAsia="es-CL"/>
        </w:rPr>
        <w:t>malware</w:t>
      </w:r>
      <w:proofErr w:type="gramEnd"/>
      <w:r w:rsidRPr="00DB209F">
        <w:rPr>
          <w:rFonts w:ascii="Times New Roman" w:hAnsi="Times New Roman"/>
          <w:sz w:val="24"/>
          <w:szCs w:val="24"/>
          <w:lang w:eastAsia="es-CL"/>
        </w:rPr>
        <w:t xml:space="preserve"> y sean completas. Se recomienda realizar pruebas de restauración en entornos aislados antes de aplicarlas en producción.</w:t>
      </w:r>
    </w:p>
    <w:p w14:paraId="4B4C3B0C"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lastRenderedPageBreak/>
        <w:t>Validar el funcionamiento de sistemas tras la recuperación incluye pruebas exhaustivas de funcionalidad, conectividad y rendimiento para asegurar que los servicios operen correctamente. Esta validación debe registrarse para futuras auditorías.</w:t>
      </w:r>
    </w:p>
    <w:p w14:paraId="468208D6"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Informar a las partes interesadas sobre la recuperación exitosa implica generar un informe detallado que incluya el tiempo de inactividad, el alcance de la afectación y las medidas adoptadas para resolver el incidente.</w:t>
      </w:r>
    </w:p>
    <w:p w14:paraId="0599CC8B"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Implementar mejoras para aumentar la resiliencia ante futuros incidentes debe ser un proceso continuo. Esto puede incluir la actualización de planes de recuperación, adquisición de herramientas de respaldo y capacitación del personal.</w:t>
      </w:r>
    </w:p>
    <w:p w14:paraId="784898F4"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5.7. Cierre y Lecciones Aprendidas:</w:t>
      </w:r>
    </w:p>
    <w:p w14:paraId="1420CC25"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Registrar formalmente el cierre del incidente en el sistema debe incluir un resumen completo de las acciones realizadas, los tiempos de respuesta y recuperación, así como las personas involucradas.</w:t>
      </w:r>
    </w:p>
    <w:p w14:paraId="49445286"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Realizar una sesión de revisión post-incidente consiste en reunir a todas las partes involucradas para discutir lo ocurrido, identificar éxitos y áreas de oportunidad. Esta sesión debe ser documentada para referencia futura.</w:t>
      </w:r>
    </w:p>
    <w:p w14:paraId="5D1EC987"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Analizar y documentar las lecciones aprendidas es fundamental para fortalecer la respuesta ante futuros incidentes. Esto incluye identificar las causas raíz y cómo se gestionó el incidente.</w:t>
      </w:r>
    </w:p>
    <w:p w14:paraId="01261AA3"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 xml:space="preserve">Recomendar mejoras y actualizaciones a los procedimientos de seguridad forma parte del ciclo de mejora continua. Las recomendaciones deben ser revisadas periódicamente y aplicadas a los planes y protocolos existentes. </w:t>
      </w:r>
    </w:p>
    <w:p w14:paraId="2DD8837B" w14:textId="77777777" w:rsidR="002538DC" w:rsidRPr="002538DC"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2538DC">
        <w:rPr>
          <w:rFonts w:ascii="Times New Roman" w:hAnsi="Times New Roman"/>
          <w:b/>
          <w:bCs/>
          <w:sz w:val="27"/>
          <w:szCs w:val="27"/>
          <w:lang w:eastAsia="es-CL"/>
        </w:rPr>
        <w:t>6. REGISTROS</w:t>
      </w:r>
    </w:p>
    <w:p w14:paraId="6638DC3A" w14:textId="77777777" w:rsidR="002538DC" w:rsidRPr="00DB209F"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Esta sección abarca todos los registros generados durante el proceso de gestión de incidentes, proporcionando un historial completo y detallado. Además de reportes completos de incidentes con evidencias adjuntas, se incluyen actas de reuniones post-incidente, correspondencia interna y cualquier comunicación relevante con terceros.</w:t>
      </w:r>
    </w:p>
    <w:p w14:paraId="2E657A8B" w14:textId="77777777" w:rsidR="002538DC" w:rsidRPr="002538DC" w:rsidRDefault="002538DC" w:rsidP="00DB209F">
      <w:pPr>
        <w:spacing w:before="100" w:beforeAutospacing="1" w:after="100" w:afterAutospacing="1" w:line="240" w:lineRule="auto"/>
        <w:ind w:left="360"/>
        <w:jc w:val="both"/>
        <w:outlineLvl w:val="3"/>
        <w:rPr>
          <w:rFonts w:ascii="Times New Roman" w:hAnsi="Times New Roman"/>
          <w:b/>
          <w:bCs/>
          <w:sz w:val="24"/>
          <w:szCs w:val="24"/>
          <w:lang w:eastAsia="es-CL"/>
        </w:rPr>
      </w:pPr>
      <w:r w:rsidRPr="002538DC">
        <w:rPr>
          <w:rFonts w:ascii="Times New Roman" w:hAnsi="Times New Roman"/>
          <w:b/>
          <w:bCs/>
          <w:sz w:val="24"/>
          <w:szCs w:val="24"/>
          <w:lang w:eastAsia="es-CL"/>
        </w:rPr>
        <w:t>Complemento conforme a ISO 27001:2022 – Descripción Detallada:</w:t>
      </w:r>
    </w:p>
    <w:p w14:paraId="061B0403"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Registros de incidentes:</w:t>
      </w:r>
      <w:r w:rsidRPr="002538DC">
        <w:rPr>
          <w:rFonts w:ascii="Times New Roman" w:hAnsi="Times New Roman"/>
          <w:sz w:val="24"/>
          <w:szCs w:val="24"/>
          <w:lang w:eastAsia="es-CL"/>
        </w:rPr>
        <w:t xml:space="preserve"> Documentos que contienen la descripción completa del incidente, incluyendo la causa raíz, las acciones correctivas implementadas, los responsables asignados y la evidencia documentada. Estos registros deben cumplir con los requisitos de trazabilidad y conservación conforme a ISO 27001.</w:t>
      </w:r>
    </w:p>
    <w:p w14:paraId="55758E93"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Evidencias forenses:</w:t>
      </w:r>
      <w:r w:rsidRPr="002538DC">
        <w:rPr>
          <w:rFonts w:ascii="Times New Roman" w:hAnsi="Times New Roman"/>
          <w:sz w:val="24"/>
          <w:szCs w:val="24"/>
          <w:lang w:eastAsia="es-CL"/>
        </w:rPr>
        <w:t xml:space="preserve"> Archivos que registran la actividad del sistema, incluyendo logs, análisis de tráfico de red y reportes de antivirus. Deben almacenarse bajo custodia segura, garantizando su integridad y accesibilidad para futuras auditorías.</w:t>
      </w:r>
    </w:p>
    <w:p w14:paraId="19EB930B"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lastRenderedPageBreak/>
        <w:t>Actas de reuniones:</w:t>
      </w:r>
      <w:r w:rsidRPr="002538DC">
        <w:rPr>
          <w:rFonts w:ascii="Times New Roman" w:hAnsi="Times New Roman"/>
          <w:sz w:val="24"/>
          <w:szCs w:val="24"/>
          <w:lang w:eastAsia="es-CL"/>
        </w:rPr>
        <w:t xml:space="preserve"> Documentos que reflejan las decisiones y acuerdos derivados de reuniones post-incidente, señalando acciones de mejora, responsables y plazos. Estas actas forman parte del ciclo de lecciones aprendidas.</w:t>
      </w:r>
    </w:p>
    <w:p w14:paraId="7D74C736"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Historial de cambios:</w:t>
      </w:r>
      <w:r w:rsidRPr="002538DC">
        <w:rPr>
          <w:rFonts w:ascii="Times New Roman" w:hAnsi="Times New Roman"/>
          <w:sz w:val="24"/>
          <w:szCs w:val="24"/>
          <w:lang w:eastAsia="es-CL"/>
        </w:rPr>
        <w:t xml:space="preserve"> Registros que documentan todas las modificaciones realizadas en sistemas, políticas o procedimientos a raíz del incidente. Este historial debe incluir descripciones de cambios, fechas, y responsables.</w:t>
      </w:r>
    </w:p>
    <w:p w14:paraId="040B67FE"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Informes de análisis y corrección:</w:t>
      </w:r>
      <w:r w:rsidRPr="002538DC">
        <w:rPr>
          <w:rFonts w:ascii="Times New Roman" w:hAnsi="Times New Roman"/>
          <w:sz w:val="24"/>
          <w:szCs w:val="24"/>
          <w:lang w:eastAsia="es-CL"/>
        </w:rPr>
        <w:t xml:space="preserve"> Documentos que recopilan los resultados del análisis de causa raíz (RCA), describiendo el impacto, las vulnerabilidades detectadas y las medidas correctivas aplicadas. Estos informes respaldan la mejora continua.</w:t>
      </w:r>
    </w:p>
    <w:p w14:paraId="44A13B0A"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Correspondencia interna y externa:</w:t>
      </w:r>
      <w:r w:rsidRPr="002538DC">
        <w:rPr>
          <w:rFonts w:ascii="Times New Roman" w:hAnsi="Times New Roman"/>
          <w:sz w:val="24"/>
          <w:szCs w:val="24"/>
          <w:lang w:eastAsia="es-CL"/>
        </w:rPr>
        <w:t xml:space="preserve"> Registros de comunicaciones relacionadas con la gestión del incidente, incluyendo notificaciones a partes interesadas, reportes a proveedores y respuestas recibidas. Su conservación es esencial para auditorías y revisiones regulatorias.</w:t>
      </w:r>
    </w:p>
    <w:p w14:paraId="7862B836" w14:textId="77777777" w:rsidR="002538DC" w:rsidRPr="00DB209F"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DB209F">
        <w:rPr>
          <w:rFonts w:ascii="Times New Roman" w:hAnsi="Times New Roman"/>
          <w:b/>
          <w:bCs/>
          <w:sz w:val="27"/>
          <w:szCs w:val="27"/>
          <w:lang w:eastAsia="es-CL"/>
        </w:rPr>
        <w:t>7. REFERENCIAS</w:t>
      </w:r>
    </w:p>
    <w:p w14:paraId="5B162879" w14:textId="77777777" w:rsidR="002538DC" w:rsidRPr="002538DC" w:rsidRDefault="002538DC" w:rsidP="00DB209F">
      <w:pPr>
        <w:spacing w:before="100" w:beforeAutospacing="1" w:after="100" w:afterAutospacing="1" w:line="240" w:lineRule="auto"/>
        <w:jc w:val="both"/>
        <w:outlineLvl w:val="2"/>
        <w:rPr>
          <w:rFonts w:ascii="Times New Roman" w:hAnsi="Times New Roman"/>
          <w:b/>
          <w:bCs/>
          <w:sz w:val="27"/>
          <w:szCs w:val="27"/>
          <w:lang w:eastAsia="es-CL"/>
        </w:rPr>
      </w:pPr>
    </w:p>
    <w:p w14:paraId="7E41D7B0"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Norma ISO 27001:2022:</w:t>
      </w:r>
      <w:r w:rsidRPr="002538DC">
        <w:rPr>
          <w:rFonts w:ascii="Times New Roman" w:hAnsi="Times New Roman"/>
          <w:sz w:val="24"/>
          <w:szCs w:val="24"/>
          <w:lang w:eastAsia="es-CL"/>
        </w:rPr>
        <w:t xml:space="preserve"> Control A.16 – Gestión de incidentes de seguridad de la información. Establece requisitos y controles para la respuesta, documentación y tratamiento de incidentes.</w:t>
      </w:r>
    </w:p>
    <w:p w14:paraId="3EFC86AE"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Políticas Internas de Seguridad de Anaconda Web:</w:t>
      </w:r>
      <w:r w:rsidRPr="002538DC">
        <w:rPr>
          <w:rFonts w:ascii="Times New Roman" w:hAnsi="Times New Roman"/>
          <w:sz w:val="24"/>
          <w:szCs w:val="24"/>
          <w:lang w:eastAsia="es-CL"/>
        </w:rPr>
        <w:t xml:space="preserve"> Conjunto de directrices y procedimientos internos alineados con la ISO 27001, que regulan la protección de la información y la respuesta ante incidentes.</w:t>
      </w:r>
    </w:p>
    <w:p w14:paraId="78C791E8"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Manual de Respuesta ante Incidentes y Continuidad del Negocio:</w:t>
      </w:r>
      <w:r w:rsidRPr="002538DC">
        <w:rPr>
          <w:rFonts w:ascii="Times New Roman" w:hAnsi="Times New Roman"/>
          <w:sz w:val="24"/>
          <w:szCs w:val="24"/>
          <w:lang w:eastAsia="es-CL"/>
        </w:rPr>
        <w:t xml:space="preserve"> Documento que detalla los procedimientos de respuesta ante incidentes, protocolos de escalamiento y planes de recuperación para garantizar la continuidad operativa.</w:t>
      </w:r>
    </w:p>
    <w:p w14:paraId="1B35632D"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Guía de Gestión de Riesgos (Anaconda Web):</w:t>
      </w:r>
      <w:r w:rsidRPr="002538DC">
        <w:rPr>
          <w:rFonts w:ascii="Times New Roman" w:hAnsi="Times New Roman"/>
          <w:sz w:val="24"/>
          <w:szCs w:val="24"/>
          <w:lang w:eastAsia="es-CL"/>
        </w:rPr>
        <w:t xml:space="preserve"> Protocolo complementario para la identificación, evaluación y tratamiento de riesgos asociados a incidentes de seguridad.</w:t>
      </w:r>
    </w:p>
    <w:p w14:paraId="6A2A6C6B" w14:textId="77777777" w:rsidR="002538DC" w:rsidRP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2538DC">
        <w:rPr>
          <w:rFonts w:ascii="Times New Roman" w:hAnsi="Times New Roman"/>
          <w:b/>
          <w:bCs/>
          <w:sz w:val="24"/>
          <w:szCs w:val="24"/>
          <w:lang w:eastAsia="es-CL"/>
        </w:rPr>
        <w:t>Normativa Local y Regulaciones Aplicables:</w:t>
      </w:r>
      <w:r w:rsidRPr="002538DC">
        <w:rPr>
          <w:rFonts w:ascii="Times New Roman" w:hAnsi="Times New Roman"/>
          <w:sz w:val="24"/>
          <w:szCs w:val="24"/>
          <w:lang w:eastAsia="es-CL"/>
        </w:rPr>
        <w:t xml:space="preserve"> Legislación y regulaciones vigentes que rigen la gestión de incidentes de seguridad según el marco legal local y sectorial.</w:t>
      </w:r>
    </w:p>
    <w:p w14:paraId="788E321D" w14:textId="1380A90F" w:rsidR="002538DC" w:rsidRPr="00DB209F" w:rsidRDefault="002538DC" w:rsidP="00DB209F">
      <w:pPr>
        <w:spacing w:before="100" w:beforeAutospacing="1" w:after="100" w:afterAutospacing="1" w:line="240" w:lineRule="auto"/>
        <w:ind w:left="360"/>
        <w:jc w:val="both"/>
        <w:outlineLvl w:val="2"/>
        <w:rPr>
          <w:rFonts w:ascii="Times New Roman" w:hAnsi="Times New Roman"/>
          <w:b/>
          <w:bCs/>
          <w:sz w:val="27"/>
          <w:szCs w:val="27"/>
          <w:lang w:eastAsia="es-CL"/>
        </w:rPr>
      </w:pPr>
      <w:r w:rsidRPr="00DB209F">
        <w:rPr>
          <w:rFonts w:ascii="Times New Roman" w:hAnsi="Times New Roman"/>
          <w:b/>
          <w:bCs/>
          <w:sz w:val="27"/>
          <w:szCs w:val="27"/>
          <w:lang w:eastAsia="es-CL"/>
        </w:rPr>
        <w:t>CONTROL DE CAMBIOS</w:t>
      </w:r>
    </w:p>
    <w:p w14:paraId="02257C4C" w14:textId="77777777" w:rsidR="002538DC" w:rsidRDefault="002538DC" w:rsidP="00DB209F">
      <w:pPr>
        <w:spacing w:before="100" w:beforeAutospacing="1" w:after="100" w:afterAutospacing="1"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Conforme a las mejores prácticas de la ISO 27001:2022, el control de cambios documenta todas las modificaciones realizadas al procedimiento, garantizando la trazabilidad y la mejora continua.</w:t>
      </w:r>
    </w:p>
    <w:p w14:paraId="4A9EED76" w14:textId="77777777" w:rsidR="00DB209F" w:rsidRPr="00DB209F" w:rsidRDefault="00DB209F" w:rsidP="00DB209F">
      <w:pPr>
        <w:spacing w:before="100" w:beforeAutospacing="1" w:after="100" w:afterAutospacing="1" w:line="240" w:lineRule="auto"/>
        <w:ind w:left="360"/>
        <w:jc w:val="both"/>
        <w:rPr>
          <w:rFonts w:ascii="Times New Roman" w:hAnsi="Times New Roman"/>
          <w:sz w:val="24"/>
          <w:szCs w:val="24"/>
          <w:lang w:eastAsia="es-C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1328"/>
        <w:gridCol w:w="1923"/>
        <w:gridCol w:w="1557"/>
        <w:gridCol w:w="1374"/>
        <w:gridCol w:w="1743"/>
      </w:tblGrid>
      <w:tr w:rsidR="00DB209F" w:rsidRPr="002538DC" w14:paraId="7B300053" w14:textId="77777777" w:rsidTr="002538DC">
        <w:trPr>
          <w:tblCellSpacing w:w="15" w:type="dxa"/>
        </w:trPr>
        <w:tc>
          <w:tcPr>
            <w:tcW w:w="0" w:type="auto"/>
            <w:vAlign w:val="center"/>
            <w:hideMark/>
          </w:tcPr>
          <w:p w14:paraId="731E2987" w14:textId="77777777" w:rsidR="002538DC" w:rsidRPr="00DB209F" w:rsidRDefault="002538DC" w:rsidP="00DB209F">
            <w:pPr>
              <w:spacing w:after="0" w:line="240" w:lineRule="auto"/>
              <w:ind w:left="360"/>
              <w:jc w:val="both"/>
              <w:rPr>
                <w:rFonts w:ascii="Times New Roman" w:hAnsi="Times New Roman"/>
                <w:b/>
                <w:bCs/>
                <w:sz w:val="24"/>
                <w:szCs w:val="24"/>
                <w:lang w:eastAsia="es-CL"/>
              </w:rPr>
            </w:pPr>
            <w:r w:rsidRPr="00DB209F">
              <w:rPr>
                <w:rFonts w:ascii="Times New Roman" w:hAnsi="Times New Roman"/>
                <w:b/>
                <w:bCs/>
                <w:sz w:val="24"/>
                <w:szCs w:val="24"/>
                <w:lang w:eastAsia="es-CL"/>
              </w:rPr>
              <w:lastRenderedPageBreak/>
              <w:t>Versión</w:t>
            </w:r>
          </w:p>
        </w:tc>
        <w:tc>
          <w:tcPr>
            <w:tcW w:w="0" w:type="auto"/>
            <w:vAlign w:val="center"/>
            <w:hideMark/>
          </w:tcPr>
          <w:p w14:paraId="672C098B" w14:textId="77777777" w:rsidR="002538DC" w:rsidRPr="00DB209F" w:rsidRDefault="002538DC" w:rsidP="00DB209F">
            <w:pPr>
              <w:spacing w:after="0" w:line="240" w:lineRule="auto"/>
              <w:ind w:left="360"/>
              <w:jc w:val="both"/>
              <w:rPr>
                <w:rFonts w:ascii="Times New Roman" w:hAnsi="Times New Roman"/>
                <w:b/>
                <w:bCs/>
                <w:sz w:val="24"/>
                <w:szCs w:val="24"/>
                <w:lang w:eastAsia="es-CL"/>
              </w:rPr>
            </w:pPr>
            <w:r w:rsidRPr="00DB209F">
              <w:rPr>
                <w:rFonts w:ascii="Times New Roman" w:hAnsi="Times New Roman"/>
                <w:b/>
                <w:bCs/>
                <w:sz w:val="24"/>
                <w:szCs w:val="24"/>
                <w:lang w:eastAsia="es-CL"/>
              </w:rPr>
              <w:t>Fecha</w:t>
            </w:r>
          </w:p>
        </w:tc>
        <w:tc>
          <w:tcPr>
            <w:tcW w:w="0" w:type="auto"/>
            <w:vAlign w:val="center"/>
            <w:hideMark/>
          </w:tcPr>
          <w:p w14:paraId="1F7700D3" w14:textId="77777777" w:rsidR="002538DC" w:rsidRPr="00DB209F" w:rsidRDefault="002538DC" w:rsidP="00DB209F">
            <w:pPr>
              <w:spacing w:after="0" w:line="240" w:lineRule="auto"/>
              <w:ind w:left="360"/>
              <w:jc w:val="both"/>
              <w:rPr>
                <w:rFonts w:ascii="Times New Roman" w:hAnsi="Times New Roman"/>
                <w:b/>
                <w:bCs/>
                <w:sz w:val="24"/>
                <w:szCs w:val="24"/>
                <w:lang w:eastAsia="es-CL"/>
              </w:rPr>
            </w:pPr>
            <w:r w:rsidRPr="00DB209F">
              <w:rPr>
                <w:rFonts w:ascii="Times New Roman" w:hAnsi="Times New Roman"/>
                <w:b/>
                <w:bCs/>
                <w:sz w:val="24"/>
                <w:szCs w:val="24"/>
                <w:lang w:eastAsia="es-CL"/>
              </w:rPr>
              <w:t>Descripción del cambio</w:t>
            </w:r>
          </w:p>
        </w:tc>
        <w:tc>
          <w:tcPr>
            <w:tcW w:w="0" w:type="auto"/>
            <w:vAlign w:val="center"/>
            <w:hideMark/>
          </w:tcPr>
          <w:p w14:paraId="336764A3" w14:textId="77777777" w:rsidR="002538DC" w:rsidRPr="00DB209F" w:rsidRDefault="002538DC" w:rsidP="00DB209F">
            <w:pPr>
              <w:spacing w:after="0" w:line="240" w:lineRule="auto"/>
              <w:ind w:left="360"/>
              <w:jc w:val="both"/>
              <w:rPr>
                <w:rFonts w:ascii="Times New Roman" w:hAnsi="Times New Roman"/>
                <w:b/>
                <w:bCs/>
                <w:sz w:val="24"/>
                <w:szCs w:val="24"/>
                <w:lang w:eastAsia="es-CL"/>
              </w:rPr>
            </w:pPr>
            <w:r w:rsidRPr="00DB209F">
              <w:rPr>
                <w:rFonts w:ascii="Times New Roman" w:hAnsi="Times New Roman"/>
                <w:b/>
                <w:bCs/>
                <w:sz w:val="24"/>
                <w:szCs w:val="24"/>
                <w:lang w:eastAsia="es-CL"/>
              </w:rPr>
              <w:t>Autor</w:t>
            </w:r>
          </w:p>
        </w:tc>
        <w:tc>
          <w:tcPr>
            <w:tcW w:w="0" w:type="auto"/>
            <w:vAlign w:val="center"/>
            <w:hideMark/>
          </w:tcPr>
          <w:p w14:paraId="208C8DB8" w14:textId="77777777" w:rsidR="002538DC" w:rsidRPr="00DB209F" w:rsidRDefault="002538DC" w:rsidP="00DB209F">
            <w:pPr>
              <w:spacing w:after="0" w:line="240" w:lineRule="auto"/>
              <w:ind w:left="360"/>
              <w:jc w:val="both"/>
              <w:rPr>
                <w:rFonts w:ascii="Times New Roman" w:hAnsi="Times New Roman"/>
                <w:b/>
                <w:bCs/>
                <w:sz w:val="24"/>
                <w:szCs w:val="24"/>
                <w:lang w:eastAsia="es-CL"/>
              </w:rPr>
            </w:pPr>
            <w:r w:rsidRPr="00DB209F">
              <w:rPr>
                <w:rFonts w:ascii="Times New Roman" w:hAnsi="Times New Roman"/>
                <w:b/>
                <w:bCs/>
                <w:sz w:val="24"/>
                <w:szCs w:val="24"/>
                <w:lang w:eastAsia="es-CL"/>
              </w:rPr>
              <w:t>Aprobador</w:t>
            </w:r>
          </w:p>
        </w:tc>
        <w:tc>
          <w:tcPr>
            <w:tcW w:w="0" w:type="auto"/>
            <w:vAlign w:val="center"/>
            <w:hideMark/>
          </w:tcPr>
          <w:p w14:paraId="4B2590C7" w14:textId="77777777" w:rsidR="002538DC" w:rsidRPr="00DB209F" w:rsidRDefault="002538DC" w:rsidP="00DB209F">
            <w:pPr>
              <w:spacing w:after="0" w:line="240" w:lineRule="auto"/>
              <w:ind w:left="360"/>
              <w:jc w:val="both"/>
              <w:rPr>
                <w:rFonts w:ascii="Times New Roman" w:hAnsi="Times New Roman"/>
                <w:b/>
                <w:bCs/>
                <w:sz w:val="24"/>
                <w:szCs w:val="24"/>
                <w:lang w:eastAsia="es-CL"/>
              </w:rPr>
            </w:pPr>
            <w:r w:rsidRPr="00DB209F">
              <w:rPr>
                <w:rFonts w:ascii="Times New Roman" w:hAnsi="Times New Roman"/>
                <w:b/>
                <w:bCs/>
                <w:sz w:val="24"/>
                <w:szCs w:val="24"/>
                <w:lang w:eastAsia="es-CL"/>
              </w:rPr>
              <w:t>Motivo del cambio</w:t>
            </w:r>
          </w:p>
        </w:tc>
      </w:tr>
      <w:tr w:rsidR="00DB209F" w:rsidRPr="002538DC" w14:paraId="49898B12" w14:textId="77777777" w:rsidTr="002538DC">
        <w:trPr>
          <w:tblCellSpacing w:w="15" w:type="dxa"/>
        </w:trPr>
        <w:tc>
          <w:tcPr>
            <w:tcW w:w="0" w:type="auto"/>
            <w:vAlign w:val="center"/>
            <w:hideMark/>
          </w:tcPr>
          <w:p w14:paraId="7B896EC7"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1.0</w:t>
            </w:r>
          </w:p>
        </w:tc>
        <w:tc>
          <w:tcPr>
            <w:tcW w:w="0" w:type="auto"/>
            <w:vAlign w:val="center"/>
            <w:hideMark/>
          </w:tcPr>
          <w:p w14:paraId="626BC798"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14/02/2025</w:t>
            </w:r>
          </w:p>
        </w:tc>
        <w:tc>
          <w:tcPr>
            <w:tcW w:w="0" w:type="auto"/>
            <w:vAlign w:val="center"/>
            <w:hideMark/>
          </w:tcPr>
          <w:p w14:paraId="5BD5036F"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Creación inicial del documento</w:t>
            </w:r>
          </w:p>
        </w:tc>
        <w:tc>
          <w:tcPr>
            <w:tcW w:w="0" w:type="auto"/>
            <w:vAlign w:val="center"/>
            <w:hideMark/>
          </w:tcPr>
          <w:p w14:paraId="15F1A4C6"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Responsable de Seguridad</w:t>
            </w:r>
          </w:p>
        </w:tc>
        <w:tc>
          <w:tcPr>
            <w:tcW w:w="0" w:type="auto"/>
            <w:vAlign w:val="center"/>
            <w:hideMark/>
          </w:tcPr>
          <w:p w14:paraId="724B0589"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Director de Seguridad</w:t>
            </w:r>
          </w:p>
        </w:tc>
        <w:tc>
          <w:tcPr>
            <w:tcW w:w="0" w:type="auto"/>
            <w:vAlign w:val="center"/>
            <w:hideMark/>
          </w:tcPr>
          <w:p w14:paraId="43204F28"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Implementación según ISO 27001</w:t>
            </w:r>
          </w:p>
        </w:tc>
      </w:tr>
      <w:tr w:rsidR="00DB209F" w:rsidRPr="002538DC" w14:paraId="103405B9" w14:textId="77777777" w:rsidTr="002538DC">
        <w:trPr>
          <w:tblCellSpacing w:w="15" w:type="dxa"/>
        </w:trPr>
        <w:tc>
          <w:tcPr>
            <w:tcW w:w="0" w:type="auto"/>
            <w:vAlign w:val="center"/>
            <w:hideMark/>
          </w:tcPr>
          <w:p w14:paraId="3CA90DB4"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1.1</w:t>
            </w:r>
          </w:p>
        </w:tc>
        <w:tc>
          <w:tcPr>
            <w:tcW w:w="0" w:type="auto"/>
            <w:vAlign w:val="center"/>
            <w:hideMark/>
          </w:tcPr>
          <w:p w14:paraId="3C7F75E7"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01/03/2025</w:t>
            </w:r>
          </w:p>
        </w:tc>
        <w:tc>
          <w:tcPr>
            <w:tcW w:w="0" w:type="auto"/>
            <w:vAlign w:val="center"/>
            <w:hideMark/>
          </w:tcPr>
          <w:p w14:paraId="00DAEBA6"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Ajustes en la sección de Roles y Responsabilidades</w:t>
            </w:r>
          </w:p>
        </w:tc>
        <w:tc>
          <w:tcPr>
            <w:tcW w:w="0" w:type="auto"/>
            <w:vAlign w:val="center"/>
            <w:hideMark/>
          </w:tcPr>
          <w:p w14:paraId="698EF2C7"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Responsable de Seguridad</w:t>
            </w:r>
          </w:p>
        </w:tc>
        <w:tc>
          <w:tcPr>
            <w:tcW w:w="0" w:type="auto"/>
            <w:vAlign w:val="center"/>
            <w:hideMark/>
          </w:tcPr>
          <w:p w14:paraId="2C04B455"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Comité de Seguridad</w:t>
            </w:r>
          </w:p>
        </w:tc>
        <w:tc>
          <w:tcPr>
            <w:tcW w:w="0" w:type="auto"/>
            <w:vAlign w:val="center"/>
            <w:hideMark/>
          </w:tcPr>
          <w:p w14:paraId="4B86DF5E"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Mejora en la definición de roles</w:t>
            </w:r>
          </w:p>
        </w:tc>
      </w:tr>
      <w:tr w:rsidR="00DB209F" w:rsidRPr="002538DC" w14:paraId="06FE0DF0" w14:textId="77777777" w:rsidTr="002538DC">
        <w:trPr>
          <w:tblCellSpacing w:w="15" w:type="dxa"/>
        </w:trPr>
        <w:tc>
          <w:tcPr>
            <w:tcW w:w="0" w:type="auto"/>
            <w:vAlign w:val="center"/>
            <w:hideMark/>
          </w:tcPr>
          <w:p w14:paraId="36CC4540"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1.2</w:t>
            </w:r>
          </w:p>
        </w:tc>
        <w:tc>
          <w:tcPr>
            <w:tcW w:w="0" w:type="auto"/>
            <w:vAlign w:val="center"/>
            <w:hideMark/>
          </w:tcPr>
          <w:p w14:paraId="5589872F"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15/04/2025</w:t>
            </w:r>
          </w:p>
        </w:tc>
        <w:tc>
          <w:tcPr>
            <w:tcW w:w="0" w:type="auto"/>
            <w:vAlign w:val="center"/>
            <w:hideMark/>
          </w:tcPr>
          <w:p w14:paraId="1813F53C"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Actualización de registros según auditoría interna</w:t>
            </w:r>
          </w:p>
        </w:tc>
        <w:tc>
          <w:tcPr>
            <w:tcW w:w="0" w:type="auto"/>
            <w:vAlign w:val="center"/>
            <w:hideMark/>
          </w:tcPr>
          <w:p w14:paraId="50B3CC7F"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Departamento de Seguridad</w:t>
            </w:r>
          </w:p>
        </w:tc>
        <w:tc>
          <w:tcPr>
            <w:tcW w:w="0" w:type="auto"/>
            <w:vAlign w:val="center"/>
            <w:hideMark/>
          </w:tcPr>
          <w:p w14:paraId="1CB90BD7"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Director de Seguridad</w:t>
            </w:r>
          </w:p>
        </w:tc>
        <w:tc>
          <w:tcPr>
            <w:tcW w:w="0" w:type="auto"/>
            <w:vAlign w:val="center"/>
            <w:hideMark/>
          </w:tcPr>
          <w:p w14:paraId="0207F992"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Cumplimiento de hallazgos auditoría</w:t>
            </w:r>
          </w:p>
        </w:tc>
      </w:tr>
      <w:tr w:rsidR="00DB209F" w:rsidRPr="002538DC" w14:paraId="12054F42" w14:textId="77777777" w:rsidTr="002538DC">
        <w:trPr>
          <w:tblCellSpacing w:w="15" w:type="dxa"/>
        </w:trPr>
        <w:tc>
          <w:tcPr>
            <w:tcW w:w="0" w:type="auto"/>
            <w:vAlign w:val="center"/>
            <w:hideMark/>
          </w:tcPr>
          <w:p w14:paraId="5B6976FF"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1.3</w:t>
            </w:r>
          </w:p>
        </w:tc>
        <w:tc>
          <w:tcPr>
            <w:tcW w:w="0" w:type="auto"/>
            <w:vAlign w:val="center"/>
            <w:hideMark/>
          </w:tcPr>
          <w:p w14:paraId="7806F80E" w14:textId="77777777" w:rsidR="002538DC" w:rsidRPr="00DB209F" w:rsidRDefault="002538DC" w:rsidP="00DB209F">
            <w:pPr>
              <w:spacing w:after="0" w:line="240" w:lineRule="auto"/>
              <w:ind w:left="360"/>
              <w:jc w:val="both"/>
              <w:rPr>
                <w:rFonts w:ascii="Times New Roman" w:hAnsi="Times New Roman"/>
                <w:sz w:val="24"/>
                <w:szCs w:val="24"/>
                <w:lang w:eastAsia="es-CL"/>
              </w:rPr>
            </w:pPr>
            <w:r w:rsidRPr="00DB209F">
              <w:rPr>
                <w:rFonts w:ascii="Times New Roman" w:hAnsi="Times New Roman"/>
                <w:sz w:val="24"/>
                <w:szCs w:val="24"/>
                <w:lang w:eastAsia="es-CL"/>
              </w:rPr>
              <w:t>10/06/2025</w:t>
            </w:r>
          </w:p>
        </w:tc>
        <w:tc>
          <w:tcPr>
            <w:tcW w:w="0" w:type="auto"/>
            <w:vAlign w:val="center"/>
            <w:hideMark/>
          </w:tcPr>
          <w:p w14:paraId="3E67236D"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Ampliación de la sección de Referencias</w:t>
            </w:r>
          </w:p>
        </w:tc>
        <w:tc>
          <w:tcPr>
            <w:tcW w:w="0" w:type="auto"/>
            <w:vAlign w:val="center"/>
            <w:hideMark/>
          </w:tcPr>
          <w:p w14:paraId="15C6EDA2"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Responsable de Seguridad</w:t>
            </w:r>
          </w:p>
        </w:tc>
        <w:tc>
          <w:tcPr>
            <w:tcW w:w="0" w:type="auto"/>
            <w:vAlign w:val="center"/>
            <w:hideMark/>
          </w:tcPr>
          <w:p w14:paraId="0B971BF3"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Comité de Seguridad</w:t>
            </w:r>
          </w:p>
        </w:tc>
        <w:tc>
          <w:tcPr>
            <w:tcW w:w="0" w:type="auto"/>
            <w:vAlign w:val="center"/>
            <w:hideMark/>
          </w:tcPr>
          <w:p w14:paraId="3F17E051" w14:textId="77777777" w:rsidR="002538DC" w:rsidRPr="00DB209F" w:rsidRDefault="002538DC" w:rsidP="005C43FE">
            <w:pPr>
              <w:spacing w:after="0" w:line="240" w:lineRule="auto"/>
              <w:ind w:left="360"/>
              <w:rPr>
                <w:rFonts w:ascii="Times New Roman" w:hAnsi="Times New Roman"/>
                <w:sz w:val="24"/>
                <w:szCs w:val="24"/>
                <w:lang w:eastAsia="es-CL"/>
              </w:rPr>
            </w:pPr>
            <w:r w:rsidRPr="00DB209F">
              <w:rPr>
                <w:rFonts w:ascii="Times New Roman" w:hAnsi="Times New Roman"/>
                <w:sz w:val="24"/>
                <w:szCs w:val="24"/>
                <w:lang w:eastAsia="es-CL"/>
              </w:rPr>
              <w:t>Inclusión de nuevas normativas</w:t>
            </w:r>
          </w:p>
        </w:tc>
      </w:tr>
    </w:tbl>
    <w:p w14:paraId="729DBEF3" w14:textId="77777777" w:rsidR="00144BDA" w:rsidRPr="00452E7F" w:rsidRDefault="00144BDA" w:rsidP="00DB209F">
      <w:pPr>
        <w:pStyle w:val="NormalWeb"/>
        <w:jc w:val="both"/>
        <w:rPr>
          <w:rFonts w:asciiTheme="minorHAnsi" w:hAnsiTheme="minorHAnsi" w:cstheme="minorHAnsi"/>
          <w:lang w:val="es-CL"/>
        </w:rPr>
      </w:pPr>
    </w:p>
    <w:sectPr w:rsidR="00144BDA" w:rsidRPr="00452E7F" w:rsidSect="00452E7F">
      <w:headerReference w:type="default" r:id="rId9"/>
      <w:footerReference w:type="default" r:id="rId10"/>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2ABE" w14:textId="77777777" w:rsidR="0048641B" w:rsidRPr="00255F0B" w:rsidRDefault="0048641B">
      <w:r w:rsidRPr="00255F0B">
        <w:separator/>
      </w:r>
    </w:p>
    <w:p w14:paraId="6B479084" w14:textId="77777777" w:rsidR="0048641B" w:rsidRPr="00255F0B" w:rsidRDefault="0048641B"/>
    <w:p w14:paraId="337FFB76" w14:textId="77777777" w:rsidR="0048641B" w:rsidRPr="00255F0B" w:rsidRDefault="0048641B"/>
    <w:p w14:paraId="4FDE99BC" w14:textId="77777777" w:rsidR="0048641B" w:rsidRPr="00255F0B" w:rsidRDefault="0048641B" w:rsidP="00C1318C"/>
  </w:endnote>
  <w:endnote w:type="continuationSeparator" w:id="0">
    <w:p w14:paraId="4458F6B9" w14:textId="77777777" w:rsidR="0048641B" w:rsidRPr="00255F0B" w:rsidRDefault="0048641B">
      <w:r w:rsidRPr="00255F0B">
        <w:continuationSeparator/>
      </w:r>
    </w:p>
    <w:p w14:paraId="23FDE908" w14:textId="77777777" w:rsidR="0048641B" w:rsidRPr="00255F0B" w:rsidRDefault="0048641B"/>
    <w:p w14:paraId="5EE198DE" w14:textId="77777777" w:rsidR="0048641B" w:rsidRPr="00255F0B" w:rsidRDefault="0048641B"/>
    <w:p w14:paraId="0FB268FF" w14:textId="77777777" w:rsidR="0048641B" w:rsidRPr="00255F0B" w:rsidRDefault="0048641B"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98C9" w14:textId="7D78E9B6" w:rsidR="005C43FE" w:rsidRPr="005C43FE" w:rsidRDefault="00163C3E" w:rsidP="00163C3E">
    <w:pPr>
      <w:jc w:val="center"/>
      <w:rPr>
        <w:rFonts w:asciiTheme="minorHAnsi" w:hAnsiTheme="minorHAnsi" w:cstheme="minorHAnsi"/>
        <w:sz w:val="24"/>
        <w:szCs w:val="24"/>
        <w:lang w:eastAsia="es-CL"/>
      </w:rPr>
    </w:pPr>
    <w:r w:rsidRPr="005C43FE">
      <w:rPr>
        <w:rFonts w:asciiTheme="minorHAnsi" w:hAnsiTheme="minorHAnsi" w:cstheme="minorHAnsi"/>
        <w:sz w:val="24"/>
        <w:szCs w:val="24"/>
      </w:rPr>
      <w:t xml:space="preserve">Anexo </w:t>
    </w:r>
    <w:proofErr w:type="gramStart"/>
    <w:r w:rsidRPr="005C43FE">
      <w:rPr>
        <w:rFonts w:asciiTheme="minorHAnsi" w:hAnsiTheme="minorHAnsi" w:cstheme="minorHAnsi"/>
        <w:sz w:val="24"/>
        <w:szCs w:val="24"/>
      </w:rPr>
      <w:t>A.</w:t>
    </w:r>
    <w:r w:rsidR="005C43FE" w:rsidRPr="005C43FE">
      <w:rPr>
        <w:rFonts w:asciiTheme="minorHAnsi" w:hAnsiTheme="minorHAnsi" w:cstheme="minorHAnsi"/>
        <w:sz w:val="24"/>
        <w:szCs w:val="24"/>
      </w:rPr>
      <w:t xml:space="preserve">16  </w:t>
    </w:r>
    <w:r w:rsidR="005C43FE" w:rsidRPr="002538DC">
      <w:rPr>
        <w:rFonts w:asciiTheme="minorHAnsi" w:hAnsiTheme="minorHAnsi" w:cstheme="minorHAnsi"/>
        <w:sz w:val="24"/>
        <w:szCs w:val="24"/>
        <w:lang w:eastAsia="es-CL"/>
      </w:rPr>
      <w:t>PROCEDIMIENTO</w:t>
    </w:r>
    <w:proofErr w:type="gramEnd"/>
    <w:r w:rsidR="005C43FE" w:rsidRPr="002538DC">
      <w:rPr>
        <w:rFonts w:asciiTheme="minorHAnsi" w:hAnsiTheme="minorHAnsi" w:cstheme="minorHAnsi"/>
        <w:sz w:val="24"/>
        <w:szCs w:val="24"/>
        <w:lang w:eastAsia="es-CL"/>
      </w:rPr>
      <w:t xml:space="preserve"> DE GESTIÓN DE INCIDENTES</w:t>
    </w:r>
  </w:p>
  <w:p w14:paraId="490ECCA1" w14:textId="77777777" w:rsidR="005C43FE" w:rsidRPr="00255F0B" w:rsidRDefault="005C43FE" w:rsidP="00163C3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E42A9" w14:textId="77777777" w:rsidR="0048641B" w:rsidRPr="00255F0B" w:rsidRDefault="0048641B">
      <w:r w:rsidRPr="00255F0B">
        <w:separator/>
      </w:r>
    </w:p>
    <w:p w14:paraId="40401D0B" w14:textId="77777777" w:rsidR="0048641B" w:rsidRPr="00255F0B" w:rsidRDefault="0048641B"/>
    <w:p w14:paraId="76A70C0E" w14:textId="77777777" w:rsidR="0048641B" w:rsidRPr="00255F0B" w:rsidRDefault="0048641B"/>
    <w:p w14:paraId="018665DB" w14:textId="77777777" w:rsidR="0048641B" w:rsidRPr="00255F0B" w:rsidRDefault="0048641B" w:rsidP="00C1318C"/>
  </w:footnote>
  <w:footnote w:type="continuationSeparator" w:id="0">
    <w:p w14:paraId="048DF060" w14:textId="77777777" w:rsidR="0048641B" w:rsidRPr="00255F0B" w:rsidRDefault="0048641B">
      <w:r w:rsidRPr="00255F0B">
        <w:continuationSeparator/>
      </w:r>
    </w:p>
    <w:p w14:paraId="544B41AB" w14:textId="77777777" w:rsidR="0048641B" w:rsidRPr="00255F0B" w:rsidRDefault="0048641B"/>
    <w:p w14:paraId="66231473" w14:textId="77777777" w:rsidR="0048641B" w:rsidRPr="00255F0B" w:rsidRDefault="0048641B"/>
    <w:p w14:paraId="6AD46155" w14:textId="77777777" w:rsidR="0048641B" w:rsidRPr="00255F0B" w:rsidRDefault="0048641B"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255F0B" w:rsidRDefault="001637D6">
    <w:r w:rsidRPr="00255F0B">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18CE76"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E49"/>
    <w:multiLevelType w:val="hybridMultilevel"/>
    <w:tmpl w:val="5C162A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37C9F"/>
    <w:multiLevelType w:val="multilevel"/>
    <w:tmpl w:val="51C2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8D6743"/>
    <w:multiLevelType w:val="multilevel"/>
    <w:tmpl w:val="AAC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A0FFE"/>
    <w:multiLevelType w:val="multilevel"/>
    <w:tmpl w:val="7334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C0C70"/>
    <w:multiLevelType w:val="multilevel"/>
    <w:tmpl w:val="A1D2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6"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17043F"/>
    <w:multiLevelType w:val="multilevel"/>
    <w:tmpl w:val="266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35E6956"/>
    <w:multiLevelType w:val="hybridMultilevel"/>
    <w:tmpl w:val="B52045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F74F12"/>
    <w:multiLevelType w:val="multilevel"/>
    <w:tmpl w:val="62E0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1"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D60AA"/>
    <w:multiLevelType w:val="multilevel"/>
    <w:tmpl w:val="2BC8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CE4555"/>
    <w:multiLevelType w:val="multilevel"/>
    <w:tmpl w:val="3CF6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6"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8" w15:restartNumberingAfterBreak="0">
    <w:nsid w:val="66ED5DD3"/>
    <w:multiLevelType w:val="multilevel"/>
    <w:tmpl w:val="772E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4" w15:restartNumberingAfterBreak="0">
    <w:nsid w:val="742B70FD"/>
    <w:multiLevelType w:val="hybridMultilevel"/>
    <w:tmpl w:val="0E2E4B3A"/>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6"/>
  </w:num>
  <w:num w:numId="2" w16cid:durableId="74938854">
    <w:abstractNumId w:val="21"/>
  </w:num>
  <w:num w:numId="3" w16cid:durableId="1494763561">
    <w:abstractNumId w:val="19"/>
  </w:num>
  <w:num w:numId="4" w16cid:durableId="2135100286">
    <w:abstractNumId w:val="45"/>
  </w:num>
  <w:num w:numId="5" w16cid:durableId="1000818834">
    <w:abstractNumId w:val="25"/>
  </w:num>
  <w:num w:numId="6" w16cid:durableId="1632788525">
    <w:abstractNumId w:val="58"/>
  </w:num>
  <w:num w:numId="7" w16cid:durableId="1321421067">
    <w:abstractNumId w:val="41"/>
  </w:num>
  <w:num w:numId="8" w16cid:durableId="352341285">
    <w:abstractNumId w:val="47"/>
  </w:num>
  <w:num w:numId="9" w16cid:durableId="27727978">
    <w:abstractNumId w:val="38"/>
  </w:num>
  <w:num w:numId="10" w16cid:durableId="1859850961">
    <w:abstractNumId w:val="16"/>
  </w:num>
  <w:num w:numId="11" w16cid:durableId="1630670735">
    <w:abstractNumId w:val="23"/>
  </w:num>
  <w:num w:numId="12" w16cid:durableId="1692032352">
    <w:abstractNumId w:val="25"/>
  </w:num>
  <w:num w:numId="13" w16cid:durableId="1393849829">
    <w:abstractNumId w:val="25"/>
  </w:num>
  <w:num w:numId="14" w16cid:durableId="815293384">
    <w:abstractNumId w:val="25"/>
  </w:num>
  <w:num w:numId="15" w16cid:durableId="1977754839">
    <w:abstractNumId w:val="56"/>
  </w:num>
  <w:num w:numId="16" w16cid:durableId="240061859">
    <w:abstractNumId w:val="27"/>
  </w:num>
  <w:num w:numId="17" w16cid:durableId="1741440573">
    <w:abstractNumId w:val="42"/>
  </w:num>
  <w:num w:numId="18" w16cid:durableId="404303887">
    <w:abstractNumId w:val="28"/>
  </w:num>
  <w:num w:numId="19" w16cid:durableId="1072853763">
    <w:abstractNumId w:val="7"/>
  </w:num>
  <w:num w:numId="20" w16cid:durableId="888345100">
    <w:abstractNumId w:val="32"/>
  </w:num>
  <w:num w:numId="21" w16cid:durableId="2083486945">
    <w:abstractNumId w:val="35"/>
  </w:num>
  <w:num w:numId="22" w16cid:durableId="1412317948">
    <w:abstractNumId w:val="1"/>
  </w:num>
  <w:num w:numId="23" w16cid:durableId="1332220685">
    <w:abstractNumId w:val="53"/>
  </w:num>
  <w:num w:numId="24" w16cid:durableId="587539902">
    <w:abstractNumId w:val="57"/>
  </w:num>
  <w:num w:numId="25" w16cid:durableId="1814641950">
    <w:abstractNumId w:val="15"/>
  </w:num>
  <w:num w:numId="26" w16cid:durableId="805513463">
    <w:abstractNumId w:val="3"/>
  </w:num>
  <w:num w:numId="27" w16cid:durableId="1555776139">
    <w:abstractNumId w:val="60"/>
  </w:num>
  <w:num w:numId="28" w16cid:durableId="2123913244">
    <w:abstractNumId w:val="18"/>
  </w:num>
  <w:num w:numId="29" w16cid:durableId="874922778">
    <w:abstractNumId w:val="30"/>
  </w:num>
  <w:num w:numId="30" w16cid:durableId="1757896361">
    <w:abstractNumId w:val="6"/>
  </w:num>
  <w:num w:numId="31" w16cid:durableId="1888297015">
    <w:abstractNumId w:val="25"/>
  </w:num>
  <w:num w:numId="32" w16cid:durableId="1875121296">
    <w:abstractNumId w:val="25"/>
  </w:num>
  <w:num w:numId="33" w16cid:durableId="711199856">
    <w:abstractNumId w:val="25"/>
  </w:num>
  <w:num w:numId="34" w16cid:durableId="1914506562">
    <w:abstractNumId w:val="25"/>
  </w:num>
  <w:num w:numId="35" w16cid:durableId="1030836293">
    <w:abstractNumId w:val="50"/>
  </w:num>
  <w:num w:numId="36" w16cid:durableId="674503644">
    <w:abstractNumId w:val="14"/>
  </w:num>
  <w:num w:numId="37" w16cid:durableId="1888105176">
    <w:abstractNumId w:val="59"/>
  </w:num>
  <w:num w:numId="38" w16cid:durableId="342171148">
    <w:abstractNumId w:val="20"/>
  </w:num>
  <w:num w:numId="39" w16cid:durableId="1308512191">
    <w:abstractNumId w:val="49"/>
  </w:num>
  <w:num w:numId="40" w16cid:durableId="751203121">
    <w:abstractNumId w:val="9"/>
  </w:num>
  <w:num w:numId="41" w16cid:durableId="1001616379">
    <w:abstractNumId w:val="52"/>
  </w:num>
  <w:num w:numId="42" w16cid:durableId="157235028">
    <w:abstractNumId w:val="36"/>
  </w:num>
  <w:num w:numId="43" w16cid:durableId="1076974531">
    <w:abstractNumId w:val="34"/>
  </w:num>
  <w:num w:numId="44" w16cid:durableId="908157133">
    <w:abstractNumId w:val="11"/>
  </w:num>
  <w:num w:numId="45" w16cid:durableId="1528714069">
    <w:abstractNumId w:val="51"/>
  </w:num>
  <w:num w:numId="46" w16cid:durableId="1350448151">
    <w:abstractNumId w:val="43"/>
  </w:num>
  <w:num w:numId="47" w16cid:durableId="134489178">
    <w:abstractNumId w:val="31"/>
  </w:num>
  <w:num w:numId="48" w16cid:durableId="904069908">
    <w:abstractNumId w:val="39"/>
  </w:num>
  <w:num w:numId="49" w16cid:durableId="876355981">
    <w:abstractNumId w:val="24"/>
  </w:num>
  <w:num w:numId="50" w16cid:durableId="1270042179">
    <w:abstractNumId w:val="44"/>
  </w:num>
  <w:num w:numId="51" w16cid:durableId="610477338">
    <w:abstractNumId w:val="10"/>
  </w:num>
  <w:num w:numId="52" w16cid:durableId="1976401646">
    <w:abstractNumId w:val="5"/>
  </w:num>
  <w:num w:numId="53" w16cid:durableId="1718821827">
    <w:abstractNumId w:val="33"/>
  </w:num>
  <w:num w:numId="54" w16cid:durableId="404844148">
    <w:abstractNumId w:val="8"/>
  </w:num>
  <w:num w:numId="55" w16cid:durableId="819855879">
    <w:abstractNumId w:val="26"/>
  </w:num>
  <w:num w:numId="56" w16cid:durableId="362633569">
    <w:abstractNumId w:val="55"/>
  </w:num>
  <w:num w:numId="57" w16cid:durableId="1414161780">
    <w:abstractNumId w:val="12"/>
  </w:num>
  <w:num w:numId="58" w16cid:durableId="639580846">
    <w:abstractNumId w:val="22"/>
  </w:num>
  <w:num w:numId="59" w16cid:durableId="1991902499">
    <w:abstractNumId w:val="17"/>
  </w:num>
  <w:num w:numId="60" w16cid:durableId="1995332025">
    <w:abstractNumId w:val="13"/>
  </w:num>
  <w:num w:numId="61" w16cid:durableId="1515069365">
    <w:abstractNumId w:val="48"/>
  </w:num>
  <w:num w:numId="62" w16cid:durableId="1107896000">
    <w:abstractNumId w:val="2"/>
  </w:num>
  <w:num w:numId="63" w16cid:durableId="2057660247">
    <w:abstractNumId w:val="37"/>
  </w:num>
  <w:num w:numId="64" w16cid:durableId="1014651172">
    <w:abstractNumId w:val="0"/>
  </w:num>
  <w:num w:numId="65" w16cid:durableId="621687557">
    <w:abstractNumId w:val="40"/>
  </w:num>
  <w:num w:numId="66" w16cid:durableId="67312319">
    <w:abstractNumId w:val="4"/>
  </w:num>
  <w:num w:numId="67" w16cid:durableId="1990742596">
    <w:abstractNumId w:val="29"/>
  </w:num>
  <w:num w:numId="68" w16cid:durableId="2043167504">
    <w:abstractNumId w:val="5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3C8A"/>
    <w:rsid w:val="00144BDA"/>
    <w:rsid w:val="00147917"/>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3FC8"/>
    <w:rsid w:val="00224E89"/>
    <w:rsid w:val="00227273"/>
    <w:rsid w:val="00230A23"/>
    <w:rsid w:val="00230A89"/>
    <w:rsid w:val="00231843"/>
    <w:rsid w:val="00232E68"/>
    <w:rsid w:val="00236E88"/>
    <w:rsid w:val="00246B1E"/>
    <w:rsid w:val="0025101A"/>
    <w:rsid w:val="00252F0C"/>
    <w:rsid w:val="002538DC"/>
    <w:rsid w:val="00253F35"/>
    <w:rsid w:val="00255005"/>
    <w:rsid w:val="00255F0B"/>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37CFB"/>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0442"/>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641B"/>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C43FE"/>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061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D4AF8"/>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474F"/>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209F"/>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10F1"/>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0A0B644A-4501-4C5D-9C19-2A2FA881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73322309">
      <w:bodyDiv w:val="1"/>
      <w:marLeft w:val="0"/>
      <w:marRight w:val="0"/>
      <w:marTop w:val="0"/>
      <w:marBottom w:val="0"/>
      <w:divBdr>
        <w:top w:val="none" w:sz="0" w:space="0" w:color="auto"/>
        <w:left w:val="none" w:sz="0" w:space="0" w:color="auto"/>
        <w:bottom w:val="none" w:sz="0" w:space="0" w:color="auto"/>
        <w:right w:val="none" w:sz="0" w:space="0" w:color="auto"/>
      </w:divBdr>
      <w:divsChild>
        <w:div w:id="360786581">
          <w:marLeft w:val="0"/>
          <w:marRight w:val="0"/>
          <w:marTop w:val="0"/>
          <w:marBottom w:val="0"/>
          <w:divBdr>
            <w:top w:val="none" w:sz="0" w:space="0" w:color="auto"/>
            <w:left w:val="none" w:sz="0" w:space="0" w:color="auto"/>
            <w:bottom w:val="none" w:sz="0" w:space="0" w:color="auto"/>
            <w:right w:val="none" w:sz="0" w:space="0" w:color="auto"/>
          </w:divBdr>
        </w:div>
      </w:divsChild>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19726319">
      <w:bodyDiv w:val="1"/>
      <w:marLeft w:val="0"/>
      <w:marRight w:val="0"/>
      <w:marTop w:val="0"/>
      <w:marBottom w:val="0"/>
      <w:divBdr>
        <w:top w:val="none" w:sz="0" w:space="0" w:color="auto"/>
        <w:left w:val="none" w:sz="0" w:space="0" w:color="auto"/>
        <w:bottom w:val="none" w:sz="0" w:space="0" w:color="auto"/>
        <w:right w:val="none" w:sz="0" w:space="0" w:color="auto"/>
      </w:divBdr>
    </w:div>
    <w:div w:id="1323465368">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84255762">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23288986">
      <w:bodyDiv w:val="1"/>
      <w:marLeft w:val="0"/>
      <w:marRight w:val="0"/>
      <w:marTop w:val="0"/>
      <w:marBottom w:val="0"/>
      <w:divBdr>
        <w:top w:val="none" w:sz="0" w:space="0" w:color="auto"/>
        <w:left w:val="none" w:sz="0" w:space="0" w:color="auto"/>
        <w:bottom w:val="none" w:sz="0" w:space="0" w:color="auto"/>
        <w:right w:val="none" w:sz="0" w:space="0" w:color="auto"/>
      </w:divBdr>
      <w:divsChild>
        <w:div w:id="636564891">
          <w:marLeft w:val="0"/>
          <w:marRight w:val="0"/>
          <w:marTop w:val="0"/>
          <w:marBottom w:val="0"/>
          <w:divBdr>
            <w:top w:val="none" w:sz="0" w:space="0" w:color="auto"/>
            <w:left w:val="none" w:sz="0" w:space="0" w:color="auto"/>
            <w:bottom w:val="none" w:sz="0" w:space="0" w:color="auto"/>
            <w:right w:val="none" w:sz="0" w:space="0" w:color="auto"/>
          </w:divBdr>
        </w:div>
      </w:divsChild>
    </w:div>
    <w:div w:id="1723752803">
      <w:bodyDiv w:val="1"/>
      <w:marLeft w:val="0"/>
      <w:marRight w:val="0"/>
      <w:marTop w:val="0"/>
      <w:marBottom w:val="0"/>
      <w:divBdr>
        <w:top w:val="none" w:sz="0" w:space="0" w:color="auto"/>
        <w:left w:val="none" w:sz="0" w:space="0" w:color="auto"/>
        <w:bottom w:val="none" w:sz="0" w:space="0" w:color="auto"/>
        <w:right w:val="none" w:sz="0" w:space="0" w:color="auto"/>
      </w:divBdr>
      <w:divsChild>
        <w:div w:id="1064181176">
          <w:marLeft w:val="0"/>
          <w:marRight w:val="0"/>
          <w:marTop w:val="0"/>
          <w:marBottom w:val="0"/>
          <w:divBdr>
            <w:top w:val="none" w:sz="0" w:space="0" w:color="auto"/>
            <w:left w:val="none" w:sz="0" w:space="0" w:color="auto"/>
            <w:bottom w:val="none" w:sz="0" w:space="0" w:color="auto"/>
            <w:right w:val="none" w:sz="0" w:space="0" w:color="auto"/>
          </w:divBdr>
        </w:div>
        <w:div w:id="1176654913">
          <w:marLeft w:val="0"/>
          <w:marRight w:val="0"/>
          <w:marTop w:val="0"/>
          <w:marBottom w:val="0"/>
          <w:divBdr>
            <w:top w:val="none" w:sz="0" w:space="0" w:color="auto"/>
            <w:left w:val="none" w:sz="0" w:space="0" w:color="auto"/>
            <w:bottom w:val="none" w:sz="0" w:space="0" w:color="auto"/>
            <w:right w:val="none" w:sz="0" w:space="0" w:color="auto"/>
          </w:divBdr>
        </w:div>
      </w:divsChild>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889680432">
      <w:bodyDiv w:val="1"/>
      <w:marLeft w:val="0"/>
      <w:marRight w:val="0"/>
      <w:marTop w:val="0"/>
      <w:marBottom w:val="0"/>
      <w:divBdr>
        <w:top w:val="none" w:sz="0" w:space="0" w:color="auto"/>
        <w:left w:val="none" w:sz="0" w:space="0" w:color="auto"/>
        <w:bottom w:val="none" w:sz="0" w:space="0" w:color="auto"/>
        <w:right w:val="none" w:sz="0" w:space="0" w:color="auto"/>
      </w:divBdr>
      <w:divsChild>
        <w:div w:id="687409159">
          <w:marLeft w:val="0"/>
          <w:marRight w:val="0"/>
          <w:marTop w:val="0"/>
          <w:marBottom w:val="0"/>
          <w:divBdr>
            <w:top w:val="none" w:sz="0" w:space="0" w:color="auto"/>
            <w:left w:val="none" w:sz="0" w:space="0" w:color="auto"/>
            <w:bottom w:val="none" w:sz="0" w:space="0" w:color="auto"/>
            <w:right w:val="none" w:sz="0" w:space="0" w:color="auto"/>
          </w:divBdr>
        </w:div>
      </w:divsChild>
    </w:div>
    <w:div w:id="1895383459">
      <w:bodyDiv w:val="1"/>
      <w:marLeft w:val="0"/>
      <w:marRight w:val="0"/>
      <w:marTop w:val="0"/>
      <w:marBottom w:val="0"/>
      <w:divBdr>
        <w:top w:val="none" w:sz="0" w:space="0" w:color="auto"/>
        <w:left w:val="none" w:sz="0" w:space="0" w:color="auto"/>
        <w:bottom w:val="none" w:sz="0" w:space="0" w:color="auto"/>
        <w:right w:val="none" w:sz="0" w:space="0" w:color="auto"/>
      </w:divBdr>
    </w:div>
    <w:div w:id="1930699907">
      <w:bodyDiv w:val="1"/>
      <w:marLeft w:val="0"/>
      <w:marRight w:val="0"/>
      <w:marTop w:val="0"/>
      <w:marBottom w:val="0"/>
      <w:divBdr>
        <w:top w:val="none" w:sz="0" w:space="0" w:color="auto"/>
        <w:left w:val="none" w:sz="0" w:space="0" w:color="auto"/>
        <w:bottom w:val="none" w:sz="0" w:space="0" w:color="auto"/>
        <w:right w:val="none" w:sz="0" w:space="0" w:color="auto"/>
      </w:divBdr>
      <w:divsChild>
        <w:div w:id="1347057536">
          <w:marLeft w:val="0"/>
          <w:marRight w:val="0"/>
          <w:marTop w:val="0"/>
          <w:marBottom w:val="0"/>
          <w:divBdr>
            <w:top w:val="none" w:sz="0" w:space="0" w:color="auto"/>
            <w:left w:val="none" w:sz="0" w:space="0" w:color="auto"/>
            <w:bottom w:val="none" w:sz="0" w:space="0" w:color="auto"/>
            <w:right w:val="none" w:sz="0" w:space="0" w:color="auto"/>
          </w:divBdr>
        </w:div>
      </w:divsChild>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C466F"/>
    <w:rsid w:val="00263F00"/>
    <w:rsid w:val="00363C37"/>
    <w:rsid w:val="00383C66"/>
    <w:rsid w:val="00383C88"/>
    <w:rsid w:val="00390CD5"/>
    <w:rsid w:val="00437353"/>
    <w:rsid w:val="00483F4E"/>
    <w:rsid w:val="004F1616"/>
    <w:rsid w:val="00503E58"/>
    <w:rsid w:val="005910A7"/>
    <w:rsid w:val="00611E4E"/>
    <w:rsid w:val="006C7BDF"/>
    <w:rsid w:val="00737BAE"/>
    <w:rsid w:val="00871B28"/>
    <w:rsid w:val="00912671"/>
    <w:rsid w:val="00930D52"/>
    <w:rsid w:val="009C1F3E"/>
    <w:rsid w:val="00B63AF7"/>
    <w:rsid w:val="00B92933"/>
    <w:rsid w:val="00C81A8B"/>
    <w:rsid w:val="00C9474F"/>
    <w:rsid w:val="00D23467"/>
    <w:rsid w:val="00D36B5D"/>
    <w:rsid w:val="00E74BE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3264</Words>
  <Characters>17952</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21174</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 SEBASTIAN SEGURA PAEZ</dc:creator>
  <cp:keywords/>
  <dc:description/>
  <cp:lastModifiedBy>Beasociado</cp:lastModifiedBy>
  <cp:revision>4</cp:revision>
  <cp:lastPrinted>2016-07-27T15:25:00Z</cp:lastPrinted>
  <dcterms:created xsi:type="dcterms:W3CDTF">2025-02-15T19:32:00Z</dcterms:created>
  <dcterms:modified xsi:type="dcterms:W3CDTF">2025-02-15T21:02:00Z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