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6C52A6" w:rsidRDefault="00657883" w:rsidP="00D02999">
      <w:pPr>
        <w:jc w:val="both"/>
        <w:rPr>
          <w:rFonts w:asciiTheme="minorHAnsi" w:hAnsiTheme="minorHAnsi" w:cstheme="minorHAnsi"/>
        </w:rPr>
      </w:pPr>
    </w:p>
    <w:p w14:paraId="7415A3EE" w14:textId="77777777" w:rsidR="001705EC" w:rsidRPr="006C52A6" w:rsidRDefault="001705EC" w:rsidP="00D02999">
      <w:pPr>
        <w:jc w:val="both"/>
        <w:rPr>
          <w:rFonts w:asciiTheme="minorHAnsi" w:hAnsiTheme="minorHAnsi" w:cstheme="minorHAnsi"/>
          <w:sz w:val="44"/>
          <w:szCs w:val="44"/>
        </w:rPr>
      </w:pPr>
    </w:p>
    <w:p w14:paraId="7D3EE362" w14:textId="77777777" w:rsidR="001705EC" w:rsidRPr="006C52A6" w:rsidRDefault="001705EC" w:rsidP="00D02999">
      <w:pPr>
        <w:jc w:val="both"/>
        <w:rPr>
          <w:rFonts w:asciiTheme="minorHAnsi" w:hAnsiTheme="minorHAnsi" w:cstheme="minorHAnsi"/>
          <w:sz w:val="44"/>
          <w:szCs w:val="44"/>
        </w:rPr>
      </w:pPr>
    </w:p>
    <w:p w14:paraId="3D15C9EA" w14:textId="0F227E75" w:rsidR="006C52A6" w:rsidRPr="006C52A6" w:rsidRDefault="00452E7F" w:rsidP="006C52A6">
      <w:pPr>
        <w:spacing w:after="0"/>
        <w:ind w:left="1900" w:firstLine="380"/>
        <w:jc w:val="both"/>
        <w:rPr>
          <w:rFonts w:asciiTheme="minorHAnsi" w:hAnsiTheme="minorHAnsi" w:cstheme="minorHAnsi"/>
          <w:b/>
          <w:bCs/>
        </w:rPr>
      </w:pPr>
      <w:r w:rsidRPr="006C52A6">
        <w:rPr>
          <w:rFonts w:ascii="Calibri" w:hAnsi="Calibri" w:cs="Calibri"/>
          <w:szCs w:val="22"/>
        </w:rPr>
        <w:t>Anexo A.</w:t>
      </w:r>
      <w:r w:rsidR="006C52A6" w:rsidRPr="006C52A6">
        <w:rPr>
          <w:rFonts w:ascii="Calibri" w:hAnsi="Calibri" w:cs="Calibri"/>
          <w:szCs w:val="22"/>
        </w:rPr>
        <w:t>17</w:t>
      </w:r>
      <w:r w:rsidRPr="006C52A6">
        <w:rPr>
          <w:rFonts w:ascii="Calibri" w:hAnsi="Calibri" w:cs="Calibri"/>
          <w:szCs w:val="22"/>
        </w:rPr>
        <w:t xml:space="preserve">   </w:t>
      </w:r>
      <w:r w:rsidR="006C52A6" w:rsidRPr="006C52A6">
        <w:rPr>
          <w:rFonts w:asciiTheme="minorHAnsi" w:hAnsiTheme="minorHAnsi" w:cstheme="minorHAnsi"/>
          <w:b/>
          <w:bCs/>
        </w:rPr>
        <w:t>Política de Gestión de Continuidad del Negocio</w:t>
      </w:r>
    </w:p>
    <w:p w14:paraId="0AC9AFE7" w14:textId="07EFF625" w:rsidR="00452E7F" w:rsidRPr="006C52A6" w:rsidRDefault="00452E7F" w:rsidP="00452E7F">
      <w:pPr>
        <w:spacing w:after="0"/>
        <w:ind w:left="1900" w:firstLine="380"/>
        <w:jc w:val="both"/>
        <w:rPr>
          <w:rFonts w:asciiTheme="minorHAnsi" w:hAnsiTheme="minorHAnsi" w:cstheme="minorHAnsi"/>
          <w:b/>
          <w:bCs/>
          <w:sz w:val="24"/>
          <w:szCs w:val="24"/>
        </w:rPr>
      </w:pPr>
    </w:p>
    <w:p w14:paraId="30FD80A7" w14:textId="77777777" w:rsidR="006533BC" w:rsidRPr="006C52A6"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25"/>
        <w:gridCol w:w="1513"/>
        <w:gridCol w:w="1716"/>
        <w:gridCol w:w="2196"/>
        <w:gridCol w:w="986"/>
        <w:gridCol w:w="2132"/>
      </w:tblGrid>
      <w:tr w:rsidR="00452E7F" w:rsidRPr="006C52A6" w14:paraId="273B0C4B" w14:textId="77777777" w:rsidTr="00D02A7F">
        <w:tc>
          <w:tcPr>
            <w:tcW w:w="1908" w:type="dxa"/>
            <w:shd w:val="clear" w:color="auto" w:fill="D9D9D9" w:themeFill="background1" w:themeFillShade="D9"/>
          </w:tcPr>
          <w:p w14:paraId="083D5C51"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Descripción</w:t>
            </w:r>
          </w:p>
        </w:tc>
      </w:tr>
      <w:tr w:rsidR="00452E7F" w:rsidRPr="006C52A6" w14:paraId="23D5C307" w14:textId="77777777" w:rsidTr="00D02A7F">
        <w:tc>
          <w:tcPr>
            <w:tcW w:w="1908" w:type="dxa"/>
          </w:tcPr>
          <w:p w14:paraId="1F536261" w14:textId="77777777" w:rsidR="001705EC" w:rsidRPr="006C52A6" w:rsidRDefault="001705EC" w:rsidP="00D02999">
            <w:pPr>
              <w:jc w:val="both"/>
              <w:rPr>
                <w:rFonts w:asciiTheme="minorHAnsi" w:hAnsiTheme="minorHAnsi" w:cstheme="minorHAnsi"/>
                <w:sz w:val="24"/>
                <w:szCs w:val="24"/>
              </w:rPr>
            </w:pPr>
            <w:bookmarkStart w:id="0" w:name="_Hlk187601937"/>
            <w:r w:rsidRPr="006C52A6">
              <w:rPr>
                <w:rFonts w:asciiTheme="minorHAnsi" w:hAnsiTheme="minorHAnsi" w:cstheme="minorHAnsi"/>
                <w:sz w:val="24"/>
                <w:szCs w:val="24"/>
              </w:rPr>
              <w:t>V1.0</w:t>
            </w:r>
          </w:p>
        </w:tc>
        <w:tc>
          <w:tcPr>
            <w:tcW w:w="1570" w:type="dxa"/>
          </w:tcPr>
          <w:p w14:paraId="5CF1E181" w14:textId="23D50EDA" w:rsidR="001705EC" w:rsidRPr="006C52A6" w:rsidRDefault="001637D6" w:rsidP="00D02999">
            <w:pPr>
              <w:jc w:val="both"/>
              <w:rPr>
                <w:rFonts w:asciiTheme="minorHAnsi" w:hAnsiTheme="minorHAnsi" w:cstheme="minorHAnsi"/>
                <w:sz w:val="24"/>
                <w:szCs w:val="24"/>
              </w:rPr>
            </w:pPr>
            <w:r w:rsidRPr="006C52A6">
              <w:rPr>
                <w:rFonts w:asciiTheme="minorHAnsi" w:hAnsiTheme="minorHAnsi" w:cstheme="minorHAnsi"/>
                <w:sz w:val="24"/>
                <w:szCs w:val="24"/>
              </w:rPr>
              <w:t>Auditorex Chile</w:t>
            </w:r>
          </w:p>
        </w:tc>
        <w:tc>
          <w:tcPr>
            <w:tcW w:w="1810" w:type="dxa"/>
          </w:tcPr>
          <w:p w14:paraId="48DCB9A0" w14:textId="77777777" w:rsidR="001637D6" w:rsidRPr="006C52A6" w:rsidRDefault="001637D6" w:rsidP="00D02999">
            <w:pPr>
              <w:jc w:val="both"/>
              <w:rPr>
                <w:rFonts w:asciiTheme="minorHAnsi" w:hAnsiTheme="minorHAnsi" w:cstheme="minorHAnsi"/>
                <w:sz w:val="24"/>
                <w:szCs w:val="24"/>
              </w:rPr>
            </w:pPr>
            <w:r w:rsidRPr="006C52A6">
              <w:rPr>
                <w:rFonts w:asciiTheme="minorHAnsi" w:hAnsiTheme="minorHAnsi" w:cstheme="minorHAnsi"/>
                <w:sz w:val="24"/>
                <w:szCs w:val="24"/>
              </w:rPr>
              <w:t>Mauricio Antonio Colomera Villarroel</w:t>
            </w:r>
          </w:p>
          <w:p w14:paraId="4664E988" w14:textId="77777777" w:rsidR="001705EC" w:rsidRPr="006C52A6" w:rsidRDefault="001705EC" w:rsidP="00D02999">
            <w:pPr>
              <w:jc w:val="both"/>
              <w:rPr>
                <w:rFonts w:asciiTheme="minorHAnsi" w:hAnsiTheme="minorHAnsi" w:cstheme="minorHAnsi"/>
                <w:sz w:val="24"/>
                <w:szCs w:val="24"/>
              </w:rPr>
            </w:pPr>
          </w:p>
        </w:tc>
        <w:tc>
          <w:tcPr>
            <w:tcW w:w="1811" w:type="dxa"/>
          </w:tcPr>
          <w:p w14:paraId="285FCDD1" w14:textId="0FAEB9DF" w:rsidR="001705EC" w:rsidRPr="006C52A6" w:rsidRDefault="00452E7F" w:rsidP="00D02999">
            <w:pPr>
              <w:jc w:val="both"/>
              <w:rPr>
                <w:rFonts w:asciiTheme="minorHAnsi" w:hAnsiTheme="minorHAnsi" w:cstheme="minorHAnsi"/>
                <w:sz w:val="24"/>
                <w:szCs w:val="24"/>
              </w:rPr>
            </w:pPr>
            <w:r w:rsidRPr="006C52A6">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6C52A6" w:rsidRDefault="00D02999" w:rsidP="00D02999">
            <w:pPr>
              <w:jc w:val="both"/>
              <w:rPr>
                <w:rFonts w:asciiTheme="minorHAnsi" w:hAnsiTheme="minorHAnsi" w:cstheme="minorHAnsi"/>
                <w:szCs w:val="22"/>
              </w:rPr>
            </w:pPr>
            <w:r w:rsidRPr="006C52A6">
              <w:rPr>
                <w:rFonts w:asciiTheme="minorHAnsi" w:hAnsiTheme="minorHAnsi" w:cstheme="minorHAnsi"/>
                <w:szCs w:val="22"/>
              </w:rPr>
              <w:t>12-01-2024</w:t>
            </w:r>
          </w:p>
        </w:tc>
        <w:tc>
          <w:tcPr>
            <w:tcW w:w="2250" w:type="dxa"/>
          </w:tcPr>
          <w:p w14:paraId="7B6B802C"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t>Política de Gestión de Continuidad del Negocio</w:t>
            </w:r>
          </w:p>
          <w:p w14:paraId="6401603C" w14:textId="33DFF191" w:rsidR="001705EC" w:rsidRPr="006C52A6" w:rsidRDefault="001705EC" w:rsidP="00A80114">
            <w:pPr>
              <w:pStyle w:val="NormalWeb"/>
              <w:rPr>
                <w:rFonts w:asciiTheme="minorHAnsi" w:hAnsiTheme="minorHAnsi" w:cstheme="minorHAnsi"/>
                <w:lang w:val="es-CL"/>
              </w:rPr>
            </w:pPr>
          </w:p>
        </w:tc>
      </w:tr>
      <w:bookmarkEnd w:id="0"/>
      <w:tr w:rsidR="00452E7F" w:rsidRPr="006C52A6" w14:paraId="2A38A0FB" w14:textId="77777777" w:rsidTr="00D02A7F">
        <w:tc>
          <w:tcPr>
            <w:tcW w:w="1908" w:type="dxa"/>
          </w:tcPr>
          <w:p w14:paraId="5AA7A63A" w14:textId="77777777" w:rsidR="001705EC" w:rsidRPr="006C52A6" w:rsidRDefault="001705EC" w:rsidP="00D02999">
            <w:pPr>
              <w:jc w:val="both"/>
              <w:rPr>
                <w:rFonts w:asciiTheme="minorHAnsi" w:hAnsiTheme="minorHAnsi" w:cstheme="minorHAnsi"/>
                <w:sz w:val="24"/>
                <w:szCs w:val="24"/>
              </w:rPr>
            </w:pPr>
          </w:p>
        </w:tc>
        <w:tc>
          <w:tcPr>
            <w:tcW w:w="1570" w:type="dxa"/>
          </w:tcPr>
          <w:p w14:paraId="6CA0F23C" w14:textId="77777777" w:rsidR="001705EC" w:rsidRPr="006C52A6" w:rsidRDefault="001705EC" w:rsidP="00D02999">
            <w:pPr>
              <w:jc w:val="both"/>
              <w:rPr>
                <w:rFonts w:asciiTheme="minorHAnsi" w:hAnsiTheme="minorHAnsi" w:cstheme="minorHAnsi"/>
                <w:sz w:val="24"/>
                <w:szCs w:val="24"/>
              </w:rPr>
            </w:pPr>
          </w:p>
        </w:tc>
        <w:tc>
          <w:tcPr>
            <w:tcW w:w="1810" w:type="dxa"/>
          </w:tcPr>
          <w:p w14:paraId="7579C89A" w14:textId="77777777" w:rsidR="001705EC" w:rsidRPr="006C52A6" w:rsidRDefault="001705EC" w:rsidP="00D02999">
            <w:pPr>
              <w:jc w:val="both"/>
              <w:rPr>
                <w:rFonts w:asciiTheme="minorHAnsi" w:hAnsiTheme="minorHAnsi" w:cstheme="minorHAnsi"/>
                <w:sz w:val="24"/>
                <w:szCs w:val="24"/>
              </w:rPr>
            </w:pPr>
          </w:p>
        </w:tc>
        <w:tc>
          <w:tcPr>
            <w:tcW w:w="1811" w:type="dxa"/>
          </w:tcPr>
          <w:p w14:paraId="5C11AFDC" w14:textId="77777777" w:rsidR="001705EC" w:rsidRPr="006C52A6" w:rsidRDefault="001705EC" w:rsidP="00D02999">
            <w:pPr>
              <w:jc w:val="both"/>
              <w:rPr>
                <w:rFonts w:asciiTheme="minorHAnsi" w:hAnsiTheme="minorHAnsi" w:cstheme="minorHAnsi"/>
                <w:sz w:val="24"/>
                <w:szCs w:val="24"/>
              </w:rPr>
            </w:pPr>
          </w:p>
        </w:tc>
        <w:tc>
          <w:tcPr>
            <w:tcW w:w="1019" w:type="dxa"/>
          </w:tcPr>
          <w:p w14:paraId="2D9464C3" w14:textId="77777777" w:rsidR="001705EC" w:rsidRPr="006C52A6" w:rsidRDefault="001705EC" w:rsidP="00D02999">
            <w:pPr>
              <w:jc w:val="both"/>
              <w:rPr>
                <w:rFonts w:asciiTheme="minorHAnsi" w:hAnsiTheme="minorHAnsi" w:cstheme="minorHAnsi"/>
                <w:sz w:val="24"/>
                <w:szCs w:val="24"/>
              </w:rPr>
            </w:pPr>
          </w:p>
        </w:tc>
        <w:tc>
          <w:tcPr>
            <w:tcW w:w="2250" w:type="dxa"/>
          </w:tcPr>
          <w:p w14:paraId="30EA5E83" w14:textId="77777777" w:rsidR="001705EC" w:rsidRPr="006C52A6" w:rsidRDefault="001705EC" w:rsidP="00D02999">
            <w:pPr>
              <w:jc w:val="both"/>
              <w:rPr>
                <w:rFonts w:asciiTheme="minorHAnsi" w:hAnsiTheme="minorHAnsi" w:cstheme="minorHAnsi"/>
                <w:sz w:val="24"/>
                <w:szCs w:val="24"/>
              </w:rPr>
            </w:pPr>
          </w:p>
        </w:tc>
      </w:tr>
      <w:tr w:rsidR="00452E7F" w:rsidRPr="006C52A6" w14:paraId="5D084FF7" w14:textId="77777777" w:rsidTr="00D02A7F">
        <w:tc>
          <w:tcPr>
            <w:tcW w:w="1908" w:type="dxa"/>
          </w:tcPr>
          <w:p w14:paraId="59848B68" w14:textId="77777777" w:rsidR="001705EC" w:rsidRPr="006C52A6" w:rsidRDefault="001705EC" w:rsidP="00D02999">
            <w:pPr>
              <w:jc w:val="both"/>
              <w:rPr>
                <w:rFonts w:asciiTheme="minorHAnsi" w:hAnsiTheme="minorHAnsi" w:cstheme="minorHAnsi"/>
                <w:sz w:val="24"/>
                <w:szCs w:val="24"/>
              </w:rPr>
            </w:pPr>
          </w:p>
        </w:tc>
        <w:tc>
          <w:tcPr>
            <w:tcW w:w="1570" w:type="dxa"/>
          </w:tcPr>
          <w:p w14:paraId="4CE506E6" w14:textId="77777777" w:rsidR="001705EC" w:rsidRPr="006C52A6" w:rsidRDefault="001705EC" w:rsidP="00D02999">
            <w:pPr>
              <w:jc w:val="both"/>
              <w:rPr>
                <w:rFonts w:asciiTheme="minorHAnsi" w:hAnsiTheme="minorHAnsi" w:cstheme="minorHAnsi"/>
                <w:sz w:val="24"/>
                <w:szCs w:val="24"/>
              </w:rPr>
            </w:pPr>
          </w:p>
        </w:tc>
        <w:tc>
          <w:tcPr>
            <w:tcW w:w="1810" w:type="dxa"/>
          </w:tcPr>
          <w:p w14:paraId="09467189" w14:textId="77777777" w:rsidR="001705EC" w:rsidRPr="006C52A6" w:rsidRDefault="001705EC" w:rsidP="00D02999">
            <w:pPr>
              <w:jc w:val="both"/>
              <w:rPr>
                <w:rFonts w:asciiTheme="minorHAnsi" w:hAnsiTheme="minorHAnsi" w:cstheme="minorHAnsi"/>
                <w:sz w:val="24"/>
                <w:szCs w:val="24"/>
              </w:rPr>
            </w:pPr>
          </w:p>
        </w:tc>
        <w:tc>
          <w:tcPr>
            <w:tcW w:w="1811" w:type="dxa"/>
          </w:tcPr>
          <w:p w14:paraId="6E7E4F49" w14:textId="77777777" w:rsidR="001705EC" w:rsidRPr="006C52A6" w:rsidRDefault="001705EC" w:rsidP="00D02999">
            <w:pPr>
              <w:jc w:val="both"/>
              <w:rPr>
                <w:rFonts w:asciiTheme="minorHAnsi" w:hAnsiTheme="minorHAnsi" w:cstheme="minorHAnsi"/>
                <w:sz w:val="24"/>
                <w:szCs w:val="24"/>
              </w:rPr>
            </w:pPr>
          </w:p>
        </w:tc>
        <w:tc>
          <w:tcPr>
            <w:tcW w:w="1019" w:type="dxa"/>
          </w:tcPr>
          <w:p w14:paraId="7EB49E66" w14:textId="77777777" w:rsidR="001705EC" w:rsidRPr="006C52A6" w:rsidRDefault="001705EC" w:rsidP="00D02999">
            <w:pPr>
              <w:jc w:val="both"/>
              <w:rPr>
                <w:rFonts w:asciiTheme="minorHAnsi" w:hAnsiTheme="minorHAnsi" w:cstheme="minorHAnsi"/>
                <w:sz w:val="24"/>
                <w:szCs w:val="24"/>
              </w:rPr>
            </w:pPr>
          </w:p>
        </w:tc>
        <w:tc>
          <w:tcPr>
            <w:tcW w:w="2250" w:type="dxa"/>
          </w:tcPr>
          <w:p w14:paraId="722DAB0F" w14:textId="77777777" w:rsidR="001705EC" w:rsidRPr="006C52A6" w:rsidRDefault="001705EC" w:rsidP="00D02999">
            <w:pPr>
              <w:jc w:val="both"/>
              <w:rPr>
                <w:rFonts w:asciiTheme="minorHAnsi" w:hAnsiTheme="minorHAnsi" w:cstheme="minorHAnsi"/>
                <w:sz w:val="24"/>
                <w:szCs w:val="24"/>
              </w:rPr>
            </w:pPr>
          </w:p>
        </w:tc>
      </w:tr>
      <w:tr w:rsidR="001705EC" w:rsidRPr="006C52A6" w14:paraId="7875EE64" w14:textId="77777777" w:rsidTr="00D02A7F">
        <w:tc>
          <w:tcPr>
            <w:tcW w:w="1908" w:type="dxa"/>
            <w:shd w:val="clear" w:color="auto" w:fill="D9D9D9" w:themeFill="background1" w:themeFillShade="D9"/>
          </w:tcPr>
          <w:p w14:paraId="22F097C4" w14:textId="77777777"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Número de referencia del documento</w:t>
            </w:r>
          </w:p>
        </w:tc>
        <w:tc>
          <w:tcPr>
            <w:tcW w:w="3380" w:type="dxa"/>
            <w:gridSpan w:val="2"/>
          </w:tcPr>
          <w:p w14:paraId="02FAF64D" w14:textId="4C508840" w:rsidR="001705EC" w:rsidRPr="006C52A6" w:rsidRDefault="006C52A6" w:rsidP="00D02999">
            <w:pPr>
              <w:jc w:val="both"/>
              <w:rPr>
                <w:rFonts w:asciiTheme="minorHAnsi" w:hAnsiTheme="minorHAnsi" w:cstheme="minorHAnsi"/>
                <w:sz w:val="24"/>
                <w:szCs w:val="24"/>
              </w:rPr>
            </w:pPr>
            <w:r w:rsidRPr="006C52A6">
              <w:rPr>
                <w:rFonts w:asciiTheme="minorHAnsi" w:hAnsiTheme="minorHAnsi" w:cstheme="minorHAnsi"/>
                <w:sz w:val="24"/>
                <w:szCs w:val="24"/>
              </w:rPr>
              <w:t>A 17</w:t>
            </w:r>
          </w:p>
        </w:tc>
        <w:tc>
          <w:tcPr>
            <w:tcW w:w="2830" w:type="dxa"/>
            <w:gridSpan w:val="2"/>
            <w:shd w:val="clear" w:color="auto" w:fill="D9D9D9" w:themeFill="background1" w:themeFillShade="D9"/>
          </w:tcPr>
          <w:p w14:paraId="70C78F02" w14:textId="77777777"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Confidencial</w:t>
                </w:r>
              </w:p>
            </w:tc>
          </w:sdtContent>
        </w:sdt>
      </w:tr>
    </w:tbl>
    <w:p w14:paraId="5F47735A" w14:textId="77777777" w:rsidR="001705EC" w:rsidRPr="006C52A6" w:rsidRDefault="001705EC" w:rsidP="00D02999">
      <w:pPr>
        <w:jc w:val="both"/>
        <w:rPr>
          <w:rFonts w:asciiTheme="minorHAnsi" w:hAnsiTheme="minorHAnsi" w:cstheme="minorHAnsi"/>
          <w:sz w:val="24"/>
          <w:szCs w:val="24"/>
        </w:rPr>
      </w:pPr>
    </w:p>
    <w:p w14:paraId="5EE8924C" w14:textId="787D46A5" w:rsidR="00452E7F" w:rsidRPr="006C52A6" w:rsidRDefault="00800EF8" w:rsidP="00452E7F">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790C3182" wp14:editId="20DD3094">
            <wp:extent cx="3124636" cy="1743318"/>
            <wp:effectExtent l="0" t="0" r="0" b="9525"/>
            <wp:docPr id="18113836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36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6C52A6">
        <w:rPr>
          <w:rFonts w:asciiTheme="minorHAnsi" w:hAnsiTheme="minorHAnsi" w:cstheme="minorHAnsi"/>
          <w:lang w:val="es-CL"/>
        </w:rPr>
        <w:br w:type="page"/>
      </w:r>
    </w:p>
    <w:p w14:paraId="1C122D18"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lastRenderedPageBreak/>
        <w:t>Política de Gestión de Continuidad del Negocio</w:t>
      </w:r>
    </w:p>
    <w:p w14:paraId="0058B4EF"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t>ÍNDICE</w:t>
      </w:r>
    </w:p>
    <w:p w14:paraId="6621E5AD"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Introducción</w:t>
      </w:r>
    </w:p>
    <w:p w14:paraId="3D75082C"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Antecedentes de la Empresa</w:t>
      </w:r>
    </w:p>
    <w:p w14:paraId="4DC75E8B"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Marco Normativo</w:t>
      </w:r>
    </w:p>
    <w:p w14:paraId="628091D3" w14:textId="77777777" w:rsidR="006C52A6" w:rsidRDefault="006C52A6" w:rsidP="006C52A6">
      <w:pPr>
        <w:pStyle w:val="NormalWeb"/>
        <w:numPr>
          <w:ilvl w:val="0"/>
          <w:numId w:val="57"/>
        </w:numPr>
        <w:spacing w:after="0" w:afterAutospacing="0"/>
        <w:rPr>
          <w:rFonts w:asciiTheme="minorHAnsi" w:hAnsiTheme="minorHAnsi" w:cstheme="minorHAnsi"/>
          <w:lang w:val="es-CL"/>
        </w:rPr>
      </w:pPr>
      <w:r w:rsidRPr="006C52A6">
        <w:rPr>
          <w:rFonts w:asciiTheme="minorHAnsi" w:hAnsiTheme="minorHAnsi" w:cstheme="minorHAnsi"/>
          <w:lang w:val="es-CL"/>
        </w:rPr>
        <w:t xml:space="preserve">Gestión de Continuidad del Negocio </w:t>
      </w:r>
    </w:p>
    <w:p w14:paraId="3DBA506F"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4.1. Definición y Alcance </w:t>
      </w:r>
    </w:p>
    <w:p w14:paraId="0A39510B"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4.2. Análisis de Riesgos y Evaluación de Impacto </w:t>
      </w:r>
    </w:p>
    <w:p w14:paraId="7482DD2C" w14:textId="2FAC90BC" w:rsidR="006C52A6" w:rsidRP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4.3. Objetivos de Continuidad (RTO y RPO)</w:t>
      </w:r>
    </w:p>
    <w:p w14:paraId="7BECA307" w14:textId="77777777" w:rsidR="006C52A6" w:rsidRDefault="006C52A6" w:rsidP="006C52A6">
      <w:pPr>
        <w:pStyle w:val="NormalWeb"/>
        <w:numPr>
          <w:ilvl w:val="0"/>
          <w:numId w:val="57"/>
        </w:numPr>
        <w:spacing w:before="0" w:beforeAutospacing="0" w:after="0" w:afterAutospacing="0"/>
        <w:rPr>
          <w:rFonts w:asciiTheme="minorHAnsi" w:hAnsiTheme="minorHAnsi" w:cstheme="minorHAnsi"/>
          <w:lang w:val="es-CL"/>
        </w:rPr>
      </w:pPr>
      <w:r w:rsidRPr="006C52A6">
        <w:rPr>
          <w:rFonts w:asciiTheme="minorHAnsi" w:hAnsiTheme="minorHAnsi" w:cstheme="minorHAnsi"/>
          <w:lang w:val="es-CL"/>
        </w:rPr>
        <w:t xml:space="preserve">Estrategias de Recuperación Ante Desastres </w:t>
      </w:r>
    </w:p>
    <w:p w14:paraId="0BD59DB0"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5.1. Plan de Respuesta y Recuperación </w:t>
      </w:r>
    </w:p>
    <w:p w14:paraId="6A8D9FFA"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5.2. Procedimientos y Recursos Críticos </w:t>
      </w:r>
    </w:p>
    <w:p w14:paraId="5B6BE9A7" w14:textId="1D0F2F13" w:rsidR="006C52A6" w:rsidRP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5.3. Pruebas, Validación y Mejora Continua</w:t>
      </w:r>
    </w:p>
    <w:p w14:paraId="55EF917F"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Revisión y Hallazgos Previos</w:t>
      </w:r>
    </w:p>
    <w:p w14:paraId="62AD8934"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Recomendaciones Finales</w:t>
      </w:r>
    </w:p>
    <w:p w14:paraId="36758873"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Conclusiones</w:t>
      </w:r>
    </w:p>
    <w:p w14:paraId="56008795"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Anexo: Descripción del Anexo A.17 de la Norma ISO 27001:2022</w:t>
      </w:r>
    </w:p>
    <w:p w14:paraId="29478DBC" w14:textId="77777777" w:rsidR="00800EF8" w:rsidRDefault="00800EF8" w:rsidP="006C52A6">
      <w:pPr>
        <w:pStyle w:val="NormalWeb"/>
        <w:jc w:val="both"/>
        <w:rPr>
          <w:rFonts w:asciiTheme="minorHAnsi" w:hAnsiTheme="minorHAnsi" w:cstheme="minorHAnsi"/>
          <w:b/>
          <w:bCs/>
          <w:lang w:val="es-CL"/>
        </w:rPr>
      </w:pPr>
    </w:p>
    <w:p w14:paraId="7DC82E88" w14:textId="77777777" w:rsidR="00800EF8" w:rsidRDefault="00800EF8" w:rsidP="006C52A6">
      <w:pPr>
        <w:pStyle w:val="NormalWeb"/>
        <w:jc w:val="both"/>
        <w:rPr>
          <w:rFonts w:asciiTheme="minorHAnsi" w:hAnsiTheme="minorHAnsi" w:cstheme="minorHAnsi"/>
          <w:b/>
          <w:bCs/>
          <w:lang w:val="es-CL"/>
        </w:rPr>
      </w:pPr>
    </w:p>
    <w:p w14:paraId="4AEBD4E7" w14:textId="77777777" w:rsidR="00800EF8" w:rsidRDefault="00800EF8" w:rsidP="006C52A6">
      <w:pPr>
        <w:pStyle w:val="NormalWeb"/>
        <w:jc w:val="both"/>
        <w:rPr>
          <w:rFonts w:asciiTheme="minorHAnsi" w:hAnsiTheme="minorHAnsi" w:cstheme="minorHAnsi"/>
          <w:b/>
          <w:bCs/>
          <w:lang w:val="es-CL"/>
        </w:rPr>
      </w:pPr>
    </w:p>
    <w:p w14:paraId="1FF0C7F9" w14:textId="77777777" w:rsidR="00800EF8" w:rsidRDefault="00800EF8" w:rsidP="006C52A6">
      <w:pPr>
        <w:pStyle w:val="NormalWeb"/>
        <w:jc w:val="both"/>
        <w:rPr>
          <w:rFonts w:asciiTheme="minorHAnsi" w:hAnsiTheme="minorHAnsi" w:cstheme="minorHAnsi"/>
          <w:b/>
          <w:bCs/>
          <w:lang w:val="es-CL"/>
        </w:rPr>
      </w:pPr>
    </w:p>
    <w:p w14:paraId="3A65C5BF" w14:textId="77777777" w:rsidR="00800EF8" w:rsidRDefault="00800EF8" w:rsidP="006C52A6">
      <w:pPr>
        <w:pStyle w:val="NormalWeb"/>
        <w:jc w:val="both"/>
        <w:rPr>
          <w:rFonts w:asciiTheme="minorHAnsi" w:hAnsiTheme="minorHAnsi" w:cstheme="minorHAnsi"/>
          <w:b/>
          <w:bCs/>
          <w:lang w:val="es-CL"/>
        </w:rPr>
      </w:pPr>
    </w:p>
    <w:p w14:paraId="1516CB8B" w14:textId="77777777" w:rsidR="00800EF8" w:rsidRDefault="00800EF8" w:rsidP="006C52A6">
      <w:pPr>
        <w:pStyle w:val="NormalWeb"/>
        <w:jc w:val="both"/>
        <w:rPr>
          <w:rFonts w:asciiTheme="minorHAnsi" w:hAnsiTheme="minorHAnsi" w:cstheme="minorHAnsi"/>
          <w:b/>
          <w:bCs/>
          <w:lang w:val="es-CL"/>
        </w:rPr>
      </w:pPr>
    </w:p>
    <w:p w14:paraId="497081A5" w14:textId="77777777" w:rsidR="00800EF8" w:rsidRDefault="00800EF8" w:rsidP="006C52A6">
      <w:pPr>
        <w:pStyle w:val="NormalWeb"/>
        <w:jc w:val="both"/>
        <w:rPr>
          <w:rFonts w:asciiTheme="minorHAnsi" w:hAnsiTheme="minorHAnsi" w:cstheme="minorHAnsi"/>
          <w:b/>
          <w:bCs/>
          <w:lang w:val="es-CL"/>
        </w:rPr>
      </w:pPr>
    </w:p>
    <w:p w14:paraId="02F63D2D" w14:textId="77777777" w:rsidR="00800EF8" w:rsidRDefault="00800EF8" w:rsidP="006C52A6">
      <w:pPr>
        <w:pStyle w:val="NormalWeb"/>
        <w:jc w:val="both"/>
        <w:rPr>
          <w:rFonts w:asciiTheme="minorHAnsi" w:hAnsiTheme="minorHAnsi" w:cstheme="minorHAnsi"/>
          <w:b/>
          <w:bCs/>
          <w:lang w:val="es-CL"/>
        </w:rPr>
      </w:pPr>
    </w:p>
    <w:p w14:paraId="7766CB0B" w14:textId="77777777" w:rsidR="00800EF8" w:rsidRDefault="00800EF8" w:rsidP="006C52A6">
      <w:pPr>
        <w:pStyle w:val="NormalWeb"/>
        <w:jc w:val="both"/>
        <w:rPr>
          <w:rFonts w:asciiTheme="minorHAnsi" w:hAnsiTheme="minorHAnsi" w:cstheme="minorHAnsi"/>
          <w:b/>
          <w:bCs/>
          <w:lang w:val="es-CL"/>
        </w:rPr>
      </w:pPr>
    </w:p>
    <w:p w14:paraId="3611F684" w14:textId="77777777" w:rsidR="00800EF8" w:rsidRDefault="00800EF8" w:rsidP="006C52A6">
      <w:pPr>
        <w:pStyle w:val="NormalWeb"/>
        <w:jc w:val="both"/>
        <w:rPr>
          <w:rFonts w:asciiTheme="minorHAnsi" w:hAnsiTheme="minorHAnsi" w:cstheme="minorHAnsi"/>
          <w:b/>
          <w:bCs/>
          <w:lang w:val="es-CL"/>
        </w:rPr>
      </w:pPr>
    </w:p>
    <w:p w14:paraId="0F6477C2" w14:textId="77777777" w:rsidR="00800EF8" w:rsidRDefault="00800EF8" w:rsidP="006C52A6">
      <w:pPr>
        <w:pStyle w:val="NormalWeb"/>
        <w:jc w:val="both"/>
        <w:rPr>
          <w:rFonts w:asciiTheme="minorHAnsi" w:hAnsiTheme="minorHAnsi" w:cstheme="minorHAnsi"/>
          <w:b/>
          <w:bCs/>
          <w:lang w:val="es-CL"/>
        </w:rPr>
      </w:pPr>
    </w:p>
    <w:p w14:paraId="3624D027" w14:textId="77777777" w:rsidR="00800EF8" w:rsidRDefault="00800EF8" w:rsidP="006C52A6">
      <w:pPr>
        <w:pStyle w:val="NormalWeb"/>
        <w:jc w:val="both"/>
        <w:rPr>
          <w:rFonts w:asciiTheme="minorHAnsi" w:hAnsiTheme="minorHAnsi" w:cstheme="minorHAnsi"/>
          <w:b/>
          <w:bCs/>
          <w:lang w:val="es-CL"/>
        </w:rPr>
      </w:pPr>
    </w:p>
    <w:p w14:paraId="14C15AAC" w14:textId="77777777" w:rsidR="00800EF8" w:rsidRDefault="00800EF8" w:rsidP="006C52A6">
      <w:pPr>
        <w:pStyle w:val="NormalWeb"/>
        <w:jc w:val="both"/>
        <w:rPr>
          <w:rFonts w:asciiTheme="minorHAnsi" w:hAnsiTheme="minorHAnsi" w:cstheme="minorHAnsi"/>
          <w:b/>
          <w:bCs/>
          <w:lang w:val="es-CL"/>
        </w:rPr>
      </w:pPr>
    </w:p>
    <w:p w14:paraId="6D5E36DE" w14:textId="58C03D6B"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lastRenderedPageBreak/>
        <w:t>1. Introducción</w:t>
      </w:r>
    </w:p>
    <w:p w14:paraId="526BD76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política tiene como objetivo principal garantizar la continuidad operativa de AnacondaWeb frente a posibles incidentes que puedan afectar sus servicios críticos. A través de una gestión proactiva, se busca minimizar interrupciones y asegurar que los procesos esenciales estén protegidos ante riesgos potenciales.</w:t>
      </w:r>
    </w:p>
    <w:p w14:paraId="0E32CAC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De acuerdo con los requisitos de la norma ISO 27001:2022, la gestión de continuidad del negocio ha sido implementada para asegurar la resiliencia de las operaciones críticas de AnacondaWeb. Esta gestión incluye estrategias específicas de recuperación ante desastres, orientadas a minimizar el impacto de interrupciones no planificadas en los servicios tecnológicos esenciales. En la auditoría realizada, se evidenció que las mejoras al sistema de gestión han fortalecido las capacidades operativas.</w:t>
      </w:r>
    </w:p>
    <w:p w14:paraId="4D9B128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 capacidad de continuidad del negocio se ha reflejado en el éxito de pruebas operacionales y simulaciones que han permitido evaluar la respuesta ante eventos críticos. Por ejemplo, un ensayo operacional reciente validó la eficacia de los generadores de respaldo al mantener un </w:t>
      </w:r>
      <w:proofErr w:type="spellStart"/>
      <w:r w:rsidRPr="006C52A6">
        <w:rPr>
          <w:rFonts w:asciiTheme="minorHAnsi" w:hAnsiTheme="minorHAnsi" w:cstheme="minorHAnsi"/>
          <w:lang w:val="es-CL"/>
        </w:rPr>
        <w:t>uptime</w:t>
      </w:r>
      <w:proofErr w:type="spellEnd"/>
      <w:r w:rsidRPr="006C52A6">
        <w:rPr>
          <w:rFonts w:asciiTheme="minorHAnsi" w:hAnsiTheme="minorHAnsi" w:cstheme="minorHAnsi"/>
          <w:lang w:val="es-CL"/>
        </w:rPr>
        <w:t xml:space="preserve"> del 100% durante una interrupción simulada. Asimismo, una prueba de redundancia en enlaces de internet demostró que la infraestructura de conectividad soportó sin afectaciones el corte simultáneo de dos proveedores. Estas acciones han demostrado que AnacondaWeb puede afrontar eventos disruptivos sin comprometer la calidad de sus servicios, lo que ha mejorado la confianza de sus clientes.</w:t>
      </w:r>
    </w:p>
    <w:p w14:paraId="5121DE9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planes de recuperación se han desarrollado y validado mediante auditorías internas y externas. Estos planes incluyen estrategias claras para la recuperación de sistemas críticos y la protección de los activos de información. Las auditorías han confirmado la eficacia de los controles aplicados, lo que ha reducido significativamente el riesgo de interrupciones.</w:t>
      </w:r>
    </w:p>
    <w:p w14:paraId="1B6621A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cumplimiento con la norma ISO 27001:2022 ha posicionado a AnacondaWeb con ventajas competitivas. Este compromiso con la seguridad de la información refuerza su capacidad para mantener operaciones continuas y sostenibles, mejorando su reputación en el mercado.</w:t>
      </w:r>
    </w:p>
    <w:p w14:paraId="3824C2E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2. Antecedentes de la Empresa</w:t>
      </w:r>
    </w:p>
    <w:p w14:paraId="7554FDB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es una empresa chilena con más de 20 años de experiencia en la prestación de servicios tecnológicos, incluyendo hosting, registro de dominios y soluciones de infraestructura crítica. Su enfoque en la innovación y la seguridad le ha permitido posicionarse como un proveedor confiable en el mercado.</w:t>
      </w:r>
    </w:p>
    <w:p w14:paraId="5896365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contexto en el que opera la empresa está caracterizado por una alta competencia, donde destacan otros proveedores locales e internacionales especializados en servicios de tecnología de la información. Sin embargo, AnacondaWeb se diferencia por sus certificaciones internacionales, como ISO 27001, y su capacidad de adaptarse a los cambios tecnológicos.</w:t>
      </w:r>
    </w:p>
    <w:p w14:paraId="15B0626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Desde sus inicios, la empresa ha enfrentado desafíos derivados del crecimiento constante de la demanda de servicios digitales y de infraestructura segura. Esto ha motivado la implementación de sistemas robustos de gestión de riesgos y continuidad operativa para mantener altos estándares de servicio.</w:t>
      </w:r>
    </w:p>
    <w:p w14:paraId="2ABAFFD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 través de inversiones estratégicas en infraestructura tecnológica avanzada y un equipo altamente especializado, AnacondaWeb ha logrado consolidar su posición en el mercado. La empresa mantiene una fuerte relación con sus clientes, brindando soluciones personalizadas que se alinean con sus necesidades y regulaciones internacionales.</w:t>
      </w:r>
    </w:p>
    <w:p w14:paraId="62F6152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es una empresa chilena con más de 20 años de experiencia en la prestación de servicios tecnológicos, incluyendo hosting, registro de dominios y soluciones de infraestructura crítica. Su enfoque en la innovación y la seguridad le ha permitido posicionarse como un proveedor confiable en el mercado.</w:t>
      </w:r>
    </w:p>
    <w:p w14:paraId="159653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Desde sus inicios, la empresa ha enfrentado desafíos como la creciente demanda de servicios de alta disponibilidad, la competencia con proveedores internacionales y la necesidad de adaptarse rápidamente a avances tecnológicos. Estos retos han sido superados mediante una estrategia de inversión continua en infraestructura moderna, el establecimiento de acuerdos de servicio (SLA) estrictos y la implementación de programas de capacitación para su personal técnico. Asimismo, la empresa ha fortalecido sus alianzas con proveedores críticos para mejorar la redundancia y disponibilidad de sus servicios.</w:t>
      </w:r>
    </w:p>
    <w:p w14:paraId="430F647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estrategia empresarial de AnacondaWeb está alineada con las normativas internacionales de gestión, lo que garantiza la protección de sus operaciones y la confianza de sus partes interesadas. La empresa ha invertido en infraestructura tecnológica avanzada y ha fortalecido su equipo de gestión especializado.</w:t>
      </w:r>
    </w:p>
    <w:p w14:paraId="408F18A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Con la adopción de estándares como ISO 27001:2022, AnacondaWeb asegura que sus servicios continúen operando de manera eficiente, incluso en situaciones críticas.</w:t>
      </w:r>
    </w:p>
    <w:p w14:paraId="4CB29C0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3. Marco Normativo</w:t>
      </w:r>
    </w:p>
    <w:p w14:paraId="7B19C4E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normativa ISO 27001:2022 proporciona un marco internacionalmente reconocido para la gestión de la seguridad de la información. Su Anexo A.17 establece controles específicos para la continuidad del negocio, asegurando que los procesos esenciales se mantengan disponibles ante situaciones de emergencia. Este anexo es crucial porque define estrategias clave para la recuperación rápida y efectiva ante desastres, lo que garantiza la protección de los recursos críticos y la minimización del impacto en las operaciones.</w:t>
      </w:r>
    </w:p>
    <w:p w14:paraId="26A41A3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normativa ISO 27001:2022 proporciona un marco internacionalmente reconocido para la gestión de la seguridad de la información. Su Anexo A.17 establece controles específicos para la continuidad del negocio, asegurando que los procesos esenciales se mantengan disponibles ante situaciones de emergencia.</w:t>
      </w:r>
    </w:p>
    <w:p w14:paraId="008E049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AnacondaWeb ha implementado estos controles mediante planes documentados, pruebas periódicas y una política de mejora continua. Entre las pruebas realizadas se incluyen simulaciones de fallas de suministro eléctrico, ensayos de conmutación automática en servidores y pruebas de redundancia en la conectividad de internet. Las auditorías internas y externas han verificado la efectividad de estas medidas, garantizando el cumplimiento de los requisitos normativos.</w:t>
      </w:r>
    </w:p>
    <w:p w14:paraId="635334E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integración de estos controles ha fortalecido la infraestructura operativa, mejorando la resiliencia organizacional. Esto permite a la empresa responder de manera eficaz ante incidentes y mantener sus operaciones críticas con impacto mínimo en sus clientes.</w:t>
      </w:r>
    </w:p>
    <w:p w14:paraId="0A215B2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el compromiso con el marco normativo refuerza la reputación de la empresa en el mercado, destacando su capacidad para gestionar riesgos y proteger la información.</w:t>
      </w:r>
    </w:p>
    <w:p w14:paraId="3CB2FFA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 Gestión de Continuidad del Negocio</w:t>
      </w:r>
    </w:p>
    <w:p w14:paraId="3A064F4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4.1. Definición y Alcance</w:t>
      </w:r>
    </w:p>
    <w:p w14:paraId="1F1C5E0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gestión de continuidad del negocio en AnacondaWeb abarca las operaciones críticas que incluyen servicios de hosting, infraestructura de redes, bases de datos y soporte técnico. Estos procesos son fundamentales para la disponibilidad de los servicios ofrecidos a los clientes.</w:t>
      </w:r>
    </w:p>
    <w:p w14:paraId="1E507A2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alcance comprende tanto los sistemas internos de la organización como los servicios de terceros y proveedores externos que forman parte de la cadena de suministro. Esto asegura que todos los componentes necesarios para el funcionamiento continuo estén protegidos.</w:t>
      </w:r>
    </w:p>
    <w:p w14:paraId="106AFFD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Asimismo, la gestión abarca medidas preventivas como redundancia de enlaces de comunicación, planes de respuesta ante fallas y mecanismos de respaldo automático. Estas estrategias están diseñadas para minimizar el tiempo de inactividad en caso de incidentes mayores.</w:t>
      </w:r>
    </w:p>
    <w:p w14:paraId="73E499A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revisión periódica de estos procesos es esencial para mantener su eficacia. Esto incluye pruebas regulares, auditorías y simulaciones que permiten validar y actualizar los procedimientos de continuidad según las mejores prácticas del sector.</w:t>
      </w:r>
    </w:p>
    <w:p w14:paraId="23E7029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gestión de continuidad del negocio en AnacondaWeb abarca todas las operaciones críticas, procesos de respaldo y medidas preventivas para mantener la disponibilidad de sus servicios. Este enfoque incluye la planificación, implementación y evaluación constante de estrategias para minimizar interrupciones.</w:t>
      </w:r>
    </w:p>
    <w:p w14:paraId="705A545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procesos documentados establecen lineamientos claros para la recuperación rápida de los servicios afectados. Esto incluye tanto los sistemas tecnológicos como las operaciones de soporte.</w:t>
      </w:r>
    </w:p>
    <w:p w14:paraId="546325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El alcance de la gestión también se extiende a los proveedores externos, quienes deben cumplir con los mismos estándares de continuidad establecidos por la organización. Para </w:t>
      </w:r>
      <w:r w:rsidRPr="006C52A6">
        <w:rPr>
          <w:rFonts w:asciiTheme="minorHAnsi" w:hAnsiTheme="minorHAnsi" w:cstheme="minorHAnsi"/>
          <w:lang w:val="es-CL"/>
        </w:rPr>
        <w:lastRenderedPageBreak/>
        <w:t>supervisar este cumplimiento, se llevan a cabo auditorías periódicas, revisiones de contratos y la evaluación de informes de desempeño. Adicionalmente, los proveedores están sujetos a acuerdos de nivel de servicio (SLA) que especifican tiempos de respuesta y medidas correctivas en caso de incidentes críticos.</w:t>
      </w:r>
    </w:p>
    <w:p w14:paraId="7AA3E9F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colaboración entre las áreas operativas y la alta dirección es esencial para garantizar que los objetivos de continuidad se cumplan de manera efectiva.</w:t>
      </w:r>
    </w:p>
    <w:p w14:paraId="7D5453F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4.2. Análisis de Riesgos y Evaluación de Impacto</w:t>
      </w:r>
    </w:p>
    <w:p w14:paraId="2727236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completado un análisis exhaustivo de riesgos que identifica amenazas potenciales, evalúa su impacto y define medidas de mitigación. Este proceso es revisado periódicamente para mantener su validez frente a cambios en el entorno operativo.</w:t>
      </w:r>
    </w:p>
    <w:p w14:paraId="2385B7B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análisis considera escenarios de interrupción, desde fallas tecnológicas hasta desastres naturales, incluyendo riesgos críticos como fallos masivos en la infraestructura de red, ciberataques dirigidos a sistemas clave y pérdida de energía prolongada. Cada uno de estos escenarios tiene estrategias específicas de recuperación para minimizar el impacto.</w:t>
      </w:r>
    </w:p>
    <w:p w14:paraId="5BE632D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resultados de esta evaluación permiten a la organización asignar recursos de manera eficiente, priorizando aquellos que garantizan la continuidad de los servicios esenciales. Por ejemplo, se han reforzado los enlaces redundantes de comunicación y los mecanismos de replicación de datos en tiempo real.</w:t>
      </w:r>
    </w:p>
    <w:p w14:paraId="293914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documentación de estos resultados es fundamental para realizar ajustes en los planes de continuidad y mantenerlos actualizados, asegurando que las medidas de respuesta sean ágiles y efectivas.</w:t>
      </w:r>
    </w:p>
    <w:p w14:paraId="0DD5889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completado un análisis exhaustivo de riesgos que identifica amenazas potenciales, evalúa su impacto y define medidas de mitigación. Este proceso es revisado periódicamente para mantener su validez frente a cambios en el entorno operativo.</w:t>
      </w:r>
    </w:p>
    <w:p w14:paraId="53E6B56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análisis considera escenarios de interrupción, desde fallas tecnológicas hasta desastres naturales, y establece prioridades de recuperación basadas en los procesos críticos.</w:t>
      </w:r>
    </w:p>
    <w:p w14:paraId="54C9ACA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resultados de esta evaluación permiten a la organización asignar recursos de manera eficiente, priorizando aquellos que garantizan la continuidad de los servicios esenciales.</w:t>
      </w:r>
    </w:p>
    <w:p w14:paraId="57F2192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documentación de estos resultados es fundamental para realizar ajustes en los planes de continuidad y mantenerlos actualizados.</w:t>
      </w:r>
    </w:p>
    <w:p w14:paraId="7DBCB34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4.3. Objetivos de Continuidad (RTO y RPO)</w:t>
      </w:r>
    </w:p>
    <w:p w14:paraId="4B35B1A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Los objetivos de continuidad de AnacondaWeb se basan en dos métricas principales: el Tiempo Objetivo de Recuperación (RTO) y el Punto Objetivo de Recuperación (RPO). Estos </w:t>
      </w:r>
      <w:r w:rsidRPr="006C52A6">
        <w:rPr>
          <w:rFonts w:asciiTheme="minorHAnsi" w:hAnsiTheme="minorHAnsi" w:cstheme="minorHAnsi"/>
          <w:lang w:val="es-CL"/>
        </w:rPr>
        <w:lastRenderedPageBreak/>
        <w:t>parámetros se definen para cada proceso crítico y determinan los límites aceptables de tiempo y datos perdidos.</w:t>
      </w:r>
    </w:p>
    <w:p w14:paraId="65EC78C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RTO especifica un tiempo máximo de recuperación de 4 horas para servicios críticos como bases de datos y conectividad de red, asegurando que el impacto operativo sea mínimo. Por otro lado, el RPO se ha establecido en un límite de 15 minutos, lo que significa que la pérdida máxima de datos permitida en caso de incidente es equivalente a ese periodo de tiempo.</w:t>
      </w:r>
    </w:p>
    <w:p w14:paraId="3BE25DD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objetivos se han validado mediante pruebas operacionales, asegurando que se cumplan durante situaciones críticas. Por ejemplo, durante una simulación reciente, se logró restaurar la operatividad completa del sistema en 3 horas, cumpliendo con el RTO establecido. Los resultados de estas pruebas refuerzan la capacidad de la organización para cumplir con los acuerdos de nivel de servicio (SLA).</w:t>
      </w:r>
    </w:p>
    <w:p w14:paraId="763691A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de estos objetivos es parte del compromiso con la norma ISO 27001:2022, garantizando la resiliencia del negocio.</w:t>
      </w:r>
    </w:p>
    <w:p w14:paraId="267F061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objetivos de continuidad de AnacondaWeb se basan en dos métricas principales: el Tiempo Objetivo de Recuperación (RTO) y el Punto Objetivo de Recuperación (RPO). Estos parámetros se definen para cada proceso crítico y determinan los límites aceptables de tiempo y datos perdidos.</w:t>
      </w:r>
    </w:p>
    <w:p w14:paraId="721895C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RTO especifica el tiempo máximo en que un servicio puede estar inactivo sin afectar gravemente las operaciones. Por otro lado, el RPO determina el volumen máximo de información que puede perderse sin comprometer la integridad del sistema.</w:t>
      </w:r>
    </w:p>
    <w:p w14:paraId="34382C0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objetivos se han validado mediante pruebas operacionales, asegurando que se cumplan durante situaciones críticas. Los resultados de las simulaciones refuerzan la capacidad de la organización para cumplir con los acuerdos de nivel de servicio (SLA).</w:t>
      </w:r>
    </w:p>
    <w:p w14:paraId="69FDA58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de estos objetivos es parte del compromiso con la norma ISO 27001:2022, garantizando la resiliencia del negocio.</w:t>
      </w:r>
    </w:p>
    <w:p w14:paraId="42C4844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 Estrategias de Recuperación Ante Desastres</w:t>
      </w:r>
    </w:p>
    <w:p w14:paraId="0813C69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5.1. Plan de Respuesta y Recuperación</w:t>
      </w:r>
    </w:p>
    <w:p w14:paraId="79B6D2D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desarrollado un plan de respuesta y recuperación documentado, que detalla las acciones necesarias para restaurar los servicios en caso de interrupciones mayores. Este plan ha sido probado y ajustado para maximizar su efectividad.</w:t>
      </w:r>
    </w:p>
    <w:p w14:paraId="75C46F1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Para validar este plan, se han llevado a cabo diversas pruebas de continuidad, entre las que se incluyen simulaciones de fallas de energía, pruebas de conmutación automática en servidores y evaluaciones de redundancia en la conectividad. Estas pruebas han demostrado tiempos de recuperación óptimos, alineados con los objetivos establecidos en los acuerdos de nivel de servicio (SLA).</w:t>
      </w:r>
    </w:p>
    <w:p w14:paraId="0BE649C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Los responsables asignados a cada tarea han sido capacitados para ejecutar los procedimientos de recuperación de manera eficiente, asegurando una respuesta rápida. Las evaluaciones periódicas permiten identificar áreas de mejora, fortaleciendo así la preparación ante emergencias.</w:t>
      </w:r>
    </w:p>
    <w:p w14:paraId="1CA9265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coordinación entre los equipos operativos es fundamental para evitar demoras en la restauración de los servicios. Las pruebas realizadas han demostrado una mejora significativa en los tiempos de respuesta, lo que refuerza la confianza en la capacidad de la organización para manejar incidentes críticos. El plan también contempla mecanismos de comunicación interna y externa para informar a las partes interesadas durante las fases de respuesta y recuperación.</w:t>
      </w:r>
    </w:p>
    <w:p w14:paraId="2030C9A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desarrollado un plan de respuesta y recuperación documentado, que detalla las acciones necesarias para restaurar los servicios en caso de interrupciones mayores. Este plan ha sido probado y ajustado para maximizar su efectividad.</w:t>
      </w:r>
    </w:p>
    <w:p w14:paraId="0AB4AA5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responsables asignados a cada tarea han sido capacitados para ejecutar los procedimientos de recuperación de manera eficiente, asegurando una respuesta rápida.</w:t>
      </w:r>
    </w:p>
    <w:p w14:paraId="4FF6A41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coordinación entre los equipos operativos es fundamental para evitar demoras en la restauración de los servicios. Las pruebas realizadas han demostrado una mejora significativa en los tiempos de respuesta. Por ejemplo, durante una simulación de falla eléctrica, la comunicación entre los equipos técnicos y de infraestructura permitió una conmutación exitosa en menos de cinco minutos. Asimismo, en una prueba de corte de enlaces de internet, los equipos lograron redirigir el tráfico a enlaces secundarios sin interrupciones visibles para los clientes, demostrando la eficacia del plan de respuesta coordinado.</w:t>
      </w:r>
    </w:p>
    <w:p w14:paraId="4400F45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plan también contempla mecanismos de comunicación interna y externa para informar a las partes interesadas durante las fases de respuesta y recuperación.</w:t>
      </w:r>
    </w:p>
    <w:p w14:paraId="73A9C6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5.2. Procedimientos y Recursos Críticos</w:t>
      </w:r>
    </w:p>
    <w:p w14:paraId="53425E5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han definido procedimientos específicos para garantizar la disponibilidad de recursos críticos, como sistemas de respaldo, equipos de soporte y redundancia en la infraestructura tecnológica. Entre los recursos más importantes se encuentran los generadores eléctricos de respaldo, que aseguran el suministro continuo de energía, así como los servidores con alta disponibilidad configurados con replicación en tiempo real.</w:t>
      </w:r>
    </w:p>
    <w:p w14:paraId="34296E5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 infraestructura de comunicación incluye enlaces redundantes con múltiples proveedores, como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los cuales permiten mantener la conectividad sin interrupciones ante posibles fallas en uno de los enlaces. Además, el sistema de monitoreo automatizado supervisa en tiempo real los puntos críticos de la red y la infraestructura.</w:t>
      </w:r>
    </w:p>
    <w:p w14:paraId="347AF7C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Estos procedimientos están documentados y sujetos a revisiones periódicas para mantener su relevancia frente a cambios en el entorno tecnológico. Se realizan pruebas regulares para </w:t>
      </w:r>
      <w:r w:rsidRPr="006C52A6">
        <w:rPr>
          <w:rFonts w:asciiTheme="minorHAnsi" w:hAnsiTheme="minorHAnsi" w:cstheme="minorHAnsi"/>
          <w:lang w:val="es-CL"/>
        </w:rPr>
        <w:lastRenderedPageBreak/>
        <w:t>evaluar el desempeño de los recursos críticos, ajustando los planes de recuperación en función de los resultados obtenidos.</w:t>
      </w:r>
    </w:p>
    <w:p w14:paraId="6C80E7B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mantenimiento adecuado de estos recursos es esencial para asegurar que puedan ser utilizados de manera efectiva en situaciones de emergencia, minimizando el impacto operativo y garantizando la continuidad de los servicios críticos.</w:t>
      </w:r>
    </w:p>
    <w:p w14:paraId="2845F71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han definido procedimientos específicos para garantizar la disponibilidad de recursos críticos, como sistemas de respaldo, equipos de soporte y redundancia en la infraestructura tecnológica.</w:t>
      </w:r>
    </w:p>
    <w:p w14:paraId="1F256D1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procedimientos están documentados y sujetos a revisiones periódicas para mantener su relevancia frente a cambios en el entorno tecnológico.</w:t>
      </w:r>
    </w:p>
    <w:p w14:paraId="79D72A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recursos críticos se prueban regularmente para validar su capacidad operativa. Los resultados de estas pruebas se utilizan para realizar ajustes en los planes de recuperación.</w:t>
      </w:r>
    </w:p>
    <w:p w14:paraId="4E97A86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mantenimiento adecuado de estos recursos es esencial para asegurar que puedan ser utilizados en situaciones de emergencia.</w:t>
      </w:r>
    </w:p>
    <w:p w14:paraId="2B25836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5.3. Pruebas, Validación y Mejora Continua</w:t>
      </w:r>
    </w:p>
    <w:p w14:paraId="592F523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objetivo general de las pruebas realizadas es asegurar que los procesos críticos puedan mantenerse operativos o ser restaurados en tiempos aceptables ante situaciones de emergencia. Estas pruebas buscan validar la eficacia de los planes de continuidad, los mecanismos de respaldo, y la coordinación entre los equipos técnicos. Asimismo, se pretende identificar posibles áreas de mejora para reforzar la capacidad de respuesta y recuperación de la organización.</w:t>
      </w:r>
    </w:p>
    <w:p w14:paraId="077230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 llevado a cabo un conjunto de pruebas de continuidad para validar los procesos implementados en la gestión de continuidad del negocio. Los resultados demuestran que AnacondaWeb está preparada para responder a situaciones críticas y mantener la operación de servicios esenciales.</w:t>
      </w:r>
    </w:p>
    <w:p w14:paraId="42CC7E65" w14:textId="77777777" w:rsidR="006C52A6" w:rsidRPr="006C52A6" w:rsidRDefault="006C52A6" w:rsidP="006C52A6">
      <w:pPr>
        <w:pStyle w:val="NormalWeb"/>
        <w:numPr>
          <w:ilvl w:val="0"/>
          <w:numId w:val="60"/>
        </w:numPr>
        <w:jc w:val="both"/>
        <w:rPr>
          <w:rFonts w:asciiTheme="minorHAnsi" w:hAnsiTheme="minorHAnsi" w:cstheme="minorHAnsi"/>
          <w:b/>
          <w:bCs/>
          <w:lang w:val="es-CL"/>
        </w:rPr>
      </w:pPr>
      <w:r w:rsidRPr="006C52A6">
        <w:rPr>
          <w:rFonts w:asciiTheme="minorHAnsi" w:hAnsiTheme="minorHAnsi" w:cstheme="minorHAnsi"/>
          <w:b/>
          <w:bCs/>
          <w:lang w:val="es-CL"/>
        </w:rPr>
        <w:t>Listado y Análisis de Pruebas de Continuidad</w:t>
      </w:r>
    </w:p>
    <w:p w14:paraId="3A19B14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1: Ensayo Operacional en el Datacenter</w:t>
      </w:r>
    </w:p>
    <w:p w14:paraId="06B38AD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Este tipo de ensayo contribuye a la resiliencia operativa al validar la capacidad de los sistemas eléctricos para reaccionar de manera inmediata ante interrupciones inesperadas. Simulaciones de este tipo permiten comprobar la eficiencia de los mecanismos de conmutación automática, minimizando el tiempo de inactividad y reduciendo el impacto en los servicios críticos.</w:t>
      </w:r>
    </w:p>
    <w:p w14:paraId="30E18EC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5 de diciembre de 2024</w:t>
      </w:r>
    </w:p>
    <w:p w14:paraId="5830399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Cristian </w:t>
      </w:r>
      <w:proofErr w:type="spellStart"/>
      <w:r w:rsidRPr="006C52A6">
        <w:rPr>
          <w:rFonts w:asciiTheme="minorHAnsi" w:hAnsiTheme="minorHAnsi" w:cstheme="minorHAnsi"/>
          <w:lang w:val="es-CL"/>
        </w:rPr>
        <w:t>Maurelia</w:t>
      </w:r>
      <w:proofErr w:type="spellEnd"/>
    </w:p>
    <w:p w14:paraId="4D1F58DC"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lastRenderedPageBreak/>
        <w:t>Descripción:</w:t>
      </w:r>
      <w:r w:rsidRPr="006C52A6">
        <w:rPr>
          <w:rFonts w:asciiTheme="minorHAnsi" w:hAnsiTheme="minorHAnsi" w:cstheme="minorHAnsi"/>
          <w:lang w:val="es-CL"/>
        </w:rPr>
        <w:t xml:space="preserve"> Se ejecutaron pruebas de </w:t>
      </w:r>
      <w:proofErr w:type="spellStart"/>
      <w:r w:rsidRPr="006C52A6">
        <w:rPr>
          <w:rFonts w:asciiTheme="minorHAnsi" w:hAnsiTheme="minorHAnsi" w:cstheme="minorHAnsi"/>
          <w:lang w:val="es-CL"/>
        </w:rPr>
        <w:t>failover</w:t>
      </w:r>
      <w:proofErr w:type="spellEnd"/>
      <w:r w:rsidRPr="006C52A6">
        <w:rPr>
          <w:rFonts w:asciiTheme="minorHAnsi" w:hAnsiTheme="minorHAnsi" w:cstheme="minorHAnsi"/>
          <w:lang w:val="es-CL"/>
        </w:rPr>
        <w:t xml:space="preserve"> simulando interrupciones eléctricas en 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empleando generadores Kaufmann y sistemas UPS. Durante la simulación, se documentaron tiempos específicos de respuesta, confirmando una conmutación automática exitosa en menos de un minuto.</w:t>
      </w:r>
    </w:p>
    <w:p w14:paraId="46A0D06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Se logró un </w:t>
      </w:r>
      <w:proofErr w:type="spellStart"/>
      <w:r w:rsidRPr="006C52A6">
        <w:rPr>
          <w:rFonts w:asciiTheme="minorHAnsi" w:hAnsiTheme="minorHAnsi" w:cstheme="minorHAnsi"/>
          <w:lang w:val="es-CL"/>
        </w:rPr>
        <w:t>uptime</w:t>
      </w:r>
      <w:proofErr w:type="spellEnd"/>
      <w:r w:rsidRPr="006C52A6">
        <w:rPr>
          <w:rFonts w:asciiTheme="minorHAnsi" w:hAnsiTheme="minorHAnsi" w:cstheme="minorHAnsi"/>
          <w:lang w:val="es-CL"/>
        </w:rPr>
        <w:t xml:space="preserve"> del 100% durante el ensayo de cuatro horas. Los generadores de respaldo demostraron una eficiencia de conmutación automática del 100%.</w:t>
      </w:r>
    </w:p>
    <w:p w14:paraId="2268E401"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El sistema eléctrico está debidamente preparado para afrontar cortes de suministro sin afectar los servicios críticos.</w:t>
      </w:r>
    </w:p>
    <w:p w14:paraId="2CFFBE4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2: Prueba de Climatización del Datacenter</w:t>
      </w:r>
    </w:p>
    <w:p w14:paraId="6A32667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Antes de realizar la prueba, la temperatura en la sala de datos estaba regulada a un promedio de 21°C mediante el sistema principal de climatización. Todos los equipos de respaldo fueron previamente inspeccionados para asegurar su correcto funcionamiento, y se verificó que el sistema de monitoreo ambiental estuviera operativo para registrar cualquier variación térmica.</w:t>
      </w:r>
    </w:p>
    <w:p w14:paraId="2A915BBD"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9 de diciembre de 2024</w:t>
      </w:r>
    </w:p>
    <w:p w14:paraId="25793535"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Mauricio Colomera</w:t>
      </w:r>
    </w:p>
    <w:p w14:paraId="35FAFA09"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Se simuló una falla en el equipo de climatización principal, activando el sistema de respaldo. Si este sistema también fallara, se aplicarían medidas de contingencia adicionales, como la activación de equipos portátiles de enfriamiento y el redireccionamiento temporal de servicios a centros de datos alternativos.</w:t>
      </w:r>
    </w:p>
    <w:p w14:paraId="7857058E"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El sistema de respaldo mantuvo una temperatura estable de 21°C durante 24 horas.</w:t>
      </w:r>
    </w:p>
    <w:p w14:paraId="3D7D1411"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La infraestructura de respaldo de climatización es capaz de mantener condiciones óptimas durante emergencias prolongadas.</w:t>
      </w:r>
    </w:p>
    <w:p w14:paraId="0277B73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3: Evaluación de Redundancia de Enlaces de Internet</w:t>
      </w:r>
    </w:p>
    <w:p w14:paraId="45BC165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evaluación incluyó la interrupción de dos enlaces de internet para comprobar la capacidad de recuperación. En total, AnacondaWeb cuenta con cuatro enlaces redundantes configurados, lo que permite mantener la conectividad sin interrupciones en caso de fallos múltiples.</w:t>
      </w:r>
    </w:p>
    <w:p w14:paraId="5BB2CAC6"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2 de diciembre de 2024</w:t>
      </w:r>
    </w:p>
    <w:p w14:paraId="7519E85D"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Cristian </w:t>
      </w:r>
      <w:proofErr w:type="spellStart"/>
      <w:r w:rsidRPr="006C52A6">
        <w:rPr>
          <w:rFonts w:asciiTheme="minorHAnsi" w:hAnsiTheme="minorHAnsi" w:cstheme="minorHAnsi"/>
          <w:lang w:val="es-CL"/>
        </w:rPr>
        <w:t>Maurelia</w:t>
      </w:r>
      <w:proofErr w:type="spellEnd"/>
    </w:p>
    <w:p w14:paraId="7DF44133"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Se interrumpieron dos enlaces de internet para comprobar la redundancia de la red.</w:t>
      </w:r>
    </w:p>
    <w:p w14:paraId="1E7646D4"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Los enlaces redundantes de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garantizaron la estabilidad de la red sin interrupciones en los servicios. Este tipo de pruebas se realiza de forma semestral para asegurar que los mecanismos de redundancia sigan operando de manera efectiva ante diferentes escenarios de falla.</w:t>
      </w:r>
    </w:p>
    <w:p w14:paraId="3A87EBE3"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lastRenderedPageBreak/>
        <w:t>Conclusión:</w:t>
      </w:r>
      <w:r w:rsidRPr="006C52A6">
        <w:rPr>
          <w:rFonts w:asciiTheme="minorHAnsi" w:hAnsiTheme="minorHAnsi" w:cstheme="minorHAnsi"/>
          <w:lang w:val="es-CL"/>
        </w:rPr>
        <w:t xml:space="preserve"> La configuración redundante asegura la continuidad de la conectividad ante fallas de múltiples proveedores.</w:t>
      </w:r>
    </w:p>
    <w:p w14:paraId="0B71382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4: Conmutación por Error en Base de Datos</w:t>
      </w:r>
    </w:p>
    <w:p w14:paraId="118353E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prueba implicó una simulación de un fallo en el servidor primario con redirección automática al servidor secundario. Durante la ejecución, se documentó que la conmutación se completó en un tiempo de 2 minutos, lo que cumplió con los parámetros establecidos en el plan de continuidad. Este tiempo de respuesta confirma la eficacia de la configuración de alta disponibilidad y replicación de datos, minimizando el impacto en los servicios.</w:t>
      </w:r>
    </w:p>
    <w:p w14:paraId="7637BAA8"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12 de noviembre de 2024</w:t>
      </w:r>
    </w:p>
    <w:p w14:paraId="5300C022"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Juan Andrés Rojas</w:t>
      </w:r>
    </w:p>
    <w:p w14:paraId="5ED7B0FD"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Simulación de un fallo en el servidor primario con redirección automática al servidor secundario.</w:t>
      </w:r>
    </w:p>
    <w:p w14:paraId="13ADD58B"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El servidor secundario procesó las 100 solicitudes programadas sin interrupciones. Las pruebas de replicación de datos se realizan de manera trimestral, simulando fallos en el servidor primario para verificar que la transferencia de tráfico y la integridad de los datos se mantengan sin afectaciones.</w:t>
      </w:r>
    </w:p>
    <w:p w14:paraId="0EE60419"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La replicación de datos y la configuración de alta disponibilidad aseguran un tiempo de respuesta adecuado en casos de fallo crítico.</w:t>
      </w:r>
    </w:p>
    <w:p w14:paraId="2937FB5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resultados consolidan la capacidad operativa de AnacondaWeb en cumplimiento con los estándares de la norma ISO 27001:2022. Entre los principales logros se destacan la validación de tiempos de recuperación óptimos y el fortalecimiento de la coordinación entre equipos. Las pruebas han permitido identificar áreas de mejora clave, como la comunicación en incidentes críticos. A través de auditorías periódicas, se refuerza una política de mejora continua, asegurando que la organización mantenga una resiliencia adecuada frente a nuevas amenazas y condiciones operativas cambiantes.</w:t>
      </w:r>
    </w:p>
    <w:p w14:paraId="63B109C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 llevado a cabo un conjunto de pruebas de continuidad para validar los procesos implementados en la gestión de continuidad del negocio. Los resultados demuestran que AnacondaWeb está preparada para responder a situaciones críticas y mantener la operación de servicios esenciales.</w:t>
      </w:r>
    </w:p>
    <w:p w14:paraId="19D1B9D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En diciembre de 2024, Cristian </w:t>
      </w:r>
      <w:proofErr w:type="spellStart"/>
      <w:r w:rsidRPr="006C52A6">
        <w:rPr>
          <w:rFonts w:asciiTheme="minorHAnsi" w:hAnsiTheme="minorHAnsi" w:cstheme="minorHAnsi"/>
          <w:lang w:val="es-CL"/>
        </w:rPr>
        <w:t>Maurelia</w:t>
      </w:r>
      <w:proofErr w:type="spellEnd"/>
      <w:r w:rsidRPr="006C52A6">
        <w:rPr>
          <w:rFonts w:asciiTheme="minorHAnsi" w:hAnsiTheme="minorHAnsi" w:cstheme="minorHAnsi"/>
          <w:lang w:val="es-CL"/>
        </w:rPr>
        <w:t xml:space="preserve"> lideró un ensayo operacional en 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simulando interrupciones eléctricas mediante el uso de generadores de respaldo y sistemas UPS. Los resultados evidenciaron una disponibilidad del 100% durante el ensayo, validando la eficacia de los generadores Kaufmann. La prueba confirmó que los mecanismos de conmutación automática funcionan de manera eficiente.</w:t>
      </w:r>
    </w:p>
    <w:p w14:paraId="1DD43C9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Mauricio Colomera supervisó otra prueba en el sistema de climatización del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xml:space="preserve"> el 9 de diciembre de 2024. Al interrumpir el equipo principal, el sistema de respaldo asumió la carga térmica, manteniendo una temperatura controlada de 21°C durante 24 horas continuas. Esto demostró la capacidad del sistema para operar de forma ininterrumpida bajo </w:t>
      </w:r>
      <w:r w:rsidRPr="006C52A6">
        <w:rPr>
          <w:rFonts w:asciiTheme="minorHAnsi" w:hAnsiTheme="minorHAnsi" w:cstheme="minorHAnsi"/>
          <w:lang w:val="es-CL"/>
        </w:rPr>
        <w:lastRenderedPageBreak/>
        <w:t>condiciones de fallo. Después de esta prueba, se identificó la necesidad de fortalecer los sistemas de monitoreo en tiempo real para prever posibles sobrecargas en equipos de respaldo, lo que llevó a la implementación de sensores adicionales y a un plan de mantenimiento preventivo más riguroso.</w:t>
      </w:r>
    </w:p>
    <w:p w14:paraId="72241BA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El 2 de diciembre de 2024, se realizó una evaluación de la redundancia en la conectividad de internet, gestionada por Cristian </w:t>
      </w:r>
      <w:proofErr w:type="spellStart"/>
      <w:r w:rsidRPr="006C52A6">
        <w:rPr>
          <w:rFonts w:asciiTheme="minorHAnsi" w:hAnsiTheme="minorHAnsi" w:cstheme="minorHAnsi"/>
          <w:lang w:val="es-CL"/>
        </w:rPr>
        <w:t>Maurelia</w:t>
      </w:r>
      <w:proofErr w:type="spellEnd"/>
      <w:r w:rsidRPr="006C52A6">
        <w:rPr>
          <w:rFonts w:asciiTheme="minorHAnsi" w:hAnsiTheme="minorHAnsi" w:cstheme="minorHAnsi"/>
          <w:lang w:val="es-CL"/>
        </w:rPr>
        <w:t xml:space="preserve">. Se cortaron dos enlaces principales para verificar la estabilidad de la red. Los resultados confirmaron que los enlaces redundantes de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mantuvieron la estabilidad del servicio sin afectaciones a los clientes, cumpliendo con los SLA establecidos.</w:t>
      </w:r>
    </w:p>
    <w:p w14:paraId="6E45D07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Juan Andrés Rojas lideró una simulación de conmutación de la base de datos el 12 de noviembre de 2024. Durante esta prueba, el tráfico fue redirigido automáticamente al servidor secundario, asegurando una respuesta continua sin interrupciones. Este procedimiento validó la configuración de alta disponibilidad y replicación de datos.</w:t>
      </w:r>
    </w:p>
    <w:p w14:paraId="075BA71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resultados consolidan la capacidad operativa de AnacondaWeb en cumplimiento con los estándares de la norma ISO 27001:2022, garantizando la mejora continua a través de auditorías y simulaciones periódicas.</w:t>
      </w:r>
    </w:p>
    <w:p w14:paraId="622533C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6. Revisión y Hallazgos Previos</w:t>
      </w:r>
    </w:p>
    <w:p w14:paraId="48405C1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Durante las revisiones más recientes, se ha identificado que la documentación de los planes de continuidad presenta avances significativos en relación con auditorías anteriores. Sin embargo, los hallazgos señalaron deficiencias en varias áreas clave. Por ejemplo, se observó una falta de definición detallada en algunos roles de responsabilidad durante situaciones críticas, lo que podría ocasionar demoras en la ejecución de los procedimientos.</w:t>
      </w:r>
    </w:p>
    <w:p w14:paraId="681ACA4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se detectó que no todas las áreas operativas habían realizado simulaciones de escenarios complejos, como fallas simultáneas en sistemas redundantes. Esto representa un riesgo potencial al no tener claridad sobre cómo responder de manera efectiva ante situaciones de alta complejidad.</w:t>
      </w:r>
    </w:p>
    <w:p w14:paraId="66CF0EC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Otro hallazgo relevante fue la insuficiente integración de las comunicaciones entre los equipos de infraestructura, seguridad de la información y soporte técnico. La falta de coordinación efectiva podría afectar la velocidad de recuperación en incidentes críticos. Como resultado, se propusieron reuniones de planificación conjunta y la designación de puntos de contacto interdepartamentales.</w:t>
      </w:r>
    </w:p>
    <w:p w14:paraId="30762A2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los responsables acordaron implementar revisiones trimestrales para evaluar el cumplimiento de los planes de continuidad y los resultados de las pruebas realizadas. Este enfoque busca mejorar la supervisión y asegurar una respuesta más ágil frente a cambios en los requisitos operativos o en el entorno tecnológico.</w:t>
      </w:r>
    </w:p>
    <w:p w14:paraId="403CEA4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Durante las revisiones más recientes, se ha identificado que la documentación de los planes de continuidad presenta avances significativos en relación con auditorías anteriores. Sin embargo, se encontraron deficiencias menores en la especificación de roles clave y en la coordinación de pruebas entre áreas operativas.</w:t>
      </w:r>
    </w:p>
    <w:p w14:paraId="7BF5394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hallazgos resaltaron también la falta de simulaciones en ciertos escenarios críticos, lo que podría afectar la capacidad de respuesta en incidentes no contemplados. Estas áreas han sido priorizadas en los nuevos planes de mejora continua.</w:t>
      </w:r>
    </w:p>
    <w:p w14:paraId="09A43B0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Adicionalmente, se destacó la necesidad de mejorar la comunicación interna entre los distintos equipos responsables de la recuperación ante desastres. Para ello, se han propuesto medidas específicas como reuniones periódicas de planificación, la creación de un sistema de comunicación centralizado para emergencias y la asignación de enlaces directos de comunicación en cada equipo operativo. Estas acciones buscan asegurar que la información fluya de manera rápida y precisa durante situaciones críticas, minimizando el riesgo de malentendidos o demoras.</w:t>
      </w:r>
    </w:p>
    <w:p w14:paraId="7C7A5A2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los responsables de cada área han acordado realizar una revisión trimestral de los hallazgos y planes correctivos, lo que permitirá mantener una supervisión constante y una respuesta más ágil ante cambios en los requisitos del negocio.</w:t>
      </w:r>
    </w:p>
    <w:p w14:paraId="7CE0A03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Las auditorías realizadas han identificado mejoras significativas en los procesos de gestión de continuidad. Sin embargo, se encontraron oportunidades de mejora en la documentación de procedimientos y en la asignación de responsabilidades específicas para incidentes críticos. Estos hallazgos se han documentado y se han iniciado planes de acción para abordar las deficiencias detectadas.</w:t>
      </w:r>
    </w:p>
    <w:p w14:paraId="506F647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comunicación entre áreas también fue un punto señalado en los hallazgos, destacando la necesidad de establecer protocolos más claros para la coordinación en situaciones de emergencia.</w:t>
      </w:r>
    </w:p>
    <w:p w14:paraId="5C6E77F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7. Recomendaciones Finales</w:t>
      </w:r>
    </w:p>
    <w:p w14:paraId="14FCD17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recomienda priorizar las siguientes acciones para fortalecer la gestión de continuidad del negocio:</w:t>
      </w:r>
    </w:p>
    <w:p w14:paraId="41FC8571"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Auditorías periódicas:</w:t>
      </w:r>
      <w:r w:rsidRPr="006C52A6">
        <w:rPr>
          <w:rFonts w:asciiTheme="minorHAnsi" w:hAnsiTheme="minorHAnsi" w:cstheme="minorHAnsi"/>
          <w:lang w:val="es-CL"/>
        </w:rPr>
        <w:t xml:space="preserve"> Mantener un ciclo continuo de auditorías internas y externas para validar la eficacia de los planes de recuperación y la implementación de mejoras.</w:t>
      </w:r>
    </w:p>
    <w:p w14:paraId="0F981745"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Capacitación del personal:</w:t>
      </w:r>
      <w:r w:rsidRPr="006C52A6">
        <w:rPr>
          <w:rFonts w:asciiTheme="minorHAnsi" w:hAnsiTheme="minorHAnsi" w:cstheme="minorHAnsi"/>
          <w:lang w:val="es-CL"/>
        </w:rPr>
        <w:t xml:space="preserve"> Reforzar la formación especializada en procedimientos críticos de recuperación, con énfasis en pruebas de simulación y manejo de emergencias.</w:t>
      </w:r>
    </w:p>
    <w:p w14:paraId="58C17606"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Mejorar la documentación:</w:t>
      </w:r>
      <w:r w:rsidRPr="006C52A6">
        <w:rPr>
          <w:rFonts w:asciiTheme="minorHAnsi" w:hAnsiTheme="minorHAnsi" w:cstheme="minorHAnsi"/>
          <w:lang w:val="es-CL"/>
        </w:rPr>
        <w:t xml:space="preserve"> Detallar de forma más exhaustiva los resultados de las pruebas y simulaciones para permitir un análisis más profundo del desempeño y áreas de mejora.</w:t>
      </w:r>
    </w:p>
    <w:p w14:paraId="10D9BAB8"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lastRenderedPageBreak/>
        <w:t>Monitoreo automatizado:</w:t>
      </w:r>
      <w:r w:rsidRPr="006C52A6">
        <w:rPr>
          <w:rFonts w:asciiTheme="minorHAnsi" w:hAnsiTheme="minorHAnsi" w:cstheme="minorHAnsi"/>
          <w:lang w:val="es-CL"/>
        </w:rPr>
        <w:t xml:space="preserve"> Implementar un sistema de monitoreo en tiempo real que permita identificar de manera proactiva fallas potenciales en los recursos críticos, garantizando una respuesta oportuna.</w:t>
      </w:r>
    </w:p>
    <w:p w14:paraId="0BDCE5F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Estas medidas tienen como objetivo mejorar la capacidad de respuesta, optimizar la coordinación interna y asegurar la resiliencia operativa frente a futuras amenazas.</w:t>
      </w:r>
    </w:p>
    <w:p w14:paraId="346EBBE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recomienda continuar con el ciclo de auditorías periódicas, asegurando que las pruebas de continuidad se realicen en todos los escenarios críticos identificados. Esto permitirá detectar y corregir posibles deficiencias en los tiempos de respuesta y recuperación.</w:t>
      </w:r>
    </w:p>
    <w:p w14:paraId="172C375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 esencial reforzar la capacitación de los equipos operativos y técnicos, enfocándose en la ejecución de los procedimientos de recuperación y en la utilización de los recursos críticos. Los programas de formación deben incluir simulaciones de escenarios de emergencia, manejo de herramientas de respaldo, protocolos de comunicación interna y técnicas avanzadas de gestión de incidentes. Esto mejorará la coordinación, la toma de decisiones y la eficiencia de las acciones durante emergencias.</w:t>
      </w:r>
    </w:p>
    <w:p w14:paraId="16548A1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se sugiere documentar más detalladamente los resultados de las simulaciones, permitiendo una mejor evaluación del desempeño y la identificación de áreas de mejora.</w:t>
      </w:r>
    </w:p>
    <w:p w14:paraId="444304C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se recomienda implementar un sistema de monitoreo automatizado para supervisar en tiempo real los recursos críticos, facilitando una detección temprana de fallas potenciales.</w:t>
      </w:r>
    </w:p>
    <w:p w14:paraId="5A1C01E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recomienda continuar con el ciclo de auditorías periódicas para mantener actualizados los planes de continuidad. Además, se sugiere reforzar la capacitación del personal, en particular en la ejecución de los procedimientos críticos de recuperación.</w:t>
      </w:r>
    </w:p>
    <w:p w14:paraId="7F81645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pruebas adicionales de simulación puede contribuir a una mayor preparación para escenarios de alto impacto.</w:t>
      </w:r>
    </w:p>
    <w:p w14:paraId="21F42A2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8. Conclusiones</w:t>
      </w:r>
    </w:p>
    <w:p w14:paraId="2F015F5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la gestión de continuidad del negocio en AnacondaWeb ha demostrado ser efectiva para minimizar riesgos operativos y garantizar la estabilidad de los servicios críticos. Las auditorías realizadas confirman que los procesos establecidos cumplen con los requisitos de la norma ISO 27001:2022.</w:t>
      </w:r>
    </w:p>
    <w:p w14:paraId="62B3C2F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Las pruebas de continuidad han validado la capacidad de la organización para responder ante situaciones de emergencia, asegurando la disponibilidad de los recursos esenciales y la protección de los datos. Comparado con auditorías anteriores, se ha evidenciado una mejora en los tiempos de respuesta y en la eficacia de los mecanismos de redundancia, lo que refuerza la preparación general de la organización frente a posibles incidentes.</w:t>
      </w:r>
    </w:p>
    <w:p w14:paraId="254BF55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La mejora continua se ha convertido en un principio rector dentro de la gestión, lo que permite a AnacondaWeb adaptarse a los cambios tecnológicos y a las nuevas amenazas emergentes.</w:t>
      </w:r>
    </w:p>
    <w:p w14:paraId="6E10FD5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Como próximos pasos, se plantea la implementación de nuevas pruebas de simulación en escenarios complejos y la revisión periódica de los acuerdos de nivel de servicio (SLA). Además, se desarrollará un programa de capacitación ampliado para fortalecer las habilidades técnicas del personal en situaciones críticas.</w:t>
      </w:r>
    </w:p>
    <w:p w14:paraId="1CD4363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la gestión de continuidad del negocio en AnacondaWeb ha demostrado ser efectiva para minimizar riesgos operativos y garantizar la estabilidad de los servicios críticos. Las auditorías realizadas confirman que los procesos establecidos cumplen con los requisitos de la norma ISO 27001:2022.</w:t>
      </w:r>
    </w:p>
    <w:p w14:paraId="1431CC8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Las pruebas de continuidad han validado la capacidad de la organización para responder ante situaciones de emergencia, asegurando la disponibilidad de los recursos esenciales y la protección de los datos.</w:t>
      </w:r>
    </w:p>
    <w:p w14:paraId="558129D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se ha convertido en un principio rector dentro de la gestión, lo que permite a AnacondaWeb adaptarse a los cambios tecnológicos y a las nuevas amenazas emergentes.</w:t>
      </w:r>
    </w:p>
    <w:p w14:paraId="5730120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Con estos resultados, la organización ha consolidado su compromiso con la seguridad de la información y la continuidad operativa, fortaleciendo la confianza de sus clientes y socios comerciales.</w:t>
      </w:r>
    </w:p>
    <w:p w14:paraId="6A304AF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gestión de continuidad implementada por AnacondaWeb ha demostrado ser efectiva en la mitigación de riesgos operativos. Las auditorías y pruebas realizadas confirman que los procesos cumplen con los requisitos de la norma ISO 27001:2022, lo que garantiza la sostenibilidad de los servicios críticos.</w:t>
      </w:r>
    </w:p>
    <w:p w14:paraId="59B9D1C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9. Anexo: Descripción del Anexo A.17 de la Norma ISO 27001:2022</w:t>
      </w:r>
    </w:p>
    <w:p w14:paraId="48B2BC6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Anexo A.17 de la norma ISO 27001:2022 establece una serie de controles destinados a garantizar la continuidad del negocio en situaciones de emergencia. Estos controles están diseñados para asegurar la disponibilidad, integridad y confidencialidad de los servicios críticos de la organización. Ejemplos específicos incluyen la implementación de redundancia en enlaces de comunicación, replicación en tiempo real de bases de datos, sistemas de respaldo automático y protocolos de recuperación rápida ante fallos. Estos controles permiten que los servicios críticos se mantengan operativos aun en situaciones de emergencia.</w:t>
      </w:r>
    </w:p>
    <w:p w14:paraId="0BF1A85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AnacondaWeb ha implementado estos controles mediante la creación de planes detallados de continuidad operativa, los cuales incluyen estrategias de recuperación ante desastres, redundancia en los sistemas críticos y pruebas periódicas de validación. Además, la empresa </w:t>
      </w:r>
      <w:r w:rsidRPr="006C52A6">
        <w:rPr>
          <w:rFonts w:asciiTheme="minorHAnsi" w:hAnsiTheme="minorHAnsi" w:cstheme="minorHAnsi"/>
          <w:lang w:val="es-CL"/>
        </w:rPr>
        <w:lastRenderedPageBreak/>
        <w:t>ha desarrollado procedimientos de respaldo automatizados y ha fortalecido la infraestructura tecnológica para minimizar tiempos de inactividad.</w:t>
      </w:r>
    </w:p>
    <w:p w14:paraId="50D3AF9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Entre los principales requisitos del Anexo A.17 se incluye la necesidad de implementar planes de continuidad que aborden posibles fallas en la infraestructura, la tecnología o el suministro de recursos esenciales. Dichos planes deben estar documentados y probados periódicamente, con una frecuencia mínima de una vez al año, para garantizar su efectividad frente a situaciones de emergencia.</w:t>
      </w:r>
    </w:p>
    <w:p w14:paraId="64038D6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También se especifica la importancia de contar con procedimientos de respaldo y recuperación, los cuales deben ser conocidos por los responsables de cada área operativa. Esto garantiza que las acciones de respuesta se ejecuten de manera rápida y efectiva. Áreas como infraestructura tecnológica y soporte técnico han demostrado una mejora significativa en sus tiempos de reacción, gracias a una mayor automatización en los procesos de monitoreo y coordinación interna.</w:t>
      </w:r>
    </w:p>
    <w:p w14:paraId="775514B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el Anexo A.17 resalta la relevancia de mantener una política de mejora continua, asegurando que los planes de continuidad se actualicen en función de las lecciones aprendidas y de los cambios en el entorno empresarial. Recientemente, la implementación de nuevas tecnologías en los sistemas de monitoreo y las actualizaciones en los requisitos de ciberseguridad han motivado ajustes en los procedimientos de respaldo y en los protocolos de respuesta ante incidentes. Estas modificaciones garantizan que la organización se mantenga preparada ante las amenazas emergentes.</w:t>
      </w:r>
    </w:p>
    <w:p w14:paraId="160992D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Anexo A.17 de la norma ISO 27001:2022 establece una serie de controles destinados a garantizar la continuidad del negocio en situaciones de emergencia. Estos controles están diseñados para asegurar la disponibilidad, integridad y confidencialidad de los servicios críticos de la organización.</w:t>
      </w:r>
    </w:p>
    <w:p w14:paraId="0852350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Entre los principales requisitos del Anexo A.17 se incluye la necesidad de implementar planes de continuidad que aborden posibles fallas en la infraestructura, la tecnología o el suministro de recursos esenciales. Dichos planes deben estar documentados y probados periódicamente.</w:t>
      </w:r>
    </w:p>
    <w:p w14:paraId="54C8B32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También se especifica la importancia de contar con procedimientos de respaldo y recuperación, los cuales deben ser conocidos por los responsables de cada área operativa. Esto garantiza que las acciones de respuesta se ejecuten de manera rápida y efectiva.</w:t>
      </w:r>
    </w:p>
    <w:p w14:paraId="328E54D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el Anexo A.17 resalta la relevancia de mantener una política de mejora continua, asegurando que los planes de continuidad se actualicen en función de las lecciones aprendidas y de los cambios en el entorno empresarial.</w:t>
      </w:r>
    </w:p>
    <w:p w14:paraId="195A466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El Anexo A.17 establece la necesidad de controles que aseguren la disponibilidad de los sistemas y servicios críticos durante situaciones de emergencia. Estos controles incluyen la implementación de planes de continuidad, procedimientos de respaldo y mecanismos de </w:t>
      </w:r>
      <w:r w:rsidRPr="006C52A6">
        <w:rPr>
          <w:rFonts w:asciiTheme="minorHAnsi" w:hAnsiTheme="minorHAnsi" w:cstheme="minorHAnsi"/>
          <w:lang w:val="es-CL"/>
        </w:rPr>
        <w:lastRenderedPageBreak/>
        <w:t>comunicación interna y externa. La norma enfatiza la importancia de mantener una política de mejora continua para garantizar que los procesos se ajusten a los cambios en el entorno operativo y tecnológico.</w:t>
      </w:r>
    </w:p>
    <w:p w14:paraId="32DA72E4" w14:textId="77777777" w:rsidR="00452E7F" w:rsidRPr="00452E7F" w:rsidRDefault="00452E7F" w:rsidP="006C52A6">
      <w:pPr>
        <w:pStyle w:val="NormalWeb"/>
        <w:jc w:val="both"/>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80AA2" w14:textId="77777777" w:rsidR="002C40C4" w:rsidRPr="006C52A6" w:rsidRDefault="002C40C4">
      <w:r w:rsidRPr="006C52A6">
        <w:separator/>
      </w:r>
    </w:p>
    <w:p w14:paraId="051CA3F9" w14:textId="77777777" w:rsidR="002C40C4" w:rsidRPr="006C52A6" w:rsidRDefault="002C40C4"/>
    <w:p w14:paraId="36CB46FF" w14:textId="77777777" w:rsidR="002C40C4" w:rsidRPr="006C52A6" w:rsidRDefault="002C40C4"/>
    <w:p w14:paraId="2F6F7FAD" w14:textId="77777777" w:rsidR="002C40C4" w:rsidRPr="006C52A6" w:rsidRDefault="002C40C4" w:rsidP="00C1318C"/>
  </w:endnote>
  <w:endnote w:type="continuationSeparator" w:id="0">
    <w:p w14:paraId="082B8AEB" w14:textId="77777777" w:rsidR="002C40C4" w:rsidRPr="006C52A6" w:rsidRDefault="002C40C4">
      <w:r w:rsidRPr="006C52A6">
        <w:continuationSeparator/>
      </w:r>
    </w:p>
    <w:p w14:paraId="097D073B" w14:textId="77777777" w:rsidR="002C40C4" w:rsidRPr="006C52A6" w:rsidRDefault="002C40C4"/>
    <w:p w14:paraId="1C8B1C35" w14:textId="77777777" w:rsidR="002C40C4" w:rsidRPr="006C52A6" w:rsidRDefault="002C40C4"/>
    <w:p w14:paraId="1FC5D275" w14:textId="77777777" w:rsidR="002C40C4" w:rsidRPr="006C52A6" w:rsidRDefault="002C40C4"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86AD" w14:textId="77777777" w:rsidR="006C52A6" w:rsidRPr="006C52A6" w:rsidRDefault="006C52A6" w:rsidP="006C52A6">
    <w:pPr>
      <w:spacing w:after="0"/>
      <w:ind w:left="1900" w:firstLine="380"/>
      <w:jc w:val="both"/>
      <w:rPr>
        <w:rFonts w:asciiTheme="minorHAnsi" w:hAnsiTheme="minorHAnsi" w:cstheme="minorHAnsi"/>
        <w:b/>
        <w:bCs/>
      </w:rPr>
    </w:pPr>
    <w:r w:rsidRPr="006C52A6">
      <w:rPr>
        <w:rFonts w:ascii="Calibri" w:hAnsi="Calibri" w:cs="Calibri"/>
        <w:szCs w:val="22"/>
      </w:rPr>
      <w:t xml:space="preserve">Anexo A.17   </w:t>
    </w:r>
    <w:r w:rsidRPr="006C52A6">
      <w:rPr>
        <w:rFonts w:asciiTheme="minorHAnsi" w:hAnsiTheme="minorHAnsi" w:cstheme="minorHAnsi"/>
        <w:b/>
        <w:bCs/>
      </w:rPr>
      <w:t>Política de Gestión de Continuidad del Negocio</w:t>
    </w:r>
  </w:p>
  <w:p w14:paraId="361F1247" w14:textId="39239E6F" w:rsidR="00AB01A2" w:rsidRPr="006C52A6" w:rsidRDefault="00AB01A2" w:rsidP="006C52A6">
    <w:pPr>
      <w:pStyle w:val="Piedepgina"/>
    </w:pPr>
  </w:p>
  <w:p w14:paraId="54245CE8" w14:textId="77777777" w:rsidR="006C52A6" w:rsidRPr="006C52A6" w:rsidRDefault="006C52A6" w:rsidP="006C52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DE1E" w14:textId="77777777" w:rsidR="002C40C4" w:rsidRPr="006C52A6" w:rsidRDefault="002C40C4">
      <w:r w:rsidRPr="006C52A6">
        <w:separator/>
      </w:r>
    </w:p>
    <w:p w14:paraId="21811A2A" w14:textId="77777777" w:rsidR="002C40C4" w:rsidRPr="006C52A6" w:rsidRDefault="002C40C4"/>
    <w:p w14:paraId="70D57B12" w14:textId="77777777" w:rsidR="002C40C4" w:rsidRPr="006C52A6" w:rsidRDefault="002C40C4"/>
    <w:p w14:paraId="48DF5C1F" w14:textId="77777777" w:rsidR="002C40C4" w:rsidRPr="006C52A6" w:rsidRDefault="002C40C4" w:rsidP="00C1318C"/>
  </w:footnote>
  <w:footnote w:type="continuationSeparator" w:id="0">
    <w:p w14:paraId="4C828B41" w14:textId="77777777" w:rsidR="002C40C4" w:rsidRPr="006C52A6" w:rsidRDefault="002C40C4">
      <w:r w:rsidRPr="006C52A6">
        <w:continuationSeparator/>
      </w:r>
    </w:p>
    <w:p w14:paraId="4725151A" w14:textId="77777777" w:rsidR="002C40C4" w:rsidRPr="006C52A6" w:rsidRDefault="002C40C4"/>
    <w:p w14:paraId="74A77423" w14:textId="77777777" w:rsidR="002C40C4" w:rsidRPr="006C52A6" w:rsidRDefault="002C40C4"/>
    <w:p w14:paraId="571F5FEB" w14:textId="77777777" w:rsidR="002C40C4" w:rsidRPr="006C52A6" w:rsidRDefault="002C40C4"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6C52A6" w:rsidRDefault="001637D6">
    <w:r w:rsidRPr="006C52A6">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4D3"/>
    <w:multiLevelType w:val="multilevel"/>
    <w:tmpl w:val="A21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9206D"/>
    <w:multiLevelType w:val="multilevel"/>
    <w:tmpl w:val="709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334F90"/>
    <w:multiLevelType w:val="multilevel"/>
    <w:tmpl w:val="F9C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C548B4"/>
    <w:multiLevelType w:val="multilevel"/>
    <w:tmpl w:val="A6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10169"/>
    <w:multiLevelType w:val="multilevel"/>
    <w:tmpl w:val="6B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3" w15:restartNumberingAfterBreak="0">
    <w:nsid w:val="66255CD1"/>
    <w:multiLevelType w:val="multilevel"/>
    <w:tmpl w:val="FF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8"/>
  </w:num>
  <w:num w:numId="3" w16cid:durableId="1494763561">
    <w:abstractNumId w:val="16"/>
  </w:num>
  <w:num w:numId="4" w16cid:durableId="2135100286">
    <w:abstractNumId w:val="40"/>
  </w:num>
  <w:num w:numId="5" w16cid:durableId="1000818834">
    <w:abstractNumId w:val="21"/>
  </w:num>
  <w:num w:numId="6" w16cid:durableId="1632788525">
    <w:abstractNumId w:val="52"/>
  </w:num>
  <w:num w:numId="7" w16cid:durableId="1321421067">
    <w:abstractNumId w:val="36"/>
  </w:num>
  <w:num w:numId="8" w16cid:durableId="352341285">
    <w:abstractNumId w:val="42"/>
  </w:num>
  <w:num w:numId="9" w16cid:durableId="27727978">
    <w:abstractNumId w:val="34"/>
  </w:num>
  <w:num w:numId="10" w16cid:durableId="1859850961">
    <w:abstractNumId w:val="14"/>
  </w:num>
  <w:num w:numId="11" w16cid:durableId="1630670735">
    <w:abstractNumId w:val="19"/>
  </w:num>
  <w:num w:numId="12" w16cid:durableId="1692032352">
    <w:abstractNumId w:val="21"/>
  </w:num>
  <w:num w:numId="13" w16cid:durableId="1393849829">
    <w:abstractNumId w:val="21"/>
  </w:num>
  <w:num w:numId="14" w16cid:durableId="815293384">
    <w:abstractNumId w:val="21"/>
  </w:num>
  <w:num w:numId="15" w16cid:durableId="1977754839">
    <w:abstractNumId w:val="50"/>
  </w:num>
  <w:num w:numId="16" w16cid:durableId="240061859">
    <w:abstractNumId w:val="23"/>
  </w:num>
  <w:num w:numId="17" w16cid:durableId="1741440573">
    <w:abstractNumId w:val="37"/>
  </w:num>
  <w:num w:numId="18" w16cid:durableId="404303887">
    <w:abstractNumId w:val="25"/>
  </w:num>
  <w:num w:numId="19" w16cid:durableId="1072853763">
    <w:abstractNumId w:val="7"/>
  </w:num>
  <w:num w:numId="20" w16cid:durableId="888345100">
    <w:abstractNumId w:val="28"/>
  </w:num>
  <w:num w:numId="21" w16cid:durableId="2083486945">
    <w:abstractNumId w:val="31"/>
  </w:num>
  <w:num w:numId="22" w16cid:durableId="1412317948">
    <w:abstractNumId w:val="1"/>
  </w:num>
  <w:num w:numId="23" w16cid:durableId="1332220685">
    <w:abstractNumId w:val="48"/>
  </w:num>
  <w:num w:numId="24" w16cid:durableId="587539902">
    <w:abstractNumId w:val="51"/>
  </w:num>
  <w:num w:numId="25" w16cid:durableId="1814641950">
    <w:abstractNumId w:val="13"/>
  </w:num>
  <w:num w:numId="26" w16cid:durableId="805513463">
    <w:abstractNumId w:val="3"/>
  </w:num>
  <w:num w:numId="27" w16cid:durableId="1555776139">
    <w:abstractNumId w:val="54"/>
  </w:num>
  <w:num w:numId="28" w16cid:durableId="2123913244">
    <w:abstractNumId w:val="15"/>
  </w:num>
  <w:num w:numId="29" w16cid:durableId="874922778">
    <w:abstractNumId w:val="26"/>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5"/>
  </w:num>
  <w:num w:numId="36" w16cid:durableId="674503644">
    <w:abstractNumId w:val="12"/>
  </w:num>
  <w:num w:numId="37" w16cid:durableId="1888105176">
    <w:abstractNumId w:val="53"/>
  </w:num>
  <w:num w:numId="38" w16cid:durableId="342171148">
    <w:abstractNumId w:val="17"/>
  </w:num>
  <w:num w:numId="39" w16cid:durableId="1308512191">
    <w:abstractNumId w:val="44"/>
  </w:num>
  <w:num w:numId="40" w16cid:durableId="751203121">
    <w:abstractNumId w:val="9"/>
  </w:num>
  <w:num w:numId="41" w16cid:durableId="1001616379">
    <w:abstractNumId w:val="47"/>
  </w:num>
  <w:num w:numId="42" w16cid:durableId="157235028">
    <w:abstractNumId w:val="32"/>
  </w:num>
  <w:num w:numId="43" w16cid:durableId="1076974531">
    <w:abstractNumId w:val="30"/>
  </w:num>
  <w:num w:numId="44" w16cid:durableId="908157133">
    <w:abstractNumId w:val="11"/>
  </w:num>
  <w:num w:numId="45" w16cid:durableId="1528714069">
    <w:abstractNumId w:val="46"/>
  </w:num>
  <w:num w:numId="46" w16cid:durableId="1350448151">
    <w:abstractNumId w:val="38"/>
  </w:num>
  <w:num w:numId="47" w16cid:durableId="134489178">
    <w:abstractNumId w:val="27"/>
  </w:num>
  <w:num w:numId="48" w16cid:durableId="904069908">
    <w:abstractNumId w:val="35"/>
  </w:num>
  <w:num w:numId="49" w16cid:durableId="876355981">
    <w:abstractNumId w:val="20"/>
  </w:num>
  <w:num w:numId="50" w16cid:durableId="1270042179">
    <w:abstractNumId w:val="39"/>
  </w:num>
  <w:num w:numId="51" w16cid:durableId="610477338">
    <w:abstractNumId w:val="10"/>
  </w:num>
  <w:num w:numId="52" w16cid:durableId="1976401646">
    <w:abstractNumId w:val="4"/>
  </w:num>
  <w:num w:numId="53" w16cid:durableId="1718821827">
    <w:abstractNumId w:val="29"/>
  </w:num>
  <w:num w:numId="54" w16cid:durableId="404844148">
    <w:abstractNumId w:val="8"/>
  </w:num>
  <w:num w:numId="55" w16cid:durableId="819855879">
    <w:abstractNumId w:val="22"/>
  </w:num>
  <w:num w:numId="56" w16cid:durableId="362633569">
    <w:abstractNumId w:val="49"/>
  </w:num>
  <w:num w:numId="57" w16cid:durableId="1352414086">
    <w:abstractNumId w:val="2"/>
  </w:num>
  <w:num w:numId="58" w16cid:durableId="1713769641">
    <w:abstractNumId w:val="33"/>
  </w:num>
  <w:num w:numId="59" w16cid:durableId="1667005986">
    <w:abstractNumId w:val="43"/>
  </w:num>
  <w:num w:numId="60" w16cid:durableId="946737126">
    <w:abstractNumId w:val="24"/>
  </w:num>
  <w:num w:numId="61" w16cid:durableId="1865289381">
    <w:abstractNumId w:val="6"/>
  </w:num>
  <w:num w:numId="62" w16cid:durableId="101954654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40C4"/>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3F50"/>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122F"/>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C52A6"/>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0EF8"/>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1BDC"/>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D02"/>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55088"/>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39">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2936930">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003526">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0623925">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9759763">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8933081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71A18"/>
    <w:rsid w:val="001C466F"/>
    <w:rsid w:val="00263F00"/>
    <w:rsid w:val="00363C37"/>
    <w:rsid w:val="00383C66"/>
    <w:rsid w:val="00383C88"/>
    <w:rsid w:val="00390CD5"/>
    <w:rsid w:val="003F3F50"/>
    <w:rsid w:val="00483F4E"/>
    <w:rsid w:val="004F1616"/>
    <w:rsid w:val="00503E58"/>
    <w:rsid w:val="005910A7"/>
    <w:rsid w:val="006C7BDF"/>
    <w:rsid w:val="00737BAE"/>
    <w:rsid w:val="00871B28"/>
    <w:rsid w:val="00912671"/>
    <w:rsid w:val="00930D52"/>
    <w:rsid w:val="009C1F3E"/>
    <w:rsid w:val="00B63AF7"/>
    <w:rsid w:val="00B92933"/>
    <w:rsid w:val="00C81A8B"/>
    <w:rsid w:val="00D23467"/>
    <w:rsid w:val="00D36B5D"/>
    <w:rsid w:val="00E15EF5"/>
    <w:rsid w:val="00E55088"/>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5965</Words>
  <Characters>32810</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38698</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2025-02-10T04:21:00Z</dcterms:created>
  <dcterms:modified xsi:type="dcterms:W3CDTF">2025-03-31T04:40:00Z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