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4BCCA" w14:textId="77777777" w:rsidR="008D71D1" w:rsidRPr="008D71D1" w:rsidRDefault="008D71D1" w:rsidP="008D71D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Regulaciones de Infraestructura Crítica para Anaconda Web</w:t>
      </w:r>
    </w:p>
    <w:p w14:paraId="717FEB7D" w14:textId="77777777" w:rsidR="008D71D1" w:rsidRPr="008D71D1" w:rsidRDefault="008D71D1" w:rsidP="008D71D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1. Infraestructura Crítica y Normativas Internacionales</w:t>
      </w:r>
    </w:p>
    <w:p w14:paraId="537A00B0" w14:textId="77777777" w:rsidR="008D71D1" w:rsidRPr="008D71D1" w:rsidRDefault="008D71D1" w:rsidP="008D71D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La </w:t>
      </w:r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infraestructura crítica</w:t>
      </w: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incluye los sistemas, activos y servicios esenciales para el correcto funcionamiento de sectores estratégicos como la energía, las telecomunicaciones, los servicios financieros y los centros de datos. Su protección es una prioridad a nivel global, ya que cualquier interrupción o vulnerabilidad en estos sistemas puede tener consecuencias catastróficas en términos sociales, económicos, y de seguridad nacional.</w:t>
      </w:r>
    </w:p>
    <w:p w14:paraId="0A793788" w14:textId="77777777" w:rsidR="008D71D1" w:rsidRPr="008D71D1" w:rsidRDefault="008D71D1" w:rsidP="008D71D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>La necesidad de proteger la infraestructura crítica está respaldada por normativas internacionales y acuerdos multilaterales. Entre ellos, destaca el Convenio de Budapest sobre delitos informáticos y el trabajo del Foro Económico Mundial en torno a la ciberseguridad global. Estas normativas promueven un enfoque coordinado entre gobiernos, empresas privadas y organismos internacionales para asegurar la resiliencia de estas infraestructuras.</w:t>
      </w:r>
    </w:p>
    <w:p w14:paraId="67541CD8" w14:textId="77777777" w:rsidR="008D71D1" w:rsidRPr="008D71D1" w:rsidRDefault="008D71D1" w:rsidP="008D71D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Importancia de la Infraestructura Crítica para Anaconda Web:</w:t>
      </w:r>
    </w:p>
    <w:p w14:paraId="20E36C67" w14:textId="77777777" w:rsidR="008D71D1" w:rsidRPr="008D71D1" w:rsidRDefault="008D71D1" w:rsidP="008D71D1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Continuidad de Servicio:</w:t>
      </w: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Anaconda Web debe garantizar una infraestructura capaz de mantener servicios digitales sin interrupciones, incluso frente a desastres naturales, cortes de energía o ciberataques masivos.</w:t>
      </w:r>
    </w:p>
    <w:p w14:paraId="4FC26E67" w14:textId="77777777" w:rsidR="008D71D1" w:rsidRPr="008D71D1" w:rsidRDefault="008D71D1" w:rsidP="008D71D1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Resiliencia Operativa:</w:t>
      </w: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Se requiere el diseño de sistemas que puedan recuperarse rápidamente de fallos y que cuenten con planes de contingencia claros y efectivos.</w:t>
      </w:r>
    </w:p>
    <w:p w14:paraId="71124E17" w14:textId="77777777" w:rsidR="008D71D1" w:rsidRPr="008D71D1" w:rsidRDefault="008D71D1" w:rsidP="008D71D1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Cumplimiento Normativo:</w:t>
      </w: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Seguir regulaciones internacionales como la ISO/IEC 27001 y estándares nacionales evita sanciones legales y asegura la confianza de los clientes y socios.</w:t>
      </w:r>
    </w:p>
    <w:p w14:paraId="664ABF0A" w14:textId="77777777" w:rsidR="008D71D1" w:rsidRPr="008D71D1" w:rsidRDefault="008D71D1" w:rsidP="008D71D1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Protección de Datos Sensibles:</w:t>
      </w: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La confidencialidad y privacidad de los datos almacenados en los servidores de Anaconda Web deben estar protegidas contra accesos no autorizados, tanto físicos como digitales.</w:t>
      </w:r>
    </w:p>
    <w:p w14:paraId="5C8FD80B" w14:textId="77777777" w:rsidR="008D71D1" w:rsidRPr="008D71D1" w:rsidRDefault="008D71D1" w:rsidP="008D71D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Además, Anaconda Web puede beneficiarse de la implementación de marcos internacionales como el CIS </w:t>
      </w:r>
      <w:proofErr w:type="spellStart"/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>Controls</w:t>
      </w:r>
      <w:proofErr w:type="spellEnd"/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y la adopción de normativas locales para aumentar su capacidad de identificar, prevenir y mitigar riesgos operativos.</w:t>
      </w:r>
    </w:p>
    <w:p w14:paraId="215414A5" w14:textId="77777777" w:rsidR="008D71D1" w:rsidRPr="008D71D1" w:rsidRDefault="008D71D1" w:rsidP="008D71D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2. Normativa ANSI/TIA-942 para Data Centers</w:t>
      </w:r>
    </w:p>
    <w:p w14:paraId="31A8BC95" w14:textId="77777777" w:rsidR="008D71D1" w:rsidRPr="008D71D1" w:rsidRDefault="008D71D1" w:rsidP="008D71D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La </w:t>
      </w:r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normativa ANSI/TIA-942</w:t>
      </w: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establece un conjunto de directrices técnicas para la construcción y operación de centros de datos con estándares de calidad mundial. Abarca aspectos clave como la redundancia, la eficiencia energética, la seguridad física y el diseño escalable.</w:t>
      </w:r>
    </w:p>
    <w:p w14:paraId="31577446" w14:textId="77777777" w:rsidR="008D71D1" w:rsidRPr="008D71D1" w:rsidRDefault="008D71D1" w:rsidP="008D71D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Elementos Clave del Estándar TIA-942:</w:t>
      </w:r>
    </w:p>
    <w:p w14:paraId="03147A99" w14:textId="77777777" w:rsidR="008D71D1" w:rsidRPr="008D71D1" w:rsidRDefault="008D71D1" w:rsidP="008D71D1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lastRenderedPageBreak/>
        <w:t>Redundancia:</w:t>
      </w: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Proporciona especificaciones para asegurar que los centros de datos tengan múltiples rutas de energía, conectividad y enfriamiento. Esto permite la continuidad del servicio, incluso frente a fallos críticos.</w:t>
      </w:r>
    </w:p>
    <w:p w14:paraId="43AFF8E7" w14:textId="77777777" w:rsidR="008D71D1" w:rsidRPr="008D71D1" w:rsidRDefault="008D71D1" w:rsidP="008D71D1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Eficiencia Energética:</w:t>
      </w: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Promueve prácticas de sostenibilidad mediante la implementación de sistemas de enfriamiento y distribución de energía eficientes, como tecnologías de free cooling y energía renovable.</w:t>
      </w:r>
    </w:p>
    <w:p w14:paraId="50EC8E09" w14:textId="77777777" w:rsidR="008D71D1" w:rsidRPr="008D71D1" w:rsidRDefault="008D71D1" w:rsidP="008D71D1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Seguridad Física:</w:t>
      </w: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Establece requisitos para controles de acceso avanzados, barreras perimetrales, monitoreo en tiempo real y sistemas automatizados de detección de intrusiones.</w:t>
      </w:r>
    </w:p>
    <w:p w14:paraId="1E11D121" w14:textId="77777777" w:rsidR="008D71D1" w:rsidRPr="008D71D1" w:rsidRDefault="008D71D1" w:rsidP="008D71D1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Enfriamiento:</w:t>
      </w: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Garantiza la estabilidad operativa de los equipos mediante soluciones de enfriamiento avanzadas, incluyendo contención de pasillos fríos/calientes y sistemas de respaldo para climatización.</w:t>
      </w:r>
    </w:p>
    <w:p w14:paraId="2C909B02" w14:textId="77777777" w:rsidR="008D71D1" w:rsidRPr="008D71D1" w:rsidRDefault="008D71D1" w:rsidP="008D71D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Niveles de Clasificación del TIA-942:</w:t>
      </w:r>
    </w:p>
    <w:p w14:paraId="42976229" w14:textId="77777777" w:rsidR="008D71D1" w:rsidRPr="008D71D1" w:rsidRDefault="008D71D1" w:rsidP="008D71D1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proofErr w:type="spellStart"/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Tier</w:t>
      </w:r>
      <w:proofErr w:type="spellEnd"/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 xml:space="preserve"> 1: Básico:</w:t>
      </w:r>
    </w:p>
    <w:p w14:paraId="449D8ED8" w14:textId="77777777" w:rsidR="008D71D1" w:rsidRPr="008D71D1" w:rsidRDefault="008D71D1" w:rsidP="008D71D1">
      <w:pPr>
        <w:numPr>
          <w:ilvl w:val="1"/>
          <w:numId w:val="57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>Centros de datos con una sola ruta para distribución de energía y enfriamiento.</w:t>
      </w:r>
    </w:p>
    <w:p w14:paraId="6B7DC70A" w14:textId="77777777" w:rsidR="008D71D1" w:rsidRPr="008D71D1" w:rsidRDefault="008D71D1" w:rsidP="008D71D1">
      <w:pPr>
        <w:numPr>
          <w:ilvl w:val="1"/>
          <w:numId w:val="57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>Sin sistemas redundantes.</w:t>
      </w:r>
    </w:p>
    <w:p w14:paraId="5349AAEA" w14:textId="77777777" w:rsidR="008D71D1" w:rsidRPr="008D71D1" w:rsidRDefault="008D71D1" w:rsidP="008D71D1">
      <w:pPr>
        <w:numPr>
          <w:ilvl w:val="1"/>
          <w:numId w:val="57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>Apropiado para operaciones no críticas.</w:t>
      </w:r>
    </w:p>
    <w:p w14:paraId="4C2EBC95" w14:textId="77777777" w:rsidR="008D71D1" w:rsidRPr="008D71D1" w:rsidRDefault="008D71D1" w:rsidP="008D71D1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proofErr w:type="spellStart"/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Tier</w:t>
      </w:r>
      <w:proofErr w:type="spellEnd"/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 xml:space="preserve"> 2: Redundancia Parcial:</w:t>
      </w:r>
    </w:p>
    <w:p w14:paraId="38057759" w14:textId="77777777" w:rsidR="008D71D1" w:rsidRPr="008D71D1" w:rsidRDefault="008D71D1" w:rsidP="008D71D1">
      <w:pPr>
        <w:numPr>
          <w:ilvl w:val="1"/>
          <w:numId w:val="57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>Incluye sistemas redundantes en algunos subsistemas clave.</w:t>
      </w:r>
    </w:p>
    <w:p w14:paraId="44C0554B" w14:textId="77777777" w:rsidR="008D71D1" w:rsidRPr="008D71D1" w:rsidRDefault="008D71D1" w:rsidP="008D71D1">
      <w:pPr>
        <w:numPr>
          <w:ilvl w:val="1"/>
          <w:numId w:val="57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>Ideal para pequeñas empresas con cargas de trabajo moderadamente críticas.</w:t>
      </w:r>
    </w:p>
    <w:p w14:paraId="2194EE6C" w14:textId="77777777" w:rsidR="008D71D1" w:rsidRPr="008D71D1" w:rsidRDefault="008D71D1" w:rsidP="008D71D1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proofErr w:type="spellStart"/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Tier</w:t>
      </w:r>
      <w:proofErr w:type="spellEnd"/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 xml:space="preserve"> 3: Mantenimiento Concurrente:</w:t>
      </w:r>
    </w:p>
    <w:p w14:paraId="698B6658" w14:textId="77777777" w:rsidR="008D71D1" w:rsidRPr="008D71D1" w:rsidRDefault="008D71D1" w:rsidP="008D71D1">
      <w:pPr>
        <w:numPr>
          <w:ilvl w:val="1"/>
          <w:numId w:val="57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>Permite la realización de mantenimientos sin interrumpir la operación.</w:t>
      </w:r>
    </w:p>
    <w:p w14:paraId="23E23841" w14:textId="77777777" w:rsidR="008D71D1" w:rsidRPr="008D71D1" w:rsidRDefault="008D71D1" w:rsidP="008D71D1">
      <w:pPr>
        <w:numPr>
          <w:ilvl w:val="1"/>
          <w:numId w:val="57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>Requiere múltiples rutas activas para energía y enfriamiento.</w:t>
      </w:r>
    </w:p>
    <w:p w14:paraId="3894D9E0" w14:textId="77777777" w:rsidR="008D71D1" w:rsidRPr="008D71D1" w:rsidRDefault="008D71D1" w:rsidP="008D71D1">
      <w:pPr>
        <w:numPr>
          <w:ilvl w:val="1"/>
          <w:numId w:val="57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>Ampliamente utilizado en industrias donde la continuidad es crucial.</w:t>
      </w:r>
    </w:p>
    <w:p w14:paraId="41772C0F" w14:textId="77777777" w:rsidR="008D71D1" w:rsidRPr="008D71D1" w:rsidRDefault="008D71D1" w:rsidP="008D71D1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proofErr w:type="spellStart"/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Tier</w:t>
      </w:r>
      <w:proofErr w:type="spellEnd"/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 xml:space="preserve"> 4: Tolerancia a Fallos:</w:t>
      </w:r>
    </w:p>
    <w:p w14:paraId="13E21272" w14:textId="77777777" w:rsidR="008D71D1" w:rsidRPr="008D71D1" w:rsidRDefault="008D71D1" w:rsidP="008D71D1">
      <w:pPr>
        <w:numPr>
          <w:ilvl w:val="1"/>
          <w:numId w:val="57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>Diseñado para garantizar operaciones ininterrumpidas frente a múltiples fallos simultáneos.</w:t>
      </w:r>
    </w:p>
    <w:p w14:paraId="62EA4E78" w14:textId="77777777" w:rsidR="008D71D1" w:rsidRPr="008D71D1" w:rsidRDefault="008D71D1" w:rsidP="008D71D1">
      <w:pPr>
        <w:numPr>
          <w:ilvl w:val="1"/>
          <w:numId w:val="57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>Cada componente es redundante e independiente.</w:t>
      </w:r>
    </w:p>
    <w:p w14:paraId="51D12E21" w14:textId="77777777" w:rsidR="008D71D1" w:rsidRPr="008D71D1" w:rsidRDefault="008D71D1" w:rsidP="008D71D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>La implementación de estos niveles permite a las empresas, como Anaconda Web, seleccionar el estándar más adecuado según sus necesidades operativas y las expectativas de sus clientes.</w:t>
      </w:r>
    </w:p>
    <w:p w14:paraId="14D87E18" w14:textId="77777777" w:rsidR="008D71D1" w:rsidRPr="008D71D1" w:rsidRDefault="008D71D1" w:rsidP="008D71D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3. Regulaciones Chilenas Relacionadas con Infraestructura Crítica</w:t>
      </w:r>
    </w:p>
    <w:p w14:paraId="506A1411" w14:textId="77777777" w:rsidR="008D71D1" w:rsidRPr="008D71D1" w:rsidRDefault="008D71D1" w:rsidP="008D71D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>En Chile, la infraestructura crítica está protegida por una serie de leyes y normativas específicas que aseguran su funcionamiento continuo y su resistencia ante eventos disruptivos.</w:t>
      </w:r>
    </w:p>
    <w:p w14:paraId="1090B69B" w14:textId="77777777" w:rsidR="008D71D1" w:rsidRPr="008D71D1" w:rsidRDefault="008D71D1" w:rsidP="008D71D1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proofErr w:type="gramStart"/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lastRenderedPageBreak/>
        <w:t>Ley N.º</w:t>
      </w:r>
      <w:proofErr w:type="gramEnd"/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 xml:space="preserve"> 21.459 de Delitos Informáticos:</w:t>
      </w: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Actualiza el marco jurídico para sancionar conductas como el acceso no autorizado, sabotaje y ciberataques a sistemas críticos.</w:t>
      </w:r>
    </w:p>
    <w:p w14:paraId="1ABA1767" w14:textId="77777777" w:rsidR="008D71D1" w:rsidRPr="008D71D1" w:rsidRDefault="008D71D1" w:rsidP="008D71D1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Norma Técnica de Ciberseguridad:</w:t>
      </w: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Obligatoria para instituciones públicas y recomendada para privadas, detalla controles esenciales para la protección de sistemas críticos.</w:t>
      </w:r>
    </w:p>
    <w:p w14:paraId="70207BA5" w14:textId="77777777" w:rsidR="008D71D1" w:rsidRPr="008D71D1" w:rsidRDefault="008D71D1" w:rsidP="008D71D1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Plan Nacional de Ciberseguridad:</w:t>
      </w: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Contiene lineamientos específicos para proteger sectores estratégicos como telecomunicaciones, energía y finanzas.</w:t>
      </w:r>
    </w:p>
    <w:p w14:paraId="29344FBF" w14:textId="77777777" w:rsidR="008D71D1" w:rsidRPr="008D71D1" w:rsidRDefault="008D71D1" w:rsidP="008D71D1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Regulación de Continuidad Operativa:</w:t>
      </w: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Establece la obligatoriedad de contar con planes de recuperación ante desastres y auditorías regulares en infraestructuras críticas.</w:t>
      </w:r>
    </w:p>
    <w:p w14:paraId="56E40DF4" w14:textId="77777777" w:rsidR="008D71D1" w:rsidRPr="008D71D1" w:rsidRDefault="008D71D1" w:rsidP="008D71D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>Estas regulaciones aseguran que empresas como Anaconda Web puedan operar en un entorno regulado, aumentando su resiliencia frente a amenazas emergentes.</w:t>
      </w:r>
    </w:p>
    <w:p w14:paraId="1DC8FC96" w14:textId="77777777" w:rsidR="008D71D1" w:rsidRPr="008D71D1" w:rsidRDefault="008D71D1" w:rsidP="008D71D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4. Estándares Complementarios para Infraestructura de Data Centers</w:t>
      </w:r>
    </w:p>
    <w:p w14:paraId="428ED6D1" w14:textId="77777777" w:rsidR="008D71D1" w:rsidRPr="008D71D1" w:rsidRDefault="008D71D1" w:rsidP="008D71D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>Además del estándar ANSI/TIA-942, hay marcos adicionales que proporcionan lineamientos detallados para mejorar la seguridad y resiliencia:</w:t>
      </w:r>
    </w:p>
    <w:p w14:paraId="7CD3DEF9" w14:textId="77777777" w:rsidR="008D71D1" w:rsidRPr="008D71D1" w:rsidRDefault="008D71D1" w:rsidP="008D71D1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ISO/IEC 27001:</w:t>
      </w: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Marco esencial para la gestión de seguridad de la información, aplicable a centros de datos y servicios en la nube.</w:t>
      </w:r>
    </w:p>
    <w:p w14:paraId="671DE87F" w14:textId="77777777" w:rsidR="008D71D1" w:rsidRPr="008D71D1" w:rsidRDefault="008D71D1" w:rsidP="008D71D1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ISO/IEC 27017:</w:t>
      </w: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Proporciona controles específicos para la seguridad en entornos de computación en la nube.</w:t>
      </w:r>
    </w:p>
    <w:p w14:paraId="016D3BAA" w14:textId="77777777" w:rsidR="008D71D1" w:rsidRPr="008D71D1" w:rsidRDefault="008D71D1" w:rsidP="008D71D1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ISO/IEC 22301:</w:t>
      </w: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Ayuda a las organizaciones a establecer sistemas de gestión de continuidad del negocio.</w:t>
      </w:r>
    </w:p>
    <w:p w14:paraId="56968EF8" w14:textId="77777777" w:rsidR="008D71D1" w:rsidRPr="008D71D1" w:rsidRDefault="008D71D1" w:rsidP="008D71D1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NFPA 75:</w:t>
      </w: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Aborda la protección contra incendios en centros de datos.</w:t>
      </w:r>
    </w:p>
    <w:p w14:paraId="68F7B25C" w14:textId="77777777" w:rsidR="008D71D1" w:rsidRPr="008D71D1" w:rsidRDefault="008D71D1" w:rsidP="008D71D1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SOC 2:</w:t>
      </w: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Evalúa los controles internos de una organización relacionados con seguridad, disponibilidad, integridad del procesamiento y privacidad.</w:t>
      </w:r>
    </w:p>
    <w:p w14:paraId="018258CE" w14:textId="77777777" w:rsidR="008D71D1" w:rsidRPr="008D71D1" w:rsidRDefault="008D71D1" w:rsidP="008D71D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>Comparar estas normativas permite a Anaconda Web adoptar un enfoque híbrido, combinando las mejores prácticas de varios estándares.</w:t>
      </w:r>
    </w:p>
    <w:p w14:paraId="028660A6" w14:textId="77777777" w:rsidR="008D71D1" w:rsidRPr="008D71D1" w:rsidRDefault="008D71D1" w:rsidP="008D71D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5. Recomendaciones para Anaconda Web en la Implementación de Normativas de Infraestructura Crítica</w:t>
      </w:r>
    </w:p>
    <w:p w14:paraId="783660A1" w14:textId="77777777" w:rsidR="008D71D1" w:rsidRPr="008D71D1" w:rsidRDefault="008D71D1" w:rsidP="008D71D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>Para garantizar el cumplimiento normativo y la excelencia operativa, se recomienda:</w:t>
      </w:r>
    </w:p>
    <w:p w14:paraId="59260B60" w14:textId="77777777" w:rsidR="008D71D1" w:rsidRPr="008D71D1" w:rsidRDefault="008D71D1" w:rsidP="008D71D1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Certificación en Múltiples Normativas:</w:t>
      </w: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Adquirir certificaciones en ANSI/TIA-942, ISO/IEC 27001 e ISO/IEC 22301.</w:t>
      </w:r>
    </w:p>
    <w:p w14:paraId="238F5198" w14:textId="77777777" w:rsidR="008D71D1" w:rsidRPr="008D71D1" w:rsidRDefault="008D71D1" w:rsidP="008D71D1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Evaluación de Riesgos:</w:t>
      </w: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Realizar análisis detallados de amenazas y vulnerabilidades.</w:t>
      </w:r>
    </w:p>
    <w:p w14:paraId="4C3A0764" w14:textId="77777777" w:rsidR="008D71D1" w:rsidRPr="008D71D1" w:rsidRDefault="008D71D1" w:rsidP="008D71D1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Automatización de Procesos:</w:t>
      </w: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Incorporar tecnologías que permitan monitoreo y respuesta en tiempo real.</w:t>
      </w:r>
    </w:p>
    <w:p w14:paraId="693A52A1" w14:textId="77777777" w:rsidR="008D71D1" w:rsidRPr="008D71D1" w:rsidRDefault="008D71D1" w:rsidP="008D71D1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Capacitación Permanente:</w:t>
      </w: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Asegurar que todos los empleados comprendan su rol en la seguridad operativa.</w:t>
      </w:r>
    </w:p>
    <w:p w14:paraId="7D80D961" w14:textId="77777777" w:rsidR="008D71D1" w:rsidRPr="008D71D1" w:rsidRDefault="008D71D1" w:rsidP="008D71D1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lastRenderedPageBreak/>
        <w:t>Redundancia Avanzada:</w:t>
      </w: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Adoptar diseños que soporten fallos sin interrumpir operaciones.</w:t>
      </w:r>
    </w:p>
    <w:p w14:paraId="1AD6F22E" w14:textId="77777777" w:rsidR="008D71D1" w:rsidRPr="008D71D1" w:rsidRDefault="008D71D1" w:rsidP="008D71D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6. Beneficios de Cumplir con las Normativas de Infraestructura Crítica</w:t>
      </w:r>
    </w:p>
    <w:p w14:paraId="43159A17" w14:textId="77777777" w:rsidR="008D71D1" w:rsidRPr="008D71D1" w:rsidRDefault="008D71D1" w:rsidP="008D71D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>Adoptar estas regulaciones asegura:</w:t>
      </w:r>
    </w:p>
    <w:p w14:paraId="2EC533DB" w14:textId="77777777" w:rsidR="008D71D1" w:rsidRPr="008D71D1" w:rsidRDefault="008D71D1" w:rsidP="008D71D1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Mayor Disponibilidad:</w:t>
      </w: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Operaciones continuas frente a fallos.</w:t>
      </w:r>
    </w:p>
    <w:p w14:paraId="5E6327AE" w14:textId="77777777" w:rsidR="008D71D1" w:rsidRPr="008D71D1" w:rsidRDefault="008D71D1" w:rsidP="008D71D1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Confianza del Cliente:</w:t>
      </w: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Percepción de fiabilidad y profesionalismo.</w:t>
      </w:r>
    </w:p>
    <w:p w14:paraId="1CF63739" w14:textId="77777777" w:rsidR="008D71D1" w:rsidRPr="008D71D1" w:rsidRDefault="008D71D1" w:rsidP="008D71D1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Reducción de Riesgos:</w:t>
      </w: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Mitigación de impactos por ciberataques o desastres naturales.</w:t>
      </w:r>
    </w:p>
    <w:p w14:paraId="2CB14699" w14:textId="77777777" w:rsidR="008D71D1" w:rsidRPr="008D71D1" w:rsidRDefault="008D71D1" w:rsidP="008D71D1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Ventaja Competitiva:</w:t>
      </w: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Posicionamiento como proveedor líder.</w:t>
      </w:r>
    </w:p>
    <w:p w14:paraId="27EE1A99" w14:textId="77777777" w:rsidR="008D71D1" w:rsidRPr="008D71D1" w:rsidRDefault="008D71D1" w:rsidP="008D71D1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Cumplimiento Legal:</w:t>
      </w: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Evita sanciones y mejora la reputación corporativa.</w:t>
      </w:r>
    </w:p>
    <w:p w14:paraId="4E6925D0" w14:textId="77777777" w:rsidR="008D71D1" w:rsidRPr="008D71D1" w:rsidRDefault="008D71D1" w:rsidP="008D71D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Conclusión</w:t>
      </w:r>
    </w:p>
    <w:p w14:paraId="32DC7E32" w14:textId="77777777" w:rsidR="008D71D1" w:rsidRPr="008D71D1" w:rsidRDefault="008D71D1" w:rsidP="008D71D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8D71D1">
        <w:rPr>
          <w:rFonts w:ascii="Calibri" w:eastAsia="Times New Roman" w:hAnsi="Calibri" w:cs="Calibri"/>
          <w:kern w:val="0"/>
          <w:lang w:eastAsia="es-CL"/>
          <w14:ligatures w14:val="none"/>
        </w:rPr>
        <w:t>La adopción de estándares como ANSI/TIA-942 y la alineación con normativas chilenas posiciona a Anaconda Web como líder en el sector tecnológico. Este enfoque integral asegura la continuidad del negocio, la confianza de sus clientes y la capacidad de afrontar cualquier desafío futuro.</w:t>
      </w:r>
    </w:p>
    <w:p w14:paraId="622E88BB" w14:textId="45C1727C" w:rsidR="008D71D1" w:rsidRPr="008D71D1" w:rsidRDefault="008D71D1" w:rsidP="008D71D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lang w:eastAsia="es-CL"/>
          <w14:ligatures w14:val="none"/>
        </w:rPr>
      </w:pPr>
    </w:p>
    <w:p w14:paraId="4A6797CF" w14:textId="77777777" w:rsidR="00415920" w:rsidRPr="008D71D1" w:rsidRDefault="00415920" w:rsidP="008D71D1">
      <w:pPr>
        <w:jc w:val="both"/>
        <w:rPr>
          <w:rFonts w:ascii="Calibri" w:hAnsi="Calibri" w:cs="Calibri"/>
        </w:rPr>
      </w:pPr>
    </w:p>
    <w:sectPr w:rsidR="00415920" w:rsidRPr="008D71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7782"/>
    <w:multiLevelType w:val="multilevel"/>
    <w:tmpl w:val="0E5E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76932"/>
    <w:multiLevelType w:val="multilevel"/>
    <w:tmpl w:val="D648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B390E"/>
    <w:multiLevelType w:val="multilevel"/>
    <w:tmpl w:val="2478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603AE"/>
    <w:multiLevelType w:val="multilevel"/>
    <w:tmpl w:val="D34E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F4EEA"/>
    <w:multiLevelType w:val="multilevel"/>
    <w:tmpl w:val="3D4A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509DD"/>
    <w:multiLevelType w:val="multilevel"/>
    <w:tmpl w:val="161E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A36E3"/>
    <w:multiLevelType w:val="multilevel"/>
    <w:tmpl w:val="CA04B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68377E"/>
    <w:multiLevelType w:val="multilevel"/>
    <w:tmpl w:val="33D8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B7C08"/>
    <w:multiLevelType w:val="multilevel"/>
    <w:tmpl w:val="3D5A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F1626"/>
    <w:multiLevelType w:val="multilevel"/>
    <w:tmpl w:val="CED0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D20D28"/>
    <w:multiLevelType w:val="multilevel"/>
    <w:tmpl w:val="CA8C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A44278"/>
    <w:multiLevelType w:val="multilevel"/>
    <w:tmpl w:val="50A8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EC27DD"/>
    <w:multiLevelType w:val="multilevel"/>
    <w:tmpl w:val="ED06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3B63E3"/>
    <w:multiLevelType w:val="multilevel"/>
    <w:tmpl w:val="994A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4F7E8D"/>
    <w:multiLevelType w:val="multilevel"/>
    <w:tmpl w:val="73DC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3A316C"/>
    <w:multiLevelType w:val="multilevel"/>
    <w:tmpl w:val="5D90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EF76A3"/>
    <w:multiLevelType w:val="multilevel"/>
    <w:tmpl w:val="325E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247CDE"/>
    <w:multiLevelType w:val="multilevel"/>
    <w:tmpl w:val="3CF8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064DFC"/>
    <w:multiLevelType w:val="multilevel"/>
    <w:tmpl w:val="1D1C3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0378D7"/>
    <w:multiLevelType w:val="multilevel"/>
    <w:tmpl w:val="6718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5D724A"/>
    <w:multiLevelType w:val="multilevel"/>
    <w:tmpl w:val="9F80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FE5CF8"/>
    <w:multiLevelType w:val="multilevel"/>
    <w:tmpl w:val="BE88F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BB55EC"/>
    <w:multiLevelType w:val="multilevel"/>
    <w:tmpl w:val="E886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2F61C9"/>
    <w:multiLevelType w:val="multilevel"/>
    <w:tmpl w:val="5326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0C5BB1"/>
    <w:multiLevelType w:val="multilevel"/>
    <w:tmpl w:val="CBD6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712FA0"/>
    <w:multiLevelType w:val="multilevel"/>
    <w:tmpl w:val="7408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C661AA"/>
    <w:multiLevelType w:val="multilevel"/>
    <w:tmpl w:val="1E8A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5543FC"/>
    <w:multiLevelType w:val="multilevel"/>
    <w:tmpl w:val="B78C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8762DC"/>
    <w:multiLevelType w:val="multilevel"/>
    <w:tmpl w:val="CC0E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977B47"/>
    <w:multiLevelType w:val="multilevel"/>
    <w:tmpl w:val="6FE2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F42395"/>
    <w:multiLevelType w:val="multilevel"/>
    <w:tmpl w:val="AD8A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C0044E"/>
    <w:multiLevelType w:val="multilevel"/>
    <w:tmpl w:val="B39E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D90A07"/>
    <w:multiLevelType w:val="multilevel"/>
    <w:tmpl w:val="A296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0650E6"/>
    <w:multiLevelType w:val="multilevel"/>
    <w:tmpl w:val="9128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9548DA"/>
    <w:multiLevelType w:val="multilevel"/>
    <w:tmpl w:val="47EA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A351D8"/>
    <w:multiLevelType w:val="multilevel"/>
    <w:tmpl w:val="3CAA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5E447C"/>
    <w:multiLevelType w:val="multilevel"/>
    <w:tmpl w:val="3A4C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767A1B"/>
    <w:multiLevelType w:val="multilevel"/>
    <w:tmpl w:val="40DA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6F43EB"/>
    <w:multiLevelType w:val="multilevel"/>
    <w:tmpl w:val="A7BA0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9B32BF5"/>
    <w:multiLevelType w:val="multilevel"/>
    <w:tmpl w:val="120C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7B551D"/>
    <w:multiLevelType w:val="multilevel"/>
    <w:tmpl w:val="0A86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945BB0"/>
    <w:multiLevelType w:val="multilevel"/>
    <w:tmpl w:val="81AE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CF1CC9"/>
    <w:multiLevelType w:val="multilevel"/>
    <w:tmpl w:val="1E48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182EAA"/>
    <w:multiLevelType w:val="multilevel"/>
    <w:tmpl w:val="D37A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602C00"/>
    <w:multiLevelType w:val="multilevel"/>
    <w:tmpl w:val="6E24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9F33FB"/>
    <w:multiLevelType w:val="multilevel"/>
    <w:tmpl w:val="CB029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F85305B"/>
    <w:multiLevelType w:val="multilevel"/>
    <w:tmpl w:val="C47E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4C0C38"/>
    <w:multiLevelType w:val="multilevel"/>
    <w:tmpl w:val="CD222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9524BDB"/>
    <w:multiLevelType w:val="multilevel"/>
    <w:tmpl w:val="8A34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AA77CC"/>
    <w:multiLevelType w:val="multilevel"/>
    <w:tmpl w:val="6156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C12F31"/>
    <w:multiLevelType w:val="multilevel"/>
    <w:tmpl w:val="6684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FF55D5"/>
    <w:multiLevelType w:val="multilevel"/>
    <w:tmpl w:val="478A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6C2257"/>
    <w:multiLevelType w:val="multilevel"/>
    <w:tmpl w:val="243ED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26F4B90"/>
    <w:multiLevelType w:val="multilevel"/>
    <w:tmpl w:val="22C4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B41A10"/>
    <w:multiLevelType w:val="multilevel"/>
    <w:tmpl w:val="3E20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69676A"/>
    <w:multiLevelType w:val="multilevel"/>
    <w:tmpl w:val="4D8A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9E1FE0"/>
    <w:multiLevelType w:val="multilevel"/>
    <w:tmpl w:val="27E0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D147D3"/>
    <w:multiLevelType w:val="multilevel"/>
    <w:tmpl w:val="4932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A46687"/>
    <w:multiLevelType w:val="multilevel"/>
    <w:tmpl w:val="3114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8B3F67"/>
    <w:multiLevelType w:val="multilevel"/>
    <w:tmpl w:val="4BD8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0C7292"/>
    <w:multiLevelType w:val="multilevel"/>
    <w:tmpl w:val="44C2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027680">
    <w:abstractNumId w:val="51"/>
  </w:num>
  <w:num w:numId="2" w16cid:durableId="1146892456">
    <w:abstractNumId w:val="35"/>
  </w:num>
  <w:num w:numId="3" w16cid:durableId="1778479259">
    <w:abstractNumId w:val="6"/>
  </w:num>
  <w:num w:numId="4" w16cid:durableId="1766338108">
    <w:abstractNumId w:val="40"/>
  </w:num>
  <w:num w:numId="5" w16cid:durableId="254368281">
    <w:abstractNumId w:val="38"/>
  </w:num>
  <w:num w:numId="6" w16cid:durableId="1461613229">
    <w:abstractNumId w:val="23"/>
  </w:num>
  <w:num w:numId="7" w16cid:durableId="974216897">
    <w:abstractNumId w:val="1"/>
  </w:num>
  <w:num w:numId="8" w16cid:durableId="598756904">
    <w:abstractNumId w:val="11"/>
  </w:num>
  <w:num w:numId="9" w16cid:durableId="2021470307">
    <w:abstractNumId w:val="10"/>
  </w:num>
  <w:num w:numId="10" w16cid:durableId="614361142">
    <w:abstractNumId w:val="5"/>
  </w:num>
  <w:num w:numId="11" w16cid:durableId="2110082994">
    <w:abstractNumId w:val="30"/>
  </w:num>
  <w:num w:numId="12" w16cid:durableId="1400204188">
    <w:abstractNumId w:val="26"/>
  </w:num>
  <w:num w:numId="13" w16cid:durableId="483275697">
    <w:abstractNumId w:val="15"/>
  </w:num>
  <w:num w:numId="14" w16cid:durableId="1797025436">
    <w:abstractNumId w:val="33"/>
  </w:num>
  <w:num w:numId="15" w16cid:durableId="1334534038">
    <w:abstractNumId w:val="19"/>
  </w:num>
  <w:num w:numId="16" w16cid:durableId="1112748748">
    <w:abstractNumId w:val="31"/>
  </w:num>
  <w:num w:numId="17" w16cid:durableId="805707588">
    <w:abstractNumId w:val="58"/>
  </w:num>
  <w:num w:numId="18" w16cid:durableId="1448428558">
    <w:abstractNumId w:val="34"/>
  </w:num>
  <w:num w:numId="19" w16cid:durableId="1263342829">
    <w:abstractNumId w:val="20"/>
  </w:num>
  <w:num w:numId="20" w16cid:durableId="2073968677">
    <w:abstractNumId w:val="54"/>
  </w:num>
  <w:num w:numId="21" w16cid:durableId="1080980518">
    <w:abstractNumId w:val="12"/>
  </w:num>
  <w:num w:numId="22" w16cid:durableId="1218393448">
    <w:abstractNumId w:val="16"/>
  </w:num>
  <w:num w:numId="23" w16cid:durableId="1697466233">
    <w:abstractNumId w:val="4"/>
  </w:num>
  <w:num w:numId="24" w16cid:durableId="1137453487">
    <w:abstractNumId w:val="27"/>
  </w:num>
  <w:num w:numId="25" w16cid:durableId="2012753551">
    <w:abstractNumId w:val="50"/>
  </w:num>
  <w:num w:numId="26" w16cid:durableId="973173018">
    <w:abstractNumId w:val="44"/>
  </w:num>
  <w:num w:numId="27" w16cid:durableId="1755080480">
    <w:abstractNumId w:val="32"/>
  </w:num>
  <w:num w:numId="28" w16cid:durableId="1599022739">
    <w:abstractNumId w:val="53"/>
  </w:num>
  <w:num w:numId="29" w16cid:durableId="142738703">
    <w:abstractNumId w:val="9"/>
  </w:num>
  <w:num w:numId="30" w16cid:durableId="1461847119">
    <w:abstractNumId w:val="36"/>
  </w:num>
  <w:num w:numId="31" w16cid:durableId="1460995468">
    <w:abstractNumId w:val="56"/>
  </w:num>
  <w:num w:numId="32" w16cid:durableId="832525551">
    <w:abstractNumId w:val="3"/>
  </w:num>
  <w:num w:numId="33" w16cid:durableId="940142700">
    <w:abstractNumId w:val="13"/>
  </w:num>
  <w:num w:numId="34" w16cid:durableId="1112632735">
    <w:abstractNumId w:val="25"/>
  </w:num>
  <w:num w:numId="35" w16cid:durableId="1595699695">
    <w:abstractNumId w:val="29"/>
  </w:num>
  <w:num w:numId="36" w16cid:durableId="831530359">
    <w:abstractNumId w:val="24"/>
  </w:num>
  <w:num w:numId="37" w16cid:durableId="1577207947">
    <w:abstractNumId w:val="52"/>
  </w:num>
  <w:num w:numId="38" w16cid:durableId="173881224">
    <w:abstractNumId w:val="39"/>
  </w:num>
  <w:num w:numId="39" w16cid:durableId="81726875">
    <w:abstractNumId w:val="17"/>
  </w:num>
  <w:num w:numId="40" w16cid:durableId="2146384154">
    <w:abstractNumId w:val="14"/>
  </w:num>
  <w:num w:numId="41" w16cid:durableId="787511768">
    <w:abstractNumId w:val="43"/>
  </w:num>
  <w:num w:numId="42" w16cid:durableId="1003046827">
    <w:abstractNumId w:val="48"/>
  </w:num>
  <w:num w:numId="43" w16cid:durableId="440996854">
    <w:abstractNumId w:val="49"/>
  </w:num>
  <w:num w:numId="44" w16cid:durableId="1673409746">
    <w:abstractNumId w:val="28"/>
  </w:num>
  <w:num w:numId="45" w16cid:durableId="1531914255">
    <w:abstractNumId w:val="22"/>
  </w:num>
  <w:num w:numId="46" w16cid:durableId="141504702">
    <w:abstractNumId w:val="55"/>
  </w:num>
  <w:num w:numId="47" w16cid:durableId="762726373">
    <w:abstractNumId w:val="42"/>
  </w:num>
  <w:num w:numId="48" w16cid:durableId="938370381">
    <w:abstractNumId w:val="0"/>
  </w:num>
  <w:num w:numId="49" w16cid:durableId="1390609460">
    <w:abstractNumId w:val="57"/>
  </w:num>
  <w:num w:numId="50" w16cid:durableId="1786652335">
    <w:abstractNumId w:val="45"/>
  </w:num>
  <w:num w:numId="51" w16cid:durableId="1231387046">
    <w:abstractNumId w:val="41"/>
  </w:num>
  <w:num w:numId="52" w16cid:durableId="600257992">
    <w:abstractNumId w:val="46"/>
  </w:num>
  <w:num w:numId="53" w16cid:durableId="1121680404">
    <w:abstractNumId w:val="21"/>
  </w:num>
  <w:num w:numId="54" w16cid:durableId="1369599950">
    <w:abstractNumId w:val="60"/>
  </w:num>
  <w:num w:numId="55" w16cid:durableId="1935356334">
    <w:abstractNumId w:val="7"/>
  </w:num>
  <w:num w:numId="56" w16cid:durableId="487672252">
    <w:abstractNumId w:val="8"/>
  </w:num>
  <w:num w:numId="57" w16cid:durableId="1835145247">
    <w:abstractNumId w:val="47"/>
  </w:num>
  <w:num w:numId="58" w16cid:durableId="1100107455">
    <w:abstractNumId w:val="37"/>
  </w:num>
  <w:num w:numId="59" w16cid:durableId="1477992779">
    <w:abstractNumId w:val="2"/>
  </w:num>
  <w:num w:numId="60" w16cid:durableId="1339040667">
    <w:abstractNumId w:val="18"/>
  </w:num>
  <w:num w:numId="61" w16cid:durableId="850678047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B81"/>
    <w:rsid w:val="00047B81"/>
    <w:rsid w:val="00415920"/>
    <w:rsid w:val="0057268C"/>
    <w:rsid w:val="005F58B0"/>
    <w:rsid w:val="00737BAE"/>
    <w:rsid w:val="008707A2"/>
    <w:rsid w:val="008D71D1"/>
    <w:rsid w:val="00A1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42F4A"/>
  <w15:chartTrackingRefBased/>
  <w15:docId w15:val="{C34D7C5D-F381-4488-9104-A3E7C2922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7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7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7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7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7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7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7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7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7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7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7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7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7B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7B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7B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7B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7B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7B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7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7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7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7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7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7B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7B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7B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7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7B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7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3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0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7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3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5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4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5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7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9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9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5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42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6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5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6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3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0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7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7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4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1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8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86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1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6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6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2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9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4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5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6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7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8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96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3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1158</Words>
  <Characters>6373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Beasociado</dc:creator>
  <cp:keywords/>
  <dc:description/>
  <cp:lastModifiedBy>Beasociado</cp:lastModifiedBy>
  <cp:revision>2</cp:revision>
  <dcterms:created xsi:type="dcterms:W3CDTF">2025-01-12T06:21:00Z</dcterms:created>
  <dcterms:modified xsi:type="dcterms:W3CDTF">2025-01-12T06:21:00Z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2025-01-12T05:57:54Z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4d31a97a-30e5-47c1-94d4-0c1e18588f4d</vt:lpwstr>
  </property>
  <property fmtid="{D5CDD505-2E9C-101B-9397-08002B2CF9AE}" pid="7" name="MSIP_Label_defa4170-0d19-0005-0004-bc88714345d2_ActionId">
    <vt:lpwstr>caa7fc33-e668-433c-b3a1-3864ed57eaab</vt:lpwstr>
  </property>
  <property fmtid="{D5CDD505-2E9C-101B-9397-08002B2CF9AE}" pid="8" name="MSIP_Label_defa4170-0d19-0005-0004-bc88714345d2_ContentBits">
    <vt:lpwstr>0</vt:lpwstr>
  </property>
</Properties>
</file>