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FA5E89" w:rsidRDefault="00657883" w:rsidP="00237AFB">
      <w:pPr>
        <w:jc w:val="both"/>
        <w:rPr>
          <w:rFonts w:asciiTheme="minorHAnsi" w:hAnsiTheme="minorHAnsi" w:cstheme="minorHAnsi"/>
        </w:rPr>
      </w:pPr>
    </w:p>
    <w:p w14:paraId="7415A3EE" w14:textId="77777777" w:rsidR="001705EC" w:rsidRPr="00FA5E89" w:rsidRDefault="001705EC" w:rsidP="00237AFB">
      <w:pPr>
        <w:jc w:val="both"/>
        <w:rPr>
          <w:rFonts w:asciiTheme="minorHAnsi" w:hAnsiTheme="minorHAnsi" w:cstheme="minorHAnsi"/>
          <w:sz w:val="44"/>
          <w:szCs w:val="44"/>
        </w:rPr>
      </w:pPr>
    </w:p>
    <w:p w14:paraId="7D3EE362" w14:textId="77777777" w:rsidR="001705EC" w:rsidRPr="00FA5E89" w:rsidRDefault="001705EC" w:rsidP="00237AFB">
      <w:pPr>
        <w:jc w:val="both"/>
        <w:rPr>
          <w:rFonts w:asciiTheme="minorHAnsi" w:hAnsiTheme="minorHAnsi" w:cstheme="minorHAnsi"/>
          <w:sz w:val="44"/>
          <w:szCs w:val="44"/>
        </w:rPr>
      </w:pPr>
    </w:p>
    <w:p w14:paraId="30FD80A7" w14:textId="17C22A21" w:rsidR="006533BC" w:rsidRPr="00FA5E89" w:rsidRDefault="00FA5E89" w:rsidP="00237AFB">
      <w:pPr>
        <w:pStyle w:val="Piedepgina"/>
        <w:jc w:val="center"/>
        <w:rPr>
          <w:rFonts w:asciiTheme="minorHAnsi" w:hAnsiTheme="minorHAnsi" w:cstheme="minorHAnsi"/>
          <w:sz w:val="24"/>
          <w:szCs w:val="24"/>
          <w:lang w:eastAsia="en-GB"/>
        </w:rPr>
      </w:pPr>
      <w:r>
        <w:rPr>
          <w:rFonts w:asciiTheme="minorHAnsi" w:hAnsiTheme="minorHAnsi" w:cstheme="minorHAnsi"/>
          <w:sz w:val="24"/>
          <w:szCs w:val="24"/>
          <w:lang w:eastAsia="en-GB"/>
        </w:rPr>
        <w:t>SEGUIMIENTO Y PLANIFICACION PARA LOGRAR LOS OBJETIVOS</w:t>
      </w:r>
    </w:p>
    <w:tbl>
      <w:tblPr>
        <w:tblStyle w:val="Tablaconcuadrcula"/>
        <w:tblW w:w="10368" w:type="dxa"/>
        <w:tblInd w:w="-342" w:type="dxa"/>
        <w:tblLook w:val="04A0" w:firstRow="1" w:lastRow="0" w:firstColumn="1" w:lastColumn="0" w:noHBand="0" w:noVBand="1"/>
      </w:tblPr>
      <w:tblGrid>
        <w:gridCol w:w="1814"/>
        <w:gridCol w:w="1506"/>
        <w:gridCol w:w="1704"/>
        <w:gridCol w:w="2196"/>
        <w:gridCol w:w="982"/>
        <w:gridCol w:w="2166"/>
      </w:tblGrid>
      <w:tr w:rsidR="00452E7F" w:rsidRPr="00FA5E89" w14:paraId="273B0C4B" w14:textId="77777777" w:rsidTr="00D02A7F">
        <w:tc>
          <w:tcPr>
            <w:tcW w:w="1908" w:type="dxa"/>
            <w:shd w:val="clear" w:color="auto" w:fill="D9D9D9" w:themeFill="background1" w:themeFillShade="D9"/>
          </w:tcPr>
          <w:p w14:paraId="083D5C51" w14:textId="77777777" w:rsidR="001705EC" w:rsidRPr="00FA5E89" w:rsidRDefault="001705EC" w:rsidP="00237AFB">
            <w:pPr>
              <w:jc w:val="both"/>
              <w:rPr>
                <w:rFonts w:asciiTheme="minorHAnsi" w:hAnsiTheme="minorHAnsi" w:cstheme="minorHAnsi"/>
                <w:b/>
                <w:bCs/>
                <w:sz w:val="24"/>
                <w:szCs w:val="24"/>
              </w:rPr>
            </w:pPr>
            <w:r w:rsidRPr="00FA5E89">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FA5E89" w:rsidRDefault="001705EC" w:rsidP="00237AFB">
            <w:pPr>
              <w:jc w:val="both"/>
              <w:rPr>
                <w:rFonts w:asciiTheme="minorHAnsi" w:hAnsiTheme="minorHAnsi" w:cstheme="minorHAnsi"/>
                <w:b/>
                <w:bCs/>
                <w:sz w:val="24"/>
                <w:szCs w:val="24"/>
              </w:rPr>
            </w:pPr>
            <w:r w:rsidRPr="00FA5E89">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FA5E89" w:rsidRDefault="001705EC" w:rsidP="00237AFB">
            <w:pPr>
              <w:jc w:val="both"/>
              <w:rPr>
                <w:rFonts w:asciiTheme="minorHAnsi" w:hAnsiTheme="minorHAnsi" w:cstheme="minorHAnsi"/>
                <w:b/>
                <w:bCs/>
                <w:sz w:val="24"/>
                <w:szCs w:val="24"/>
              </w:rPr>
            </w:pPr>
            <w:r w:rsidRPr="00FA5E89">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FA5E89" w:rsidRDefault="001705EC" w:rsidP="00237AFB">
            <w:pPr>
              <w:jc w:val="both"/>
              <w:rPr>
                <w:rFonts w:asciiTheme="minorHAnsi" w:hAnsiTheme="minorHAnsi" w:cstheme="minorHAnsi"/>
                <w:b/>
                <w:bCs/>
                <w:sz w:val="24"/>
                <w:szCs w:val="24"/>
              </w:rPr>
            </w:pPr>
            <w:r w:rsidRPr="00FA5E89">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FA5E89" w:rsidRDefault="001705EC" w:rsidP="00237AFB">
            <w:pPr>
              <w:jc w:val="both"/>
              <w:rPr>
                <w:rFonts w:asciiTheme="minorHAnsi" w:hAnsiTheme="minorHAnsi" w:cstheme="minorHAnsi"/>
                <w:b/>
                <w:bCs/>
                <w:sz w:val="24"/>
                <w:szCs w:val="24"/>
              </w:rPr>
            </w:pPr>
            <w:r w:rsidRPr="00FA5E89">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FA5E89" w:rsidRDefault="001705EC" w:rsidP="00237AFB">
            <w:pPr>
              <w:jc w:val="both"/>
              <w:rPr>
                <w:rFonts w:asciiTheme="minorHAnsi" w:hAnsiTheme="minorHAnsi" w:cstheme="minorHAnsi"/>
                <w:b/>
                <w:bCs/>
                <w:sz w:val="24"/>
                <w:szCs w:val="24"/>
              </w:rPr>
            </w:pPr>
            <w:r w:rsidRPr="00FA5E89">
              <w:rPr>
                <w:rFonts w:asciiTheme="minorHAnsi" w:hAnsiTheme="minorHAnsi" w:cstheme="minorHAnsi"/>
                <w:b/>
                <w:bCs/>
                <w:sz w:val="24"/>
                <w:szCs w:val="24"/>
              </w:rPr>
              <w:t>Descripción</w:t>
            </w:r>
          </w:p>
        </w:tc>
      </w:tr>
      <w:tr w:rsidR="00452E7F" w:rsidRPr="00FA5E89" w14:paraId="23D5C307" w14:textId="77777777" w:rsidTr="00D02A7F">
        <w:tc>
          <w:tcPr>
            <w:tcW w:w="1908" w:type="dxa"/>
          </w:tcPr>
          <w:p w14:paraId="1F536261" w14:textId="77777777" w:rsidR="001705EC" w:rsidRPr="00FA5E89" w:rsidRDefault="001705EC" w:rsidP="00237AFB">
            <w:pPr>
              <w:jc w:val="both"/>
              <w:rPr>
                <w:rFonts w:asciiTheme="minorHAnsi" w:hAnsiTheme="minorHAnsi" w:cstheme="minorHAnsi"/>
                <w:sz w:val="24"/>
                <w:szCs w:val="24"/>
              </w:rPr>
            </w:pPr>
            <w:bookmarkStart w:id="0" w:name="_Hlk187601937"/>
            <w:r w:rsidRPr="00FA5E89">
              <w:rPr>
                <w:rFonts w:asciiTheme="minorHAnsi" w:hAnsiTheme="minorHAnsi" w:cstheme="minorHAnsi"/>
                <w:sz w:val="24"/>
                <w:szCs w:val="24"/>
              </w:rPr>
              <w:t>V1.0</w:t>
            </w:r>
          </w:p>
        </w:tc>
        <w:tc>
          <w:tcPr>
            <w:tcW w:w="1570" w:type="dxa"/>
          </w:tcPr>
          <w:p w14:paraId="5CF1E181" w14:textId="23D50EDA" w:rsidR="001705EC" w:rsidRPr="00FA5E89" w:rsidRDefault="001637D6" w:rsidP="00237AFB">
            <w:pPr>
              <w:jc w:val="both"/>
              <w:rPr>
                <w:rFonts w:asciiTheme="minorHAnsi" w:hAnsiTheme="minorHAnsi" w:cstheme="minorHAnsi"/>
                <w:sz w:val="24"/>
                <w:szCs w:val="24"/>
              </w:rPr>
            </w:pPr>
            <w:r w:rsidRPr="00FA5E89">
              <w:rPr>
                <w:rFonts w:asciiTheme="minorHAnsi" w:hAnsiTheme="minorHAnsi" w:cstheme="minorHAnsi"/>
                <w:sz w:val="24"/>
                <w:szCs w:val="24"/>
              </w:rPr>
              <w:t>Auditorex Chile</w:t>
            </w:r>
          </w:p>
        </w:tc>
        <w:tc>
          <w:tcPr>
            <w:tcW w:w="1810" w:type="dxa"/>
          </w:tcPr>
          <w:p w14:paraId="48DCB9A0" w14:textId="77777777" w:rsidR="001637D6" w:rsidRPr="00FA5E89" w:rsidRDefault="001637D6" w:rsidP="00237AFB">
            <w:pPr>
              <w:jc w:val="both"/>
              <w:rPr>
                <w:rFonts w:asciiTheme="minorHAnsi" w:hAnsiTheme="minorHAnsi" w:cstheme="minorHAnsi"/>
                <w:sz w:val="24"/>
                <w:szCs w:val="24"/>
              </w:rPr>
            </w:pPr>
            <w:r w:rsidRPr="00FA5E89">
              <w:rPr>
                <w:rFonts w:asciiTheme="minorHAnsi" w:hAnsiTheme="minorHAnsi" w:cstheme="minorHAnsi"/>
                <w:sz w:val="24"/>
                <w:szCs w:val="24"/>
              </w:rPr>
              <w:t>Mauricio Antonio Colomera Villarroel</w:t>
            </w:r>
          </w:p>
          <w:p w14:paraId="4664E988" w14:textId="77777777" w:rsidR="001705EC" w:rsidRPr="00FA5E89" w:rsidRDefault="001705EC" w:rsidP="00237AFB">
            <w:pPr>
              <w:jc w:val="both"/>
              <w:rPr>
                <w:rFonts w:asciiTheme="minorHAnsi" w:hAnsiTheme="minorHAnsi" w:cstheme="minorHAnsi"/>
                <w:sz w:val="24"/>
                <w:szCs w:val="24"/>
              </w:rPr>
            </w:pPr>
          </w:p>
        </w:tc>
        <w:tc>
          <w:tcPr>
            <w:tcW w:w="1811" w:type="dxa"/>
          </w:tcPr>
          <w:p w14:paraId="285FCDD1" w14:textId="0FAEB9DF" w:rsidR="001705EC" w:rsidRPr="00FA5E89" w:rsidRDefault="00452E7F" w:rsidP="00237AFB">
            <w:pPr>
              <w:jc w:val="both"/>
              <w:rPr>
                <w:rFonts w:asciiTheme="minorHAnsi" w:hAnsiTheme="minorHAnsi" w:cstheme="minorHAnsi"/>
                <w:sz w:val="24"/>
                <w:szCs w:val="24"/>
              </w:rPr>
            </w:pPr>
            <w:r w:rsidRPr="00FA5E89">
              <w:rPr>
                <w:rFonts w:asciiTheme="minorHAnsi" w:hAnsiTheme="minorHAnsi" w:cstheme="minorHAnsi"/>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FA5E89" w:rsidRDefault="00D02999" w:rsidP="00237AFB">
            <w:pPr>
              <w:jc w:val="both"/>
              <w:rPr>
                <w:rFonts w:asciiTheme="minorHAnsi" w:hAnsiTheme="minorHAnsi" w:cstheme="minorHAnsi"/>
                <w:szCs w:val="22"/>
              </w:rPr>
            </w:pPr>
            <w:r w:rsidRPr="00FA5E89">
              <w:rPr>
                <w:rFonts w:asciiTheme="minorHAnsi" w:hAnsiTheme="minorHAnsi" w:cstheme="minorHAnsi"/>
                <w:szCs w:val="22"/>
              </w:rPr>
              <w:t>12-01-2024</w:t>
            </w:r>
          </w:p>
        </w:tc>
        <w:tc>
          <w:tcPr>
            <w:tcW w:w="2250" w:type="dxa"/>
          </w:tcPr>
          <w:p w14:paraId="714199D9" w14:textId="77777777" w:rsidR="00FA5E89" w:rsidRPr="00FA5E89" w:rsidRDefault="00FA5E89" w:rsidP="00FA5E89">
            <w:pPr>
              <w:pStyle w:val="Piedepgina"/>
              <w:rPr>
                <w:rFonts w:asciiTheme="minorHAnsi" w:hAnsiTheme="minorHAnsi" w:cstheme="minorHAnsi"/>
                <w:sz w:val="24"/>
                <w:szCs w:val="24"/>
                <w:lang w:eastAsia="en-GB"/>
              </w:rPr>
            </w:pPr>
            <w:r>
              <w:rPr>
                <w:rFonts w:asciiTheme="minorHAnsi" w:hAnsiTheme="minorHAnsi" w:cstheme="minorHAnsi"/>
                <w:sz w:val="24"/>
                <w:szCs w:val="24"/>
                <w:lang w:eastAsia="en-GB"/>
              </w:rPr>
              <w:t>SEGUIMIENTO Y PLANIFICACION PARA LOGRAR LOS OBJETIVOS</w:t>
            </w:r>
          </w:p>
          <w:p w14:paraId="6401603C" w14:textId="64B43AD3" w:rsidR="001705EC" w:rsidRPr="00FA5E89" w:rsidRDefault="001705EC" w:rsidP="00FA5E89">
            <w:pPr>
              <w:pStyle w:val="NormalWeb"/>
              <w:rPr>
                <w:rFonts w:asciiTheme="minorHAnsi" w:hAnsiTheme="minorHAnsi" w:cstheme="minorHAnsi"/>
                <w:lang w:val="es-CL"/>
              </w:rPr>
            </w:pPr>
          </w:p>
        </w:tc>
      </w:tr>
      <w:bookmarkEnd w:id="0"/>
      <w:tr w:rsidR="00452E7F" w:rsidRPr="00FA5E89" w14:paraId="2A38A0FB" w14:textId="77777777" w:rsidTr="00D02A7F">
        <w:tc>
          <w:tcPr>
            <w:tcW w:w="1908" w:type="dxa"/>
          </w:tcPr>
          <w:p w14:paraId="5AA7A63A" w14:textId="77777777" w:rsidR="001705EC" w:rsidRPr="00FA5E89" w:rsidRDefault="001705EC" w:rsidP="00237AFB">
            <w:pPr>
              <w:jc w:val="both"/>
              <w:rPr>
                <w:rFonts w:asciiTheme="minorHAnsi" w:hAnsiTheme="minorHAnsi" w:cstheme="minorHAnsi"/>
                <w:sz w:val="24"/>
                <w:szCs w:val="24"/>
              </w:rPr>
            </w:pPr>
          </w:p>
        </w:tc>
        <w:tc>
          <w:tcPr>
            <w:tcW w:w="1570" w:type="dxa"/>
          </w:tcPr>
          <w:p w14:paraId="6CA0F23C" w14:textId="77777777" w:rsidR="001705EC" w:rsidRPr="00FA5E89" w:rsidRDefault="001705EC" w:rsidP="00237AFB">
            <w:pPr>
              <w:jc w:val="both"/>
              <w:rPr>
                <w:rFonts w:asciiTheme="minorHAnsi" w:hAnsiTheme="minorHAnsi" w:cstheme="minorHAnsi"/>
                <w:sz w:val="24"/>
                <w:szCs w:val="24"/>
              </w:rPr>
            </w:pPr>
          </w:p>
        </w:tc>
        <w:tc>
          <w:tcPr>
            <w:tcW w:w="1810" w:type="dxa"/>
          </w:tcPr>
          <w:p w14:paraId="7579C89A" w14:textId="77777777" w:rsidR="001705EC" w:rsidRPr="00FA5E89" w:rsidRDefault="001705EC" w:rsidP="00237AFB">
            <w:pPr>
              <w:jc w:val="both"/>
              <w:rPr>
                <w:rFonts w:asciiTheme="minorHAnsi" w:hAnsiTheme="minorHAnsi" w:cstheme="minorHAnsi"/>
                <w:sz w:val="24"/>
                <w:szCs w:val="24"/>
              </w:rPr>
            </w:pPr>
          </w:p>
        </w:tc>
        <w:tc>
          <w:tcPr>
            <w:tcW w:w="1811" w:type="dxa"/>
          </w:tcPr>
          <w:p w14:paraId="5C11AFDC" w14:textId="77777777" w:rsidR="001705EC" w:rsidRPr="00FA5E89" w:rsidRDefault="001705EC" w:rsidP="00237AFB">
            <w:pPr>
              <w:jc w:val="both"/>
              <w:rPr>
                <w:rFonts w:asciiTheme="minorHAnsi" w:hAnsiTheme="minorHAnsi" w:cstheme="minorHAnsi"/>
                <w:sz w:val="24"/>
                <w:szCs w:val="24"/>
              </w:rPr>
            </w:pPr>
          </w:p>
        </w:tc>
        <w:tc>
          <w:tcPr>
            <w:tcW w:w="1019" w:type="dxa"/>
          </w:tcPr>
          <w:p w14:paraId="2D9464C3" w14:textId="77777777" w:rsidR="001705EC" w:rsidRPr="00FA5E89" w:rsidRDefault="001705EC" w:rsidP="00237AFB">
            <w:pPr>
              <w:jc w:val="both"/>
              <w:rPr>
                <w:rFonts w:asciiTheme="minorHAnsi" w:hAnsiTheme="minorHAnsi" w:cstheme="minorHAnsi"/>
                <w:sz w:val="24"/>
                <w:szCs w:val="24"/>
              </w:rPr>
            </w:pPr>
          </w:p>
        </w:tc>
        <w:tc>
          <w:tcPr>
            <w:tcW w:w="2250" w:type="dxa"/>
          </w:tcPr>
          <w:p w14:paraId="30EA5E83" w14:textId="77777777" w:rsidR="001705EC" w:rsidRPr="00FA5E89" w:rsidRDefault="001705EC" w:rsidP="00237AFB">
            <w:pPr>
              <w:jc w:val="both"/>
              <w:rPr>
                <w:rFonts w:asciiTheme="minorHAnsi" w:hAnsiTheme="minorHAnsi" w:cstheme="minorHAnsi"/>
                <w:sz w:val="24"/>
                <w:szCs w:val="24"/>
              </w:rPr>
            </w:pPr>
          </w:p>
        </w:tc>
      </w:tr>
      <w:tr w:rsidR="00452E7F" w:rsidRPr="00FA5E89" w14:paraId="5D084FF7" w14:textId="77777777" w:rsidTr="00D02A7F">
        <w:tc>
          <w:tcPr>
            <w:tcW w:w="1908" w:type="dxa"/>
          </w:tcPr>
          <w:p w14:paraId="59848B68" w14:textId="77777777" w:rsidR="001705EC" w:rsidRPr="00FA5E89" w:rsidRDefault="001705EC" w:rsidP="00237AFB">
            <w:pPr>
              <w:jc w:val="both"/>
              <w:rPr>
                <w:rFonts w:asciiTheme="minorHAnsi" w:hAnsiTheme="minorHAnsi" w:cstheme="minorHAnsi"/>
                <w:sz w:val="24"/>
                <w:szCs w:val="24"/>
              </w:rPr>
            </w:pPr>
          </w:p>
        </w:tc>
        <w:tc>
          <w:tcPr>
            <w:tcW w:w="1570" w:type="dxa"/>
          </w:tcPr>
          <w:p w14:paraId="4CE506E6" w14:textId="77777777" w:rsidR="001705EC" w:rsidRPr="00FA5E89" w:rsidRDefault="001705EC" w:rsidP="00237AFB">
            <w:pPr>
              <w:jc w:val="both"/>
              <w:rPr>
                <w:rFonts w:asciiTheme="minorHAnsi" w:hAnsiTheme="minorHAnsi" w:cstheme="minorHAnsi"/>
                <w:sz w:val="24"/>
                <w:szCs w:val="24"/>
              </w:rPr>
            </w:pPr>
          </w:p>
        </w:tc>
        <w:tc>
          <w:tcPr>
            <w:tcW w:w="1810" w:type="dxa"/>
          </w:tcPr>
          <w:p w14:paraId="09467189" w14:textId="77777777" w:rsidR="001705EC" w:rsidRPr="00FA5E89" w:rsidRDefault="001705EC" w:rsidP="00237AFB">
            <w:pPr>
              <w:jc w:val="both"/>
              <w:rPr>
                <w:rFonts w:asciiTheme="minorHAnsi" w:hAnsiTheme="minorHAnsi" w:cstheme="minorHAnsi"/>
                <w:sz w:val="24"/>
                <w:szCs w:val="24"/>
              </w:rPr>
            </w:pPr>
          </w:p>
        </w:tc>
        <w:tc>
          <w:tcPr>
            <w:tcW w:w="1811" w:type="dxa"/>
          </w:tcPr>
          <w:p w14:paraId="6E7E4F49" w14:textId="77777777" w:rsidR="001705EC" w:rsidRPr="00FA5E89" w:rsidRDefault="001705EC" w:rsidP="00237AFB">
            <w:pPr>
              <w:jc w:val="both"/>
              <w:rPr>
                <w:rFonts w:asciiTheme="minorHAnsi" w:hAnsiTheme="minorHAnsi" w:cstheme="minorHAnsi"/>
                <w:sz w:val="24"/>
                <w:szCs w:val="24"/>
              </w:rPr>
            </w:pPr>
          </w:p>
        </w:tc>
        <w:tc>
          <w:tcPr>
            <w:tcW w:w="1019" w:type="dxa"/>
          </w:tcPr>
          <w:p w14:paraId="7EB49E66" w14:textId="77777777" w:rsidR="001705EC" w:rsidRPr="00FA5E89" w:rsidRDefault="001705EC" w:rsidP="00237AFB">
            <w:pPr>
              <w:jc w:val="both"/>
              <w:rPr>
                <w:rFonts w:asciiTheme="minorHAnsi" w:hAnsiTheme="minorHAnsi" w:cstheme="minorHAnsi"/>
                <w:sz w:val="24"/>
                <w:szCs w:val="24"/>
              </w:rPr>
            </w:pPr>
          </w:p>
        </w:tc>
        <w:tc>
          <w:tcPr>
            <w:tcW w:w="2250" w:type="dxa"/>
          </w:tcPr>
          <w:p w14:paraId="722DAB0F" w14:textId="77777777" w:rsidR="001705EC" w:rsidRPr="00FA5E89" w:rsidRDefault="001705EC" w:rsidP="00237AFB">
            <w:pPr>
              <w:jc w:val="both"/>
              <w:rPr>
                <w:rFonts w:asciiTheme="minorHAnsi" w:hAnsiTheme="minorHAnsi" w:cstheme="minorHAnsi"/>
                <w:sz w:val="24"/>
                <w:szCs w:val="24"/>
              </w:rPr>
            </w:pPr>
          </w:p>
        </w:tc>
      </w:tr>
      <w:tr w:rsidR="001705EC" w:rsidRPr="00FA5E89" w14:paraId="7875EE64" w14:textId="77777777" w:rsidTr="00D02A7F">
        <w:tc>
          <w:tcPr>
            <w:tcW w:w="1908" w:type="dxa"/>
            <w:shd w:val="clear" w:color="auto" w:fill="D9D9D9" w:themeFill="background1" w:themeFillShade="D9"/>
          </w:tcPr>
          <w:p w14:paraId="22F097C4" w14:textId="77777777" w:rsidR="001705EC" w:rsidRPr="00FA5E89" w:rsidRDefault="001705EC" w:rsidP="00237AFB">
            <w:pPr>
              <w:jc w:val="both"/>
              <w:rPr>
                <w:rFonts w:asciiTheme="minorHAnsi" w:hAnsiTheme="minorHAnsi" w:cstheme="minorHAnsi"/>
                <w:sz w:val="24"/>
                <w:szCs w:val="24"/>
              </w:rPr>
            </w:pPr>
            <w:r w:rsidRPr="00FA5E89">
              <w:rPr>
                <w:rFonts w:asciiTheme="minorHAnsi" w:hAnsiTheme="minorHAnsi" w:cstheme="minorHAnsi"/>
                <w:sz w:val="24"/>
                <w:szCs w:val="24"/>
              </w:rPr>
              <w:t>Número de referencia del documento</w:t>
            </w:r>
          </w:p>
        </w:tc>
        <w:tc>
          <w:tcPr>
            <w:tcW w:w="3380" w:type="dxa"/>
            <w:gridSpan w:val="2"/>
          </w:tcPr>
          <w:p w14:paraId="02FAF64D" w14:textId="67C72CC8" w:rsidR="001705EC" w:rsidRPr="00FA5E89" w:rsidRDefault="00237AFB" w:rsidP="00237AFB">
            <w:pPr>
              <w:jc w:val="both"/>
              <w:rPr>
                <w:rFonts w:asciiTheme="minorHAnsi" w:hAnsiTheme="minorHAnsi" w:cstheme="minorHAnsi"/>
                <w:sz w:val="24"/>
                <w:szCs w:val="24"/>
              </w:rPr>
            </w:pPr>
            <w:r w:rsidRPr="00FA5E89">
              <w:rPr>
                <w:rFonts w:asciiTheme="minorHAnsi" w:hAnsiTheme="minorHAnsi" w:cstheme="minorHAnsi"/>
                <w:sz w:val="24"/>
                <w:szCs w:val="24"/>
                <w:lang w:eastAsia="en-GB"/>
              </w:rPr>
              <w:t>Anexo A.8</w:t>
            </w:r>
          </w:p>
        </w:tc>
        <w:tc>
          <w:tcPr>
            <w:tcW w:w="2830" w:type="dxa"/>
            <w:gridSpan w:val="2"/>
            <w:shd w:val="clear" w:color="auto" w:fill="D9D9D9" w:themeFill="background1" w:themeFillShade="D9"/>
          </w:tcPr>
          <w:p w14:paraId="70C78F02" w14:textId="77777777" w:rsidR="001705EC" w:rsidRPr="00FA5E89" w:rsidRDefault="001705EC" w:rsidP="00237AFB">
            <w:pPr>
              <w:jc w:val="both"/>
              <w:rPr>
                <w:rFonts w:asciiTheme="minorHAnsi" w:hAnsiTheme="minorHAnsi" w:cstheme="minorHAnsi"/>
                <w:sz w:val="24"/>
                <w:szCs w:val="24"/>
              </w:rPr>
            </w:pPr>
            <w:r w:rsidRPr="00FA5E89">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FA5E89" w:rsidRDefault="001705EC" w:rsidP="00237AFB">
                <w:pPr>
                  <w:jc w:val="both"/>
                  <w:rPr>
                    <w:rFonts w:asciiTheme="minorHAnsi" w:hAnsiTheme="minorHAnsi" w:cstheme="minorHAnsi"/>
                    <w:sz w:val="24"/>
                    <w:szCs w:val="24"/>
                  </w:rPr>
                </w:pPr>
                <w:r w:rsidRPr="00FA5E89">
                  <w:rPr>
                    <w:rFonts w:asciiTheme="minorHAnsi" w:hAnsiTheme="minorHAnsi" w:cstheme="minorHAnsi"/>
                    <w:sz w:val="24"/>
                    <w:szCs w:val="24"/>
                  </w:rPr>
                  <w:t>Confidencial</w:t>
                </w:r>
              </w:p>
            </w:tc>
          </w:sdtContent>
        </w:sdt>
      </w:tr>
    </w:tbl>
    <w:p w14:paraId="5F47735A" w14:textId="77777777" w:rsidR="001705EC" w:rsidRPr="00FA5E89" w:rsidRDefault="001705EC" w:rsidP="00237AFB">
      <w:pPr>
        <w:jc w:val="both"/>
        <w:rPr>
          <w:rFonts w:asciiTheme="minorHAnsi" w:hAnsiTheme="minorHAnsi" w:cstheme="minorHAnsi"/>
          <w:sz w:val="24"/>
          <w:szCs w:val="24"/>
        </w:rPr>
      </w:pPr>
    </w:p>
    <w:p w14:paraId="5EE8924C" w14:textId="36074E23" w:rsidR="00452E7F" w:rsidRPr="00FA5E89" w:rsidRDefault="0065732B" w:rsidP="0065732B">
      <w:pPr>
        <w:pStyle w:val="NormalWeb"/>
        <w:jc w:val="both"/>
        <w:rPr>
          <w:rFonts w:asciiTheme="minorHAnsi" w:hAnsiTheme="minorHAnsi" w:cstheme="minorHAnsi"/>
          <w:lang w:val="es-CL"/>
        </w:rPr>
      </w:pPr>
      <w:r w:rsidRPr="00FA5E89">
        <w:rPr>
          <w:rFonts w:asciiTheme="minorHAnsi" w:hAnsiTheme="minorHAnsi" w:cstheme="minorHAnsi"/>
          <w:lang w:val="es-CL"/>
        </w:rPr>
        <w:drawing>
          <wp:inline distT="0" distB="0" distL="0" distR="0" wp14:anchorId="514D5DFF" wp14:editId="3DF17204">
            <wp:extent cx="3124636" cy="1743318"/>
            <wp:effectExtent l="0" t="0" r="0" b="9525"/>
            <wp:docPr id="208782837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28378"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p>
    <w:p w14:paraId="728BEDDA" w14:textId="77777777" w:rsidR="007E36C9" w:rsidRPr="00FA5E89" w:rsidRDefault="007E36C9" w:rsidP="0065732B">
      <w:pPr>
        <w:pStyle w:val="NormalWeb"/>
        <w:jc w:val="both"/>
        <w:rPr>
          <w:rFonts w:asciiTheme="minorHAnsi" w:hAnsiTheme="minorHAnsi" w:cstheme="minorHAnsi"/>
          <w:lang w:val="es-CL"/>
        </w:rPr>
      </w:pPr>
    </w:p>
    <w:p w14:paraId="5189BEA2" w14:textId="77777777" w:rsidR="007E36C9" w:rsidRPr="00FA5E89" w:rsidRDefault="007E36C9" w:rsidP="0065732B">
      <w:pPr>
        <w:pStyle w:val="NormalWeb"/>
        <w:jc w:val="both"/>
        <w:rPr>
          <w:rFonts w:asciiTheme="minorHAnsi" w:hAnsiTheme="minorHAnsi" w:cstheme="minorHAnsi"/>
          <w:lang w:val="es-CL"/>
        </w:rPr>
      </w:pPr>
    </w:p>
    <w:p w14:paraId="73FB1885" w14:textId="77777777" w:rsidR="007E36C9" w:rsidRPr="00FA5E89" w:rsidRDefault="007E36C9" w:rsidP="0065732B">
      <w:pPr>
        <w:pStyle w:val="NormalWeb"/>
        <w:jc w:val="both"/>
        <w:rPr>
          <w:rFonts w:asciiTheme="minorHAnsi" w:hAnsiTheme="minorHAnsi" w:cstheme="minorHAnsi"/>
          <w:lang w:val="es-CL"/>
        </w:rPr>
      </w:pPr>
    </w:p>
    <w:p w14:paraId="6C84F58E" w14:textId="77777777" w:rsidR="000B75AE" w:rsidRPr="00FA5E89" w:rsidRDefault="000B75AE" w:rsidP="0065732B">
      <w:pPr>
        <w:pStyle w:val="NormalWeb"/>
        <w:jc w:val="both"/>
        <w:rPr>
          <w:rFonts w:asciiTheme="minorHAnsi" w:hAnsiTheme="minorHAnsi" w:cstheme="minorHAnsi"/>
          <w:lang w:val="es-CL"/>
        </w:rPr>
      </w:pPr>
    </w:p>
    <w:p w14:paraId="2A858216" w14:textId="77777777" w:rsidR="00FA5E89" w:rsidRPr="00FA5E89" w:rsidRDefault="00FA5E89" w:rsidP="0065732B">
      <w:pPr>
        <w:pStyle w:val="NormalWeb"/>
        <w:jc w:val="both"/>
        <w:rPr>
          <w:rFonts w:asciiTheme="minorHAnsi" w:hAnsiTheme="minorHAnsi" w:cstheme="minorHAnsi"/>
          <w:lang w:val="es-CL"/>
        </w:rPr>
      </w:pPr>
    </w:p>
    <w:p w14:paraId="129E1AC6" w14:textId="77777777" w:rsidR="00FA5E89" w:rsidRPr="00FA5E89" w:rsidRDefault="00FA5E89" w:rsidP="00FA5E89">
      <w:pPr>
        <w:pStyle w:val="NormalWeb"/>
        <w:ind w:left="432"/>
        <w:jc w:val="both"/>
        <w:rPr>
          <w:rFonts w:asciiTheme="minorHAnsi" w:hAnsiTheme="minorHAnsi" w:cstheme="minorHAnsi"/>
          <w:b/>
          <w:bCs/>
          <w:lang w:val="es-CL"/>
        </w:rPr>
      </w:pPr>
      <w:r w:rsidRPr="00FA5E89">
        <w:rPr>
          <w:rFonts w:asciiTheme="minorHAnsi" w:hAnsiTheme="minorHAnsi" w:cstheme="minorHAnsi"/>
          <w:b/>
          <w:bCs/>
          <w:lang w:val="es-CL"/>
        </w:rPr>
        <w:lastRenderedPageBreak/>
        <w:t>Índice Detallado Según ISO 27001:2022</w:t>
      </w:r>
    </w:p>
    <w:p w14:paraId="5675E94E" w14:textId="77777777" w:rsidR="00FA5E89" w:rsidRPr="00FA5E89" w:rsidRDefault="00FA5E89" w:rsidP="00FA5E89">
      <w:pPr>
        <w:pStyle w:val="NormalWeb"/>
        <w:numPr>
          <w:ilvl w:val="0"/>
          <w:numId w:val="76"/>
        </w:numPr>
        <w:jc w:val="both"/>
        <w:rPr>
          <w:rFonts w:asciiTheme="minorHAnsi" w:hAnsiTheme="minorHAnsi" w:cstheme="minorHAnsi"/>
          <w:lang w:val="es-CL"/>
        </w:rPr>
      </w:pPr>
      <w:r w:rsidRPr="00FA5E89">
        <w:rPr>
          <w:rFonts w:asciiTheme="minorHAnsi" w:hAnsiTheme="minorHAnsi" w:cstheme="minorHAnsi"/>
          <w:lang w:val="es-CL"/>
        </w:rPr>
        <w:t>Introducción al Seguimiento y Planificación</w:t>
      </w:r>
    </w:p>
    <w:p w14:paraId="04844B34" w14:textId="77777777" w:rsidR="00FA5E89" w:rsidRPr="00FA5E89" w:rsidRDefault="00FA5E89" w:rsidP="00FA5E89">
      <w:pPr>
        <w:pStyle w:val="NormalWeb"/>
        <w:numPr>
          <w:ilvl w:val="0"/>
          <w:numId w:val="76"/>
        </w:numPr>
        <w:jc w:val="both"/>
        <w:rPr>
          <w:rFonts w:asciiTheme="minorHAnsi" w:hAnsiTheme="minorHAnsi" w:cstheme="minorHAnsi"/>
          <w:lang w:val="es-CL"/>
        </w:rPr>
      </w:pPr>
      <w:r w:rsidRPr="00FA5E89">
        <w:rPr>
          <w:rFonts w:asciiTheme="minorHAnsi" w:hAnsiTheme="minorHAnsi" w:cstheme="minorHAnsi"/>
          <w:lang w:val="es-CL"/>
        </w:rPr>
        <w:t>Objetivos de Seguridad de la Información</w:t>
      </w:r>
    </w:p>
    <w:p w14:paraId="6245B2A6" w14:textId="77777777" w:rsidR="00FA5E89" w:rsidRPr="00FA5E89" w:rsidRDefault="00FA5E89" w:rsidP="00FA5E89">
      <w:pPr>
        <w:pStyle w:val="NormalWeb"/>
        <w:numPr>
          <w:ilvl w:val="0"/>
          <w:numId w:val="76"/>
        </w:numPr>
        <w:jc w:val="both"/>
        <w:rPr>
          <w:rFonts w:asciiTheme="minorHAnsi" w:hAnsiTheme="minorHAnsi" w:cstheme="minorHAnsi"/>
          <w:lang w:val="es-CL"/>
        </w:rPr>
      </w:pPr>
      <w:r w:rsidRPr="00FA5E89">
        <w:rPr>
          <w:rFonts w:asciiTheme="minorHAnsi" w:hAnsiTheme="minorHAnsi" w:cstheme="minorHAnsi"/>
          <w:lang w:val="es-CL"/>
        </w:rPr>
        <w:t>Metodología para el Seguimiento Continuo</w:t>
      </w:r>
    </w:p>
    <w:p w14:paraId="26E38351" w14:textId="77777777" w:rsidR="00FA5E89" w:rsidRPr="00FA5E89" w:rsidRDefault="00FA5E89" w:rsidP="00FA5E89">
      <w:pPr>
        <w:pStyle w:val="NormalWeb"/>
        <w:numPr>
          <w:ilvl w:val="0"/>
          <w:numId w:val="76"/>
        </w:numPr>
        <w:jc w:val="both"/>
        <w:rPr>
          <w:rFonts w:asciiTheme="minorHAnsi" w:hAnsiTheme="minorHAnsi" w:cstheme="minorHAnsi"/>
          <w:lang w:val="es-CL"/>
        </w:rPr>
      </w:pPr>
      <w:r w:rsidRPr="00FA5E89">
        <w:rPr>
          <w:rFonts w:asciiTheme="minorHAnsi" w:hAnsiTheme="minorHAnsi" w:cstheme="minorHAnsi"/>
          <w:lang w:val="es-CL"/>
        </w:rPr>
        <w:t>Planificación Estratégica y Operativa</w:t>
      </w:r>
    </w:p>
    <w:p w14:paraId="01317B51" w14:textId="77777777" w:rsidR="00FA5E89" w:rsidRPr="00FA5E89" w:rsidRDefault="00FA5E89" w:rsidP="00FA5E89">
      <w:pPr>
        <w:pStyle w:val="NormalWeb"/>
        <w:numPr>
          <w:ilvl w:val="0"/>
          <w:numId w:val="76"/>
        </w:numPr>
        <w:jc w:val="both"/>
        <w:rPr>
          <w:rFonts w:asciiTheme="minorHAnsi" w:hAnsiTheme="minorHAnsi" w:cstheme="minorHAnsi"/>
          <w:lang w:val="es-CL"/>
        </w:rPr>
      </w:pPr>
      <w:r w:rsidRPr="00FA5E89">
        <w:rPr>
          <w:rFonts w:asciiTheme="minorHAnsi" w:hAnsiTheme="minorHAnsi" w:cstheme="minorHAnsi"/>
          <w:lang w:val="es-CL"/>
        </w:rPr>
        <w:t>Registro de Actividades Positivas en Excel</w:t>
      </w:r>
    </w:p>
    <w:p w14:paraId="75A1FA90" w14:textId="77777777" w:rsidR="00FA5E89" w:rsidRDefault="00FA5E89" w:rsidP="00FA5E89">
      <w:pPr>
        <w:pStyle w:val="NormalWeb"/>
        <w:ind w:left="432"/>
        <w:jc w:val="both"/>
        <w:rPr>
          <w:rFonts w:asciiTheme="minorHAnsi" w:hAnsiTheme="minorHAnsi" w:cstheme="minorHAnsi"/>
          <w:b/>
          <w:bCs/>
          <w:lang w:val="es-CL"/>
        </w:rPr>
      </w:pPr>
    </w:p>
    <w:p w14:paraId="779CC24A" w14:textId="77777777" w:rsidR="00FA5E89" w:rsidRPr="00FA5E89" w:rsidRDefault="00FA5E89" w:rsidP="00FA5E89">
      <w:pPr>
        <w:pStyle w:val="NormalWeb"/>
        <w:ind w:left="432"/>
        <w:jc w:val="both"/>
        <w:rPr>
          <w:rFonts w:asciiTheme="minorHAnsi" w:hAnsiTheme="minorHAnsi" w:cstheme="minorHAnsi"/>
          <w:b/>
          <w:bCs/>
          <w:lang w:val="es-CL"/>
        </w:rPr>
      </w:pPr>
    </w:p>
    <w:p w14:paraId="60E1707F" w14:textId="77777777" w:rsidR="00FA5E89" w:rsidRDefault="00FA5E89" w:rsidP="00FA5E89">
      <w:pPr>
        <w:pStyle w:val="NormalWeb"/>
        <w:ind w:left="432"/>
        <w:jc w:val="both"/>
        <w:rPr>
          <w:rFonts w:asciiTheme="minorHAnsi" w:hAnsiTheme="minorHAnsi" w:cstheme="minorHAnsi"/>
          <w:b/>
          <w:bCs/>
          <w:lang w:val="es-CL"/>
        </w:rPr>
      </w:pPr>
    </w:p>
    <w:p w14:paraId="43FD3D0D" w14:textId="77777777" w:rsidR="00FA5E89" w:rsidRDefault="00FA5E89" w:rsidP="00FA5E89">
      <w:pPr>
        <w:pStyle w:val="NormalWeb"/>
        <w:ind w:left="432"/>
        <w:jc w:val="both"/>
        <w:rPr>
          <w:rFonts w:asciiTheme="minorHAnsi" w:hAnsiTheme="minorHAnsi" w:cstheme="minorHAnsi"/>
          <w:b/>
          <w:bCs/>
          <w:lang w:val="es-CL"/>
        </w:rPr>
      </w:pPr>
    </w:p>
    <w:p w14:paraId="7AD99BCD" w14:textId="77777777" w:rsidR="00FA5E89" w:rsidRDefault="00FA5E89" w:rsidP="00FA5E89">
      <w:pPr>
        <w:pStyle w:val="NormalWeb"/>
        <w:ind w:left="432"/>
        <w:jc w:val="both"/>
        <w:rPr>
          <w:rFonts w:asciiTheme="minorHAnsi" w:hAnsiTheme="minorHAnsi" w:cstheme="minorHAnsi"/>
          <w:b/>
          <w:bCs/>
          <w:lang w:val="es-CL"/>
        </w:rPr>
      </w:pPr>
    </w:p>
    <w:p w14:paraId="3A4316C5" w14:textId="77777777" w:rsidR="00FA5E89" w:rsidRDefault="00FA5E89" w:rsidP="00FA5E89">
      <w:pPr>
        <w:pStyle w:val="NormalWeb"/>
        <w:ind w:left="432"/>
        <w:jc w:val="both"/>
        <w:rPr>
          <w:rFonts w:asciiTheme="minorHAnsi" w:hAnsiTheme="minorHAnsi" w:cstheme="minorHAnsi"/>
          <w:b/>
          <w:bCs/>
          <w:lang w:val="es-CL"/>
        </w:rPr>
      </w:pPr>
    </w:p>
    <w:p w14:paraId="7023F761" w14:textId="77777777" w:rsidR="00FA5E89" w:rsidRDefault="00FA5E89" w:rsidP="00FA5E89">
      <w:pPr>
        <w:pStyle w:val="NormalWeb"/>
        <w:ind w:left="432"/>
        <w:jc w:val="both"/>
        <w:rPr>
          <w:rFonts w:asciiTheme="minorHAnsi" w:hAnsiTheme="minorHAnsi" w:cstheme="minorHAnsi"/>
          <w:b/>
          <w:bCs/>
          <w:lang w:val="es-CL"/>
        </w:rPr>
      </w:pPr>
    </w:p>
    <w:p w14:paraId="69270199" w14:textId="77777777" w:rsidR="00FA5E89" w:rsidRDefault="00FA5E89" w:rsidP="00FA5E89">
      <w:pPr>
        <w:pStyle w:val="NormalWeb"/>
        <w:ind w:left="432"/>
        <w:jc w:val="both"/>
        <w:rPr>
          <w:rFonts w:asciiTheme="minorHAnsi" w:hAnsiTheme="minorHAnsi" w:cstheme="minorHAnsi"/>
          <w:b/>
          <w:bCs/>
          <w:lang w:val="es-CL"/>
        </w:rPr>
      </w:pPr>
    </w:p>
    <w:p w14:paraId="62872372" w14:textId="77777777" w:rsidR="00FA5E89" w:rsidRDefault="00FA5E89" w:rsidP="00FA5E89">
      <w:pPr>
        <w:pStyle w:val="NormalWeb"/>
        <w:ind w:left="432"/>
        <w:jc w:val="both"/>
        <w:rPr>
          <w:rFonts w:asciiTheme="minorHAnsi" w:hAnsiTheme="minorHAnsi" w:cstheme="minorHAnsi"/>
          <w:b/>
          <w:bCs/>
          <w:lang w:val="es-CL"/>
        </w:rPr>
      </w:pPr>
    </w:p>
    <w:p w14:paraId="272D9D16" w14:textId="77777777" w:rsidR="00FA5E89" w:rsidRDefault="00FA5E89" w:rsidP="00FA5E89">
      <w:pPr>
        <w:pStyle w:val="NormalWeb"/>
        <w:ind w:left="432"/>
        <w:jc w:val="both"/>
        <w:rPr>
          <w:rFonts w:asciiTheme="minorHAnsi" w:hAnsiTheme="minorHAnsi" w:cstheme="minorHAnsi"/>
          <w:b/>
          <w:bCs/>
          <w:lang w:val="es-CL"/>
        </w:rPr>
      </w:pPr>
    </w:p>
    <w:p w14:paraId="63E6253A" w14:textId="77777777" w:rsidR="00FA5E89" w:rsidRDefault="00FA5E89" w:rsidP="00FA5E89">
      <w:pPr>
        <w:pStyle w:val="NormalWeb"/>
        <w:ind w:left="432"/>
        <w:jc w:val="both"/>
        <w:rPr>
          <w:rFonts w:asciiTheme="minorHAnsi" w:hAnsiTheme="minorHAnsi" w:cstheme="minorHAnsi"/>
          <w:b/>
          <w:bCs/>
          <w:lang w:val="es-CL"/>
        </w:rPr>
      </w:pPr>
    </w:p>
    <w:p w14:paraId="1C59FF17" w14:textId="77777777" w:rsidR="00FA5E89" w:rsidRDefault="00FA5E89" w:rsidP="00FA5E89">
      <w:pPr>
        <w:pStyle w:val="NormalWeb"/>
        <w:ind w:left="432"/>
        <w:jc w:val="both"/>
        <w:rPr>
          <w:rFonts w:asciiTheme="minorHAnsi" w:hAnsiTheme="minorHAnsi" w:cstheme="minorHAnsi"/>
          <w:b/>
          <w:bCs/>
          <w:lang w:val="es-CL"/>
        </w:rPr>
      </w:pPr>
    </w:p>
    <w:p w14:paraId="4BE4547F" w14:textId="77777777" w:rsidR="00FA5E89" w:rsidRDefault="00FA5E89" w:rsidP="00FA5E89">
      <w:pPr>
        <w:pStyle w:val="NormalWeb"/>
        <w:ind w:left="432"/>
        <w:jc w:val="both"/>
        <w:rPr>
          <w:rFonts w:asciiTheme="minorHAnsi" w:hAnsiTheme="minorHAnsi" w:cstheme="minorHAnsi"/>
          <w:b/>
          <w:bCs/>
          <w:lang w:val="es-CL"/>
        </w:rPr>
      </w:pPr>
    </w:p>
    <w:p w14:paraId="06D5A9B8" w14:textId="77777777" w:rsidR="00FA5E89" w:rsidRDefault="00FA5E89" w:rsidP="00FA5E89">
      <w:pPr>
        <w:pStyle w:val="NormalWeb"/>
        <w:ind w:left="432"/>
        <w:jc w:val="both"/>
        <w:rPr>
          <w:rFonts w:asciiTheme="minorHAnsi" w:hAnsiTheme="minorHAnsi" w:cstheme="minorHAnsi"/>
          <w:b/>
          <w:bCs/>
          <w:lang w:val="es-CL"/>
        </w:rPr>
      </w:pPr>
    </w:p>
    <w:p w14:paraId="24F8C239" w14:textId="77777777" w:rsidR="00FA5E89" w:rsidRDefault="00FA5E89" w:rsidP="00FA5E89">
      <w:pPr>
        <w:pStyle w:val="NormalWeb"/>
        <w:ind w:left="432"/>
        <w:jc w:val="both"/>
        <w:rPr>
          <w:rFonts w:asciiTheme="minorHAnsi" w:hAnsiTheme="minorHAnsi" w:cstheme="minorHAnsi"/>
          <w:b/>
          <w:bCs/>
          <w:lang w:val="es-CL"/>
        </w:rPr>
      </w:pPr>
    </w:p>
    <w:p w14:paraId="0807D80A" w14:textId="77777777" w:rsidR="00FA5E89" w:rsidRDefault="00FA5E89" w:rsidP="00FA5E89">
      <w:pPr>
        <w:pStyle w:val="NormalWeb"/>
        <w:ind w:left="432"/>
        <w:jc w:val="both"/>
        <w:rPr>
          <w:rFonts w:asciiTheme="minorHAnsi" w:hAnsiTheme="minorHAnsi" w:cstheme="minorHAnsi"/>
          <w:b/>
          <w:bCs/>
          <w:lang w:val="es-CL"/>
        </w:rPr>
      </w:pPr>
    </w:p>
    <w:p w14:paraId="4C3B1988" w14:textId="77777777" w:rsidR="00FA5E89" w:rsidRDefault="00FA5E89" w:rsidP="00FA5E89">
      <w:pPr>
        <w:pStyle w:val="NormalWeb"/>
        <w:ind w:left="432"/>
        <w:jc w:val="both"/>
        <w:rPr>
          <w:rFonts w:asciiTheme="minorHAnsi" w:hAnsiTheme="minorHAnsi" w:cstheme="minorHAnsi"/>
          <w:b/>
          <w:bCs/>
          <w:lang w:val="es-CL"/>
        </w:rPr>
      </w:pPr>
    </w:p>
    <w:p w14:paraId="093C01C0" w14:textId="77777777" w:rsidR="00FA5E89" w:rsidRDefault="00FA5E89" w:rsidP="00FA5E89">
      <w:pPr>
        <w:pStyle w:val="NormalWeb"/>
        <w:ind w:left="432"/>
        <w:jc w:val="both"/>
        <w:rPr>
          <w:rFonts w:asciiTheme="minorHAnsi" w:hAnsiTheme="minorHAnsi" w:cstheme="minorHAnsi"/>
          <w:b/>
          <w:bCs/>
          <w:lang w:val="es-CL"/>
        </w:rPr>
      </w:pPr>
    </w:p>
    <w:p w14:paraId="6D18BF30" w14:textId="77777777" w:rsidR="00FA5E89" w:rsidRDefault="00FA5E89" w:rsidP="00FA5E89">
      <w:pPr>
        <w:pStyle w:val="NormalWeb"/>
        <w:ind w:left="432"/>
        <w:jc w:val="both"/>
        <w:rPr>
          <w:rFonts w:asciiTheme="minorHAnsi" w:hAnsiTheme="minorHAnsi" w:cstheme="minorHAnsi"/>
          <w:b/>
          <w:bCs/>
          <w:lang w:val="es-CL"/>
        </w:rPr>
      </w:pPr>
    </w:p>
    <w:p w14:paraId="615C6CAC" w14:textId="696B8919" w:rsidR="00FA5E89" w:rsidRPr="00FA5E89" w:rsidRDefault="00FA5E89" w:rsidP="00FA5E89">
      <w:pPr>
        <w:pStyle w:val="NormalWeb"/>
        <w:ind w:left="432"/>
        <w:jc w:val="both"/>
        <w:rPr>
          <w:rFonts w:asciiTheme="minorHAnsi" w:hAnsiTheme="minorHAnsi" w:cstheme="minorHAnsi"/>
          <w:b/>
          <w:bCs/>
          <w:lang w:val="es-CL"/>
        </w:rPr>
      </w:pPr>
      <w:r w:rsidRPr="00FA5E89">
        <w:rPr>
          <w:rFonts w:asciiTheme="minorHAnsi" w:hAnsiTheme="minorHAnsi" w:cstheme="minorHAnsi"/>
          <w:b/>
          <w:bCs/>
          <w:lang w:val="es-CL"/>
        </w:rPr>
        <w:lastRenderedPageBreak/>
        <w:t>Introducción al Seguimiento y Planificación</w:t>
      </w:r>
    </w:p>
    <w:p w14:paraId="31C1F8DF" w14:textId="77777777" w:rsidR="00FA5E89" w:rsidRPr="00FA5E89" w:rsidRDefault="00FA5E89" w:rsidP="00FA5E89">
      <w:pPr>
        <w:pStyle w:val="NormalWeb"/>
        <w:jc w:val="both"/>
        <w:rPr>
          <w:rFonts w:asciiTheme="minorHAnsi" w:hAnsiTheme="minorHAnsi" w:cstheme="minorHAnsi"/>
          <w:lang w:val="es-CL"/>
        </w:rPr>
      </w:pPr>
      <w:r w:rsidRPr="00FA5E89">
        <w:rPr>
          <w:rFonts w:asciiTheme="minorHAnsi" w:hAnsiTheme="minorHAnsi" w:cstheme="minorHAnsi"/>
          <w:lang w:val="es-CL"/>
        </w:rPr>
        <w:t>El seguimiento y la planificación son componentes esenciales para garantizar la efectividad de un Sistema de Gestión de Seguridad de la Información (SGSI) basado en la norma ISO 27001:2022. Esta norma establece que las organizaciones deben implementar procesos claros y estructurados para monitorear el cumplimiento de los objetivos de seguridad. El seguimiento permite identificar desviaciones o brechas en los controles de seguridad, lo que facilita la toma de decisiones oportunas para mitigar riesgos. Por otro lado, la planificación proporciona una hoja de ruta detallada que asegura que todas las actividades estén alineadas con los requisitos legales, regulatorios y las expectativas del negocio. La combinación de ambas prácticas no solo asegura el cumplimiento normativo, sino que también fomenta una cultura de mejora continua dentro de la organización.</w:t>
      </w:r>
    </w:p>
    <w:p w14:paraId="79755C8C" w14:textId="77777777" w:rsidR="00FA5E89" w:rsidRPr="00FA5E89" w:rsidRDefault="00FA5E89" w:rsidP="00FA5E89">
      <w:pPr>
        <w:pStyle w:val="NormalWeb"/>
        <w:jc w:val="both"/>
        <w:rPr>
          <w:rFonts w:asciiTheme="minorHAnsi" w:hAnsiTheme="minorHAnsi" w:cstheme="minorHAnsi"/>
          <w:lang w:val="es-CL"/>
        </w:rPr>
      </w:pPr>
      <w:r w:rsidRPr="00FA5E89">
        <w:rPr>
          <w:rFonts w:asciiTheme="minorHAnsi" w:hAnsiTheme="minorHAnsi" w:cstheme="minorHAnsi"/>
          <w:lang w:val="es-CL"/>
        </w:rPr>
        <w:t>La importancia del seguimiento radica en su capacidad para detectar problemas antes de que se conviertan en incidentes mayores. Por ejemplo, un sistema de monitoreo continuo puede alertar sobre intentos de acceso no autorizados o configuraciones incorrectas en servidores críticos. Esto permite a los equipos de seguridad actuar rápidamente para evitar daños mayores. La planificación, por su parte, asegura que todos los recursos disponibles sean utilizados de manera eficiente, minimizando costos innecesarios y maximizando el impacto de las acciones implementadas. Ambas prácticas trabajan en conjunto para mantener un enfoque proactivo en la gestión de riesgos y garantizar que la organización esté preparada para enfrentar cualquier desafío relacionado con la seguridad de la información.</w:t>
      </w:r>
    </w:p>
    <w:p w14:paraId="266C6963" w14:textId="77777777" w:rsidR="00FA5E89" w:rsidRPr="00FA5E89" w:rsidRDefault="00FA5E89" w:rsidP="00FA5E89">
      <w:pPr>
        <w:pStyle w:val="NormalWeb"/>
        <w:jc w:val="both"/>
        <w:rPr>
          <w:rFonts w:asciiTheme="minorHAnsi" w:hAnsiTheme="minorHAnsi" w:cstheme="minorHAnsi"/>
          <w:lang w:val="es-CL"/>
        </w:rPr>
      </w:pPr>
      <w:r w:rsidRPr="00FA5E89">
        <w:rPr>
          <w:rFonts w:asciiTheme="minorHAnsi" w:hAnsiTheme="minorHAnsi" w:cstheme="minorHAnsi"/>
          <w:lang w:val="es-CL"/>
        </w:rPr>
        <w:t>Además, el seguimiento y la planificación son fundamentales para demostrar el compromiso de la organización con la seguridad de la información ante las partes interesadas. Esto incluye no solo a los clientes y socios comerciales, sino también a las auditorías internas y externas. Un SGSI bien estructurado, respaldado por un seguimiento efectivo y una planificación estratégica, genera confianza y credibilidad en el mercado. También ayuda a cumplir con los requisitos regulatorios aplicables, reduciendo el riesgo de sanciones o multas por incumplimiento. En resumen, estas prácticas no solo protegen los activos de información, sino que también fortalecen la reputación y competitividad de la organización.</w:t>
      </w:r>
    </w:p>
    <w:p w14:paraId="2813BEA0" w14:textId="77777777" w:rsidR="00FA5E89" w:rsidRPr="00FA5E89" w:rsidRDefault="00FA5E89" w:rsidP="00FA5E89">
      <w:pPr>
        <w:pStyle w:val="NormalWeb"/>
        <w:jc w:val="both"/>
        <w:rPr>
          <w:rFonts w:asciiTheme="minorHAnsi" w:hAnsiTheme="minorHAnsi" w:cstheme="minorHAnsi"/>
          <w:lang w:val="es-CL"/>
        </w:rPr>
      </w:pPr>
      <w:r w:rsidRPr="00FA5E89">
        <w:rPr>
          <w:rFonts w:asciiTheme="minorHAnsi" w:hAnsiTheme="minorHAnsi" w:cstheme="minorHAnsi"/>
          <w:lang w:val="es-CL"/>
        </w:rPr>
        <w:t>Finalmente, es importante destacar que el seguimiento y la planificación deben ser procesos dinámicos y adaptables. Las amenazas cibernéticas y los requisitos regulatorios están en constante evolución, lo que obliga a las organizaciones a ajustar sus estrategias de manera continua. Para lograrlo, es fundamental contar con herramientas tecnológicas adecuadas, como sistemas de monitoreo automatizado, y un equipo capacitado que pueda interpretar los datos generados. Además, se recomienda realizar revisiones periódicas de los planes de acción para asegurar que sigan siendo relevantes y efectivos. De esta manera, la organización puede mantenerse un paso adelante en la protección de sus activos de información y cumplir con los más altos estándares de seguridad.</w:t>
      </w:r>
    </w:p>
    <w:p w14:paraId="3BCA48FB" w14:textId="77777777" w:rsidR="00FA5E89" w:rsidRPr="00FA5E89" w:rsidRDefault="00FA5E89" w:rsidP="00FA5E89">
      <w:pPr>
        <w:pStyle w:val="NormalWeb"/>
        <w:numPr>
          <w:ilvl w:val="0"/>
          <w:numId w:val="4"/>
        </w:numPr>
        <w:jc w:val="both"/>
        <w:rPr>
          <w:rFonts w:asciiTheme="minorHAnsi" w:hAnsiTheme="minorHAnsi" w:cstheme="minorHAnsi"/>
          <w:b/>
          <w:bCs/>
          <w:lang w:val="es-CL"/>
        </w:rPr>
      </w:pPr>
      <w:r w:rsidRPr="00FA5E89">
        <w:rPr>
          <w:rFonts w:asciiTheme="minorHAnsi" w:hAnsiTheme="minorHAnsi" w:cstheme="minorHAnsi"/>
          <w:b/>
          <w:bCs/>
          <w:lang w:val="es-CL"/>
        </w:rPr>
        <w:t>Objetivos de Seguridad de la Información</w:t>
      </w:r>
    </w:p>
    <w:p w14:paraId="5A5E979A" w14:textId="77777777" w:rsidR="00FA5E89" w:rsidRPr="00FA5E89" w:rsidRDefault="00FA5E89" w:rsidP="00FA5E89">
      <w:pPr>
        <w:pStyle w:val="NormalWeb"/>
        <w:jc w:val="both"/>
        <w:rPr>
          <w:rFonts w:asciiTheme="minorHAnsi" w:hAnsiTheme="minorHAnsi" w:cstheme="minorHAnsi"/>
          <w:lang w:val="es-CL"/>
        </w:rPr>
      </w:pPr>
      <w:r w:rsidRPr="00FA5E89">
        <w:rPr>
          <w:rFonts w:asciiTheme="minorHAnsi" w:hAnsiTheme="minorHAnsi" w:cstheme="minorHAnsi"/>
          <w:lang w:val="es-CL"/>
        </w:rPr>
        <w:lastRenderedPageBreak/>
        <w:t>Los objetivos de seguridad de la información deben ser específicos, medibles, alcanzables, relevantes y limitados en el tiempo, según lo establecido en la ISO 27001:2022. Estos objetivos son la base para guiar las acciones de la organización hacia la protección de sus activos de información y el cumplimiento de los requisitos normativos. Por ejemplo, un objetivo común podría ser reducir el número de incidentes de seguridad en un 20 % durante el próximo año mediante la implementación de capacitaciones regulares para los empleados y la adopción de tecnologías avanzadas de detección de amenazas. Cada objetivo debe estar claramente documentado en un registro estructurado, como el propuesto en Excel, donde se detalle su estado actual, las acciones realizadas y los resultados obtenidos, todos ellos positivos para demostrar el progreso continuo.</w:t>
      </w:r>
    </w:p>
    <w:p w14:paraId="79EAE7A7" w14:textId="77777777" w:rsidR="00FA5E89" w:rsidRPr="00FA5E89" w:rsidRDefault="00FA5E89" w:rsidP="00FA5E89">
      <w:pPr>
        <w:pStyle w:val="NormalWeb"/>
        <w:jc w:val="both"/>
        <w:rPr>
          <w:rFonts w:asciiTheme="minorHAnsi" w:hAnsiTheme="minorHAnsi" w:cstheme="minorHAnsi"/>
          <w:lang w:val="es-CL"/>
        </w:rPr>
      </w:pPr>
      <w:r w:rsidRPr="00FA5E89">
        <w:rPr>
          <w:rFonts w:asciiTheme="minorHAnsi" w:hAnsiTheme="minorHAnsi" w:cstheme="minorHAnsi"/>
          <w:lang w:val="es-CL"/>
        </w:rPr>
        <w:t>Para que los objetivos sean efectivos, deben estar alineados con la política de seguridad de la información de la organización y reflejar tanto las necesidades del negocio como las expectativas de las partes interesadas. Esto implica involucrar a todos los niveles de la organización en su definición y ejecución. Por ejemplo, los equipos operativos pueden enfocarse en la implementación de controles técnicos, mientras que la alta dirección puede supervisar el cumplimiento regulatorio y la asignación de recursos. Además, los objetivos deben ser revisados regularmente para asegurar que sigan siendo relevantes y que contribuyan al logro de los resultados esperados. Esta práctica no solo mejora la seguridad de la información, sino que también fomenta una cultura de responsabilidad compartida.</w:t>
      </w:r>
    </w:p>
    <w:p w14:paraId="43C5E369" w14:textId="77777777" w:rsidR="00FA5E89" w:rsidRPr="00FA5E89" w:rsidRDefault="00FA5E89" w:rsidP="00FA5E89">
      <w:pPr>
        <w:pStyle w:val="NormalWeb"/>
        <w:jc w:val="both"/>
        <w:rPr>
          <w:rFonts w:asciiTheme="minorHAnsi" w:hAnsiTheme="minorHAnsi" w:cstheme="minorHAnsi"/>
          <w:lang w:val="es-CL"/>
        </w:rPr>
      </w:pPr>
      <w:r w:rsidRPr="00FA5E89">
        <w:rPr>
          <w:rFonts w:asciiTheme="minorHAnsi" w:hAnsiTheme="minorHAnsi" w:cstheme="minorHAnsi"/>
          <w:lang w:val="es-CL"/>
        </w:rPr>
        <w:t>Un aspecto clave de los objetivos de seguridad es su capacidad para medir el impacto de las acciones implementadas. Por ejemplo, si el objetivo es reducir el tiempo promedio de respuesta a incidentes de seguridad, es necesario establecer métricas claras para evaluar el progreso. Esto puede incluir el uso de indicadores clave de rendimiento (</w:t>
      </w:r>
      <w:proofErr w:type="spellStart"/>
      <w:r w:rsidRPr="00FA5E89">
        <w:rPr>
          <w:rFonts w:asciiTheme="minorHAnsi" w:hAnsiTheme="minorHAnsi" w:cstheme="minorHAnsi"/>
          <w:lang w:val="es-CL"/>
        </w:rPr>
        <w:t>KPIs</w:t>
      </w:r>
      <w:proofErr w:type="spellEnd"/>
      <w:r w:rsidRPr="00FA5E89">
        <w:rPr>
          <w:rFonts w:asciiTheme="minorHAnsi" w:hAnsiTheme="minorHAnsi" w:cstheme="minorHAnsi"/>
          <w:lang w:val="es-CL"/>
        </w:rPr>
        <w:t>), como el tiempo de detección de incidentes, el tiempo de respuesta y el porcentaje de incidentes resueltos satisfactoriamente. Todos estos registros deben ser positivos, es decir, deben reflejar mejoras incrementales en la seguridad de la información. Esto no solo demuestra el compromiso de la organización con la mejora continua, sino que también proporciona evidencia tangible para futuras auditorías externas o certificaciones.</w:t>
      </w:r>
    </w:p>
    <w:p w14:paraId="19B202CC" w14:textId="77777777" w:rsidR="00FA5E89" w:rsidRPr="00FA5E89" w:rsidRDefault="00FA5E89" w:rsidP="00FA5E89">
      <w:pPr>
        <w:pStyle w:val="NormalWeb"/>
        <w:jc w:val="both"/>
        <w:rPr>
          <w:rFonts w:asciiTheme="minorHAnsi" w:hAnsiTheme="minorHAnsi" w:cstheme="minorHAnsi"/>
          <w:lang w:val="es-CL"/>
        </w:rPr>
      </w:pPr>
      <w:r w:rsidRPr="00FA5E89">
        <w:rPr>
          <w:rFonts w:asciiTheme="minorHAnsi" w:hAnsiTheme="minorHAnsi" w:cstheme="minorHAnsi"/>
          <w:lang w:val="es-CL"/>
        </w:rPr>
        <w:t>Finalmente, los objetivos de seguridad deben ser comunicados de manera efectiva a todos los niveles de la organización. Esto incluye no solo a los equipos técnicos y de seguridad, sino también a los empleados en general, quienes juegan un papel crucial en la prevención de incidentes. Por ejemplo, una campaña de concienciación sobre el manejo seguro de contraseñas puede contribuir significativamente a la reducción de accesos no autorizados. Además, es importante documentar y celebrar los logros alcanzados, ya que esto motiva a los empleados a seguir comprometidos con la seguridad de la información. En resumen, los objetivos bien definidos y alineados con la estrategia de la organización son fundamentales para garantizar el éxito del SGSI y cumplir con los requisitos de la ISO 27001:2022.</w:t>
      </w:r>
    </w:p>
    <w:p w14:paraId="7CD2899A" w14:textId="77777777" w:rsidR="00FA5E89" w:rsidRPr="00FA5E89" w:rsidRDefault="00FA5E89" w:rsidP="00FA5E89">
      <w:pPr>
        <w:pStyle w:val="NormalWeb"/>
        <w:numPr>
          <w:ilvl w:val="0"/>
          <w:numId w:val="4"/>
        </w:numPr>
        <w:jc w:val="both"/>
        <w:rPr>
          <w:rFonts w:asciiTheme="minorHAnsi" w:hAnsiTheme="minorHAnsi" w:cstheme="minorHAnsi"/>
          <w:b/>
          <w:bCs/>
          <w:lang w:val="es-CL"/>
        </w:rPr>
      </w:pPr>
      <w:r w:rsidRPr="00FA5E89">
        <w:rPr>
          <w:rFonts w:asciiTheme="minorHAnsi" w:hAnsiTheme="minorHAnsi" w:cstheme="minorHAnsi"/>
          <w:b/>
          <w:bCs/>
          <w:lang w:val="es-CL"/>
        </w:rPr>
        <w:t>Metodología para el Seguimiento Continuo</w:t>
      </w:r>
    </w:p>
    <w:p w14:paraId="33F5C0F2" w14:textId="77777777" w:rsidR="00FA5E89" w:rsidRPr="00FA5E89" w:rsidRDefault="00FA5E89" w:rsidP="00FA5E89">
      <w:pPr>
        <w:pStyle w:val="NormalWeb"/>
        <w:jc w:val="both"/>
        <w:rPr>
          <w:rFonts w:asciiTheme="minorHAnsi" w:hAnsiTheme="minorHAnsi" w:cstheme="minorHAnsi"/>
          <w:lang w:val="es-CL"/>
        </w:rPr>
      </w:pPr>
      <w:r w:rsidRPr="00FA5E89">
        <w:rPr>
          <w:rFonts w:asciiTheme="minorHAnsi" w:hAnsiTheme="minorHAnsi" w:cstheme="minorHAnsi"/>
          <w:lang w:val="es-CL"/>
        </w:rPr>
        <w:t xml:space="preserve">La metodología para el seguimiento continuo debe incluir métricas clave, indicadores de desempeño y auditorías internas regulares que permitan evaluar el cumplimiento de los </w:t>
      </w:r>
      <w:r w:rsidRPr="00FA5E89">
        <w:rPr>
          <w:rFonts w:asciiTheme="minorHAnsi" w:hAnsiTheme="minorHAnsi" w:cstheme="minorHAnsi"/>
          <w:lang w:val="es-CL"/>
        </w:rPr>
        <w:lastRenderedPageBreak/>
        <w:t>objetivos de seguridad. Es fundamental establecer un sistema de monitoreo automatizado que genere informes periódicos sobre el estado de los controles de seguridad implementados. Por ejemplo, se pueden registrar métricas como el tiempo promedio de respuesta a incidentes, el porcentaje de empleados capacitados en seguridad o la efectividad de las pruebas de penetración realizadas. Todos estos registros deben ser positivos, es decir, deben reflejar mejoras incrementales en la seguridad de la información. Además, se recomienda realizar reuniones mensuales con los equipos responsables para revisar los avances y ajustar las estrategias según sea necesario, asegurando que las acciones tomadas sean efectivas y sostenibles a largo plazo.</w:t>
      </w:r>
    </w:p>
    <w:p w14:paraId="75F7E23F" w14:textId="77777777" w:rsidR="00FA5E89" w:rsidRPr="00FA5E89" w:rsidRDefault="00FA5E89" w:rsidP="00FA5E89">
      <w:pPr>
        <w:pStyle w:val="NormalWeb"/>
        <w:jc w:val="both"/>
        <w:rPr>
          <w:rFonts w:asciiTheme="minorHAnsi" w:hAnsiTheme="minorHAnsi" w:cstheme="minorHAnsi"/>
          <w:lang w:val="es-CL"/>
        </w:rPr>
      </w:pPr>
      <w:r w:rsidRPr="00FA5E89">
        <w:rPr>
          <w:rFonts w:asciiTheme="minorHAnsi" w:hAnsiTheme="minorHAnsi" w:cstheme="minorHAnsi"/>
          <w:lang w:val="es-CL"/>
        </w:rPr>
        <w:t>Un aspecto clave de la metodología de seguimiento es la capacidad para identificar desviaciones o brechas en los controles de seguridad antes de que se conviertan en incidentes mayores. Esto implica no solo monitorear los sistemas y redes, sino también analizar los registros de eventos y los informes de auditoría. Por ejemplo, un análisis regular de los logs de seguridad puede revelar patrones sospechosos que podrían indicar un intento de ataque. Al detectar estas señales tempranas, los equipos de seguridad pueden tomar medidas preventivas para evitar daños mayores. Además, el seguimiento continuo permite evaluar la efectividad de los controles implementados y ajustarlos según sea necesario para mantener un nivel óptimo de seguridad.</w:t>
      </w:r>
    </w:p>
    <w:p w14:paraId="41AF7F07" w14:textId="77777777" w:rsidR="00FA5E89" w:rsidRPr="00FA5E89" w:rsidRDefault="00FA5E89" w:rsidP="00FA5E89">
      <w:pPr>
        <w:pStyle w:val="NormalWeb"/>
        <w:jc w:val="both"/>
        <w:rPr>
          <w:rFonts w:asciiTheme="minorHAnsi" w:hAnsiTheme="minorHAnsi" w:cstheme="minorHAnsi"/>
          <w:lang w:val="es-CL"/>
        </w:rPr>
      </w:pPr>
      <w:r w:rsidRPr="00FA5E89">
        <w:rPr>
          <w:rFonts w:asciiTheme="minorHAnsi" w:hAnsiTheme="minorHAnsi" w:cstheme="minorHAnsi"/>
          <w:lang w:val="es-CL"/>
        </w:rPr>
        <w:t>Otro componente importante de la metodología es la realización de auditorías internas regulares. Estas auditorías no solo evalúan el cumplimiento de los requisitos normativos, sino que también identifican áreas de mejora en los procesos y controles de seguridad. Por ejemplo, una auditoría interna puede revelar que ciertos empleados no han recibido la capacitación necesaria en seguridad, lo que aumenta el riesgo de incidentes. Al abordar estas brechas de manera proactiva, la organización puede mejorar su postura de seguridad y reducir el riesgo de violaciones de datos. Además, las auditorías internas proporcionan una valiosa retroalimentación para ajustar los objetivos y estrategias de seguridad, asegurando que sigan siendo relevantes y efectivos.</w:t>
      </w:r>
    </w:p>
    <w:p w14:paraId="04A8F801" w14:textId="77777777" w:rsidR="00FA5E89" w:rsidRPr="00FA5E89" w:rsidRDefault="00FA5E89" w:rsidP="00FA5E89">
      <w:pPr>
        <w:pStyle w:val="NormalWeb"/>
        <w:jc w:val="both"/>
        <w:rPr>
          <w:rFonts w:asciiTheme="minorHAnsi" w:hAnsiTheme="minorHAnsi" w:cstheme="minorHAnsi"/>
          <w:lang w:val="es-CL"/>
        </w:rPr>
      </w:pPr>
      <w:r w:rsidRPr="00FA5E89">
        <w:rPr>
          <w:rFonts w:asciiTheme="minorHAnsi" w:hAnsiTheme="minorHAnsi" w:cstheme="minorHAnsi"/>
          <w:lang w:val="es-CL"/>
        </w:rPr>
        <w:t>Finalmente, es importante destacar que el seguimiento continuo debe ser un proceso colaborativo que involucre a todos los niveles de la organización. Esto incluye no solo a los equipos técnicos y de seguridad, sino también a la alta dirección, que debe supervisar el cumplimiento regulatorio y la asignación de recursos. Además, se recomienda utilizar herramientas tecnológicas avanzadas, como sistemas SIEM (Gestión de Eventos e Información de Seguridad), para facilitar el monitoreo en tiempo real y la generación de informes. Estas herramientas no solo mejoran la visibilidad de los activos de información, sino que también permiten una respuesta más rápida y efectiva ante incidentes. En resumen, una metodología sólida para el seguimiento continuo es fundamental para garantizar la efectividad del SGSI y cumplir con los requisitos de la ISO 27001:2022.</w:t>
      </w:r>
    </w:p>
    <w:p w14:paraId="44C84E2F" w14:textId="77777777" w:rsidR="00FA5E89" w:rsidRPr="00FA5E89" w:rsidRDefault="00FA5E89" w:rsidP="00FA5E89">
      <w:pPr>
        <w:pStyle w:val="NormalWeb"/>
        <w:numPr>
          <w:ilvl w:val="0"/>
          <w:numId w:val="4"/>
        </w:numPr>
        <w:jc w:val="both"/>
        <w:rPr>
          <w:rFonts w:asciiTheme="minorHAnsi" w:hAnsiTheme="minorHAnsi" w:cstheme="minorHAnsi"/>
          <w:b/>
          <w:bCs/>
          <w:lang w:val="es-CL"/>
        </w:rPr>
      </w:pPr>
      <w:r w:rsidRPr="00FA5E89">
        <w:rPr>
          <w:rFonts w:asciiTheme="minorHAnsi" w:hAnsiTheme="minorHAnsi" w:cstheme="minorHAnsi"/>
          <w:b/>
          <w:bCs/>
          <w:lang w:val="es-CL"/>
        </w:rPr>
        <w:t>Planificación Estratégica y Operativa</w:t>
      </w:r>
    </w:p>
    <w:p w14:paraId="536C4B79" w14:textId="77777777" w:rsidR="00FA5E89" w:rsidRPr="00FA5E89" w:rsidRDefault="00FA5E89" w:rsidP="00FA5E89">
      <w:pPr>
        <w:pStyle w:val="NormalWeb"/>
        <w:jc w:val="both"/>
        <w:rPr>
          <w:rFonts w:asciiTheme="minorHAnsi" w:hAnsiTheme="minorHAnsi" w:cstheme="minorHAnsi"/>
          <w:lang w:val="es-CL"/>
        </w:rPr>
      </w:pPr>
      <w:r w:rsidRPr="00FA5E89">
        <w:rPr>
          <w:rFonts w:asciiTheme="minorHAnsi" w:hAnsiTheme="minorHAnsi" w:cstheme="minorHAnsi"/>
          <w:lang w:val="es-CL"/>
        </w:rPr>
        <w:t xml:space="preserve">La planificación estratégica y operativa es esencial para garantizar que los recursos disponibles se utilicen de manera eficiente y que los objetivos de seguridad se cumplan dentro </w:t>
      </w:r>
      <w:r w:rsidRPr="00FA5E89">
        <w:rPr>
          <w:rFonts w:asciiTheme="minorHAnsi" w:hAnsiTheme="minorHAnsi" w:cstheme="minorHAnsi"/>
          <w:lang w:val="es-CL"/>
        </w:rPr>
        <w:lastRenderedPageBreak/>
        <w:t>del plazo establecido. Esto implica definir roles y responsabilidades, asignar presupuestos adecuados y establecer cronogramas claros para la implementación de controles y actividades de mejora. En el archivo de Excel se pueden registrar al menos 30 actividades positivas relacionadas con la planificación, como la realización de talleres de concienciación, la actualización de políticas de seguridad o la implementación de nuevas herramientas tecnológicas. Cada registro debe incluir detalles como la fecha de ejecución, el responsable asignado y los resultados obtenidos, siempre destacando el impacto positivo en la seguridad de la información. Este enfoque no solo ayuda a cumplir con los requisitos de la ISO 27001:2022, sino que también fortalece la cultura de seguridad dentro de la organización.</w:t>
      </w:r>
    </w:p>
    <w:p w14:paraId="7C983818" w14:textId="77777777" w:rsidR="00FA5E89" w:rsidRPr="00FA5E89" w:rsidRDefault="00FA5E89" w:rsidP="00FA5E89">
      <w:pPr>
        <w:pStyle w:val="NormalWeb"/>
        <w:jc w:val="both"/>
        <w:rPr>
          <w:rFonts w:asciiTheme="minorHAnsi" w:hAnsiTheme="minorHAnsi" w:cstheme="minorHAnsi"/>
          <w:lang w:val="es-CL"/>
        </w:rPr>
      </w:pPr>
      <w:r w:rsidRPr="00FA5E89">
        <w:rPr>
          <w:rFonts w:asciiTheme="minorHAnsi" w:hAnsiTheme="minorHAnsi" w:cstheme="minorHAnsi"/>
          <w:lang w:val="es-CL"/>
        </w:rPr>
        <w:t>Un aspecto clave de la planificación estratégica es la alineación de los objetivos de seguridad con la estrategia general del negocio. Esto implica involucrar a la alta dirección en la definición de prioridades y la asignación de recursos. Por ejemplo, si uno de los objetivos estratégicos de la organización es expandirse a nuevos mercados, es fundamental asegurar que los controles de seguridad sean lo suficientemente robustos para cumplir con los requisitos regulatorios de esos mercados. Además, la planificación operativa debe centrarse en la implementación de controles técnicos y procesos específicos que respalden los objetivos estratégicos. Esto incluye la capacitación de empleados, la actualización de políticas y la adopción de tecnologías avanzadas de seguridad.</w:t>
      </w:r>
    </w:p>
    <w:p w14:paraId="76ACFA6F" w14:textId="77777777" w:rsidR="00FA5E89" w:rsidRPr="00FA5E89" w:rsidRDefault="00FA5E89" w:rsidP="00FA5E89">
      <w:pPr>
        <w:pStyle w:val="NormalWeb"/>
        <w:jc w:val="both"/>
        <w:rPr>
          <w:rFonts w:asciiTheme="minorHAnsi" w:hAnsiTheme="minorHAnsi" w:cstheme="minorHAnsi"/>
          <w:lang w:val="es-CL"/>
        </w:rPr>
      </w:pPr>
      <w:r w:rsidRPr="00FA5E89">
        <w:rPr>
          <w:rFonts w:asciiTheme="minorHAnsi" w:hAnsiTheme="minorHAnsi" w:cstheme="minorHAnsi"/>
          <w:lang w:val="es-CL"/>
        </w:rPr>
        <w:t>Otro componente importante de la planificación es la gestión de riesgos. Esto implica identificar, evaluar y mitigar los riesgos asociados con los activos de información de la organización. Por ejemplo, una evaluación de riesgos puede revelar que ciertos proveedores representan un riesgo significativo debido a la falta de controles de seguridad adecuados. Al abordar estos riesgos de manera proactiva, la organización puede reducir su exposición y mejorar su postura de seguridad. Además, la planificación debe incluir la definición de métricas claras para evaluar el progreso hacia los objetivos de seguridad. Esto permite medir el impacto de las acciones implementadas y ajustar las estrategias según sea necesario para asegurar que sigan siendo efectivas.</w:t>
      </w:r>
    </w:p>
    <w:p w14:paraId="65106F21" w14:textId="77777777" w:rsidR="00FA5E89" w:rsidRPr="00FA5E89" w:rsidRDefault="00FA5E89" w:rsidP="00FA5E89">
      <w:pPr>
        <w:pStyle w:val="NormalWeb"/>
        <w:jc w:val="both"/>
        <w:rPr>
          <w:rFonts w:asciiTheme="minorHAnsi" w:hAnsiTheme="minorHAnsi" w:cstheme="minorHAnsi"/>
          <w:lang w:val="es-CL"/>
        </w:rPr>
      </w:pPr>
      <w:r w:rsidRPr="00FA5E89">
        <w:rPr>
          <w:rFonts w:asciiTheme="minorHAnsi" w:hAnsiTheme="minorHAnsi" w:cstheme="minorHAnsi"/>
          <w:lang w:val="es-CL"/>
        </w:rPr>
        <w:t>Finalmente, es importante destacar que la planificación estratégica y operativa debe ser un proceso dinámico y adaptable. Las amenazas cibernéticas y los requisitos regulatorios están en constante evolución, lo que obliga a las organizaciones a ajustar sus estrategias de manera continua. Para lograrlo, es fundamental contar con herramientas tecnológicas adecuadas, como sistemas de gestión de riesgos y plataformas de monitoreo en tiempo real. Además, se recomienda realizar revisiones periódicas de los planes de acción para asegurar que sigan siendo relevantes y efectivos. De esta manera, la organización puede mantenerse un paso adelante en la protección de sus activos de información y cumplir con los más altos estándares de seguridad. En resumen, una planificación sólida es fundamental para garantizar el éxito del SGSI y cumplir con los requisitos de la ISO 27001:2022.</w:t>
      </w:r>
    </w:p>
    <w:p w14:paraId="65B5CD9C" w14:textId="77777777" w:rsidR="00FA5E89" w:rsidRPr="00FA5E89" w:rsidRDefault="00FA5E89" w:rsidP="00FA5E89">
      <w:pPr>
        <w:pStyle w:val="NormalWeb"/>
        <w:numPr>
          <w:ilvl w:val="0"/>
          <w:numId w:val="4"/>
        </w:numPr>
        <w:jc w:val="both"/>
        <w:rPr>
          <w:rFonts w:asciiTheme="minorHAnsi" w:hAnsiTheme="minorHAnsi" w:cstheme="minorHAnsi"/>
          <w:b/>
          <w:bCs/>
          <w:lang w:val="es-CL"/>
        </w:rPr>
      </w:pPr>
      <w:r w:rsidRPr="00FA5E89">
        <w:rPr>
          <w:rFonts w:asciiTheme="minorHAnsi" w:hAnsiTheme="minorHAnsi" w:cstheme="minorHAnsi"/>
          <w:b/>
          <w:bCs/>
          <w:lang w:val="es-CL"/>
        </w:rPr>
        <w:t>Registro de Actividades Positivas en Excel</w:t>
      </w:r>
    </w:p>
    <w:p w14:paraId="0A9DD588" w14:textId="77777777" w:rsidR="00FA5E89" w:rsidRPr="00FA5E89" w:rsidRDefault="00FA5E89" w:rsidP="00FA5E89">
      <w:pPr>
        <w:pStyle w:val="NormalWeb"/>
        <w:jc w:val="both"/>
        <w:rPr>
          <w:rFonts w:asciiTheme="minorHAnsi" w:hAnsiTheme="minorHAnsi" w:cstheme="minorHAnsi"/>
          <w:lang w:val="es-CL"/>
        </w:rPr>
      </w:pPr>
      <w:r w:rsidRPr="00FA5E89">
        <w:rPr>
          <w:rFonts w:asciiTheme="minorHAnsi" w:hAnsiTheme="minorHAnsi" w:cstheme="minorHAnsi"/>
          <w:lang w:val="es-CL"/>
        </w:rPr>
        <w:t xml:space="preserve">Para facilitar el seguimiento y la planificación, se propone crear un archivo de Excel con al menos 30 registros positivos que evidencien el progreso en la implementación del SGSI. Cada </w:t>
      </w:r>
      <w:r w:rsidRPr="00FA5E89">
        <w:rPr>
          <w:rFonts w:asciiTheme="minorHAnsi" w:hAnsiTheme="minorHAnsi" w:cstheme="minorHAnsi"/>
          <w:lang w:val="es-CL"/>
        </w:rPr>
        <w:lastRenderedPageBreak/>
        <w:t>registro debe incluir columnas como ID de actividad, descripción, fecha de inicio, fecha de finalización, responsable, resultados obtenidos y comentarios adicionales. Por ejemplo, un registro podría indicar la finalización exitosa de una auditoría interna con observaciones favorables sobre el cumplimiento de los controles de acceso. Otro registro podría destacar la implementación de un sistema de autenticación multifactor que redujo significativamente los intentos de acceso no autorizados. Todos los registros deben ser positivos y reflejar avances concretos que contribuyan al logro de los objetivos de seguridad de la información establecidos en la ISO 27001:2022.</w:t>
      </w:r>
    </w:p>
    <w:p w14:paraId="64157F8C" w14:textId="77777777" w:rsidR="00FA5E89" w:rsidRPr="00FA5E89" w:rsidRDefault="00FA5E89" w:rsidP="00FA5E89">
      <w:pPr>
        <w:pStyle w:val="NormalWeb"/>
        <w:jc w:val="both"/>
        <w:rPr>
          <w:rFonts w:asciiTheme="minorHAnsi" w:hAnsiTheme="minorHAnsi" w:cstheme="minorHAnsi"/>
          <w:lang w:val="es-CL"/>
        </w:rPr>
      </w:pPr>
      <w:r w:rsidRPr="00FA5E89">
        <w:rPr>
          <w:rFonts w:asciiTheme="minorHAnsi" w:hAnsiTheme="minorHAnsi" w:cstheme="minorHAnsi"/>
          <w:lang w:val="es-CL"/>
        </w:rPr>
        <w:t>Un aspecto clave del registro de actividades es su capacidad para proporcionar evidencia tangible del progreso realizado. Esto es especialmente importante para las auditorías internas y externas, ya que permite demostrar el cumplimiento de los requisitos normativos y el compromiso de la organización con la mejora continua. Por ejemplo, un registro detallado de las capacitaciones realizadas puede demostrar que los empleados están mejor preparados para enfrentar amenazas cibernéticas. Además, los registros positivos ayudan a motivar a los equipos de trabajo al destacar los logros alcanzados y fomentar una cultura de reconocimiento y mejora continua.</w:t>
      </w:r>
    </w:p>
    <w:p w14:paraId="27CB0018" w14:textId="77777777" w:rsidR="00FA5E89" w:rsidRPr="00FA5E89" w:rsidRDefault="00FA5E89" w:rsidP="00FA5E89">
      <w:pPr>
        <w:pStyle w:val="NormalWeb"/>
        <w:jc w:val="both"/>
        <w:rPr>
          <w:rFonts w:asciiTheme="minorHAnsi" w:hAnsiTheme="minorHAnsi" w:cstheme="minorHAnsi"/>
          <w:lang w:val="es-CL"/>
        </w:rPr>
      </w:pPr>
      <w:r w:rsidRPr="00FA5E89">
        <w:rPr>
          <w:rFonts w:asciiTheme="minorHAnsi" w:hAnsiTheme="minorHAnsi" w:cstheme="minorHAnsi"/>
          <w:lang w:val="es-CL"/>
        </w:rPr>
        <w:t>Otro beneficio del registro de actividades es su capacidad para facilitar la toma de decisiones. Al tener un historial claro de las acciones implementadas y sus resultados, los equipos de seguridad pueden identificar patrones y tendencias que les permitan ajustar sus estrategias de manera proactiva. Por ejemplo, si se observa que ciertas actividades han tenido un impacto significativo en la reducción de incidentes de seguridad, se pueden priorizar estas actividades en futuros planes de acción. Además, los registros pueden ser utilizados para identificar áreas de mejora y ajustar los objetivos de seguridad según sea necesario para asegurar que sigan siendo relevantes y efectivos.</w:t>
      </w:r>
    </w:p>
    <w:p w14:paraId="31CF5137" w14:textId="77777777" w:rsidR="00FA5E89" w:rsidRPr="00FA5E89" w:rsidRDefault="00FA5E89" w:rsidP="00FA5E89">
      <w:pPr>
        <w:pStyle w:val="NormalWeb"/>
        <w:jc w:val="both"/>
        <w:rPr>
          <w:rFonts w:asciiTheme="minorHAnsi" w:hAnsiTheme="minorHAnsi" w:cstheme="minorHAnsi"/>
          <w:lang w:val="es-CL"/>
        </w:rPr>
      </w:pPr>
      <w:r w:rsidRPr="00FA5E89">
        <w:rPr>
          <w:rFonts w:asciiTheme="minorHAnsi" w:hAnsiTheme="minorHAnsi" w:cstheme="minorHAnsi"/>
          <w:lang w:val="es-CL"/>
        </w:rPr>
        <w:t>Finalmente, es importante destacar que el registro de actividades debe ser un proceso colaborativo que involucre a todos los niveles de la organización. Esto incluye no solo a los equipos técnicos y de seguridad, sino también a los empleados en general, quienes juegan un papel crucial en la prevención de incidentes. Además, se recomienda utilizar herramientas tecnológicas avanzadas, como sistemas de gestión de proyectos o plataformas de colaboración, para facilitar el registro y seguimiento de las actividades. Estas herramientas no solo mejoran la visibilidad de los avances realizados, sino que también permiten una comunicación más efectiva entre los equipos. En resumen, un registro detallado y positivo de actividades es fundamental para garantizar el éxito del SGSI y cumplir con los requisitos de la ISO 27001:2022.</w:t>
      </w:r>
    </w:p>
    <w:p w14:paraId="73F9A64C" w14:textId="77777777" w:rsidR="00FA5E89" w:rsidRPr="00FA5E89" w:rsidRDefault="00FA5E89" w:rsidP="0065732B">
      <w:pPr>
        <w:pStyle w:val="NormalWeb"/>
        <w:jc w:val="both"/>
        <w:rPr>
          <w:rFonts w:asciiTheme="minorHAnsi" w:hAnsiTheme="minorHAnsi" w:cstheme="minorHAnsi"/>
          <w:lang w:val="es-CL"/>
        </w:rPr>
      </w:pPr>
    </w:p>
    <w:p w14:paraId="3288A07F" w14:textId="77777777" w:rsidR="000B75AE" w:rsidRPr="000B75AE" w:rsidRDefault="000B75AE" w:rsidP="0065732B">
      <w:pPr>
        <w:pStyle w:val="NormalWeb"/>
        <w:jc w:val="both"/>
        <w:rPr>
          <w:rFonts w:asciiTheme="minorHAnsi" w:hAnsiTheme="minorHAnsi" w:cstheme="minorHAnsi"/>
          <w:lang w:val="es-CL"/>
        </w:rPr>
      </w:pPr>
    </w:p>
    <w:sectPr w:rsidR="000B75AE" w:rsidRPr="000B75AE" w:rsidSect="00452E7F">
      <w:headerReference w:type="even" r:id="rId10"/>
      <w:headerReference w:type="default" r:id="rId11"/>
      <w:footerReference w:type="even" r:id="rId12"/>
      <w:footerReference w:type="default" r:id="rId13"/>
      <w:headerReference w:type="first" r:id="rId14"/>
      <w:footerReference w:type="first" r:id="rId15"/>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BE44F" w14:textId="77777777" w:rsidR="000D0EB2" w:rsidRPr="00FA5E89" w:rsidRDefault="000D0EB2">
      <w:r w:rsidRPr="00FA5E89">
        <w:separator/>
      </w:r>
    </w:p>
    <w:p w14:paraId="2CB2B073" w14:textId="77777777" w:rsidR="000D0EB2" w:rsidRPr="00FA5E89" w:rsidRDefault="000D0EB2"/>
    <w:p w14:paraId="5E27E818" w14:textId="77777777" w:rsidR="000D0EB2" w:rsidRPr="00FA5E89" w:rsidRDefault="000D0EB2"/>
    <w:p w14:paraId="3BFFC306" w14:textId="77777777" w:rsidR="000D0EB2" w:rsidRPr="00FA5E89" w:rsidRDefault="000D0EB2" w:rsidP="00C1318C"/>
  </w:endnote>
  <w:endnote w:type="continuationSeparator" w:id="0">
    <w:p w14:paraId="671F57CB" w14:textId="77777777" w:rsidR="000D0EB2" w:rsidRPr="00FA5E89" w:rsidRDefault="000D0EB2">
      <w:r w:rsidRPr="00FA5E89">
        <w:continuationSeparator/>
      </w:r>
    </w:p>
    <w:p w14:paraId="3877FF4E" w14:textId="77777777" w:rsidR="000D0EB2" w:rsidRPr="00FA5E89" w:rsidRDefault="000D0EB2"/>
    <w:p w14:paraId="6E8A3723" w14:textId="77777777" w:rsidR="000D0EB2" w:rsidRPr="00FA5E89" w:rsidRDefault="000D0EB2"/>
    <w:p w14:paraId="477237D2" w14:textId="77777777" w:rsidR="000D0EB2" w:rsidRPr="00FA5E89" w:rsidRDefault="000D0EB2"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A3289" w14:textId="77777777" w:rsidR="00FA5E89" w:rsidRDefault="00FA5E8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374C7" w14:textId="77777777" w:rsidR="00FA5E89" w:rsidRPr="00FA5E89" w:rsidRDefault="00FA5E89" w:rsidP="00FA5E89">
    <w:pPr>
      <w:pStyle w:val="Piedepgina"/>
      <w:jc w:val="center"/>
      <w:rPr>
        <w:rFonts w:asciiTheme="minorHAnsi" w:hAnsiTheme="minorHAnsi" w:cstheme="minorHAnsi"/>
        <w:sz w:val="24"/>
        <w:szCs w:val="24"/>
        <w:lang w:eastAsia="en-GB"/>
      </w:rPr>
    </w:pPr>
    <w:r>
      <w:rPr>
        <w:rFonts w:asciiTheme="minorHAnsi" w:hAnsiTheme="minorHAnsi" w:cstheme="minorHAnsi"/>
        <w:sz w:val="24"/>
        <w:szCs w:val="24"/>
        <w:lang w:eastAsia="en-GB"/>
      </w:rPr>
      <w:t>SEGUIMIENTO Y PLANIFICACION PARA LOGRAR LOS OBJETIVOS</w:t>
    </w:r>
  </w:p>
  <w:p w14:paraId="7575EA04" w14:textId="77777777" w:rsidR="00237AFB" w:rsidRPr="00FA5E89" w:rsidRDefault="00237AFB" w:rsidP="00237AFB">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8117A" w14:textId="77777777" w:rsidR="00FA5E89" w:rsidRDefault="00FA5E8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41981" w14:textId="77777777" w:rsidR="000D0EB2" w:rsidRPr="00FA5E89" w:rsidRDefault="000D0EB2">
      <w:r w:rsidRPr="00FA5E89">
        <w:separator/>
      </w:r>
    </w:p>
    <w:p w14:paraId="4EE356CF" w14:textId="77777777" w:rsidR="000D0EB2" w:rsidRPr="00FA5E89" w:rsidRDefault="000D0EB2"/>
    <w:p w14:paraId="02862117" w14:textId="77777777" w:rsidR="000D0EB2" w:rsidRPr="00FA5E89" w:rsidRDefault="000D0EB2"/>
    <w:p w14:paraId="6EB01352" w14:textId="77777777" w:rsidR="000D0EB2" w:rsidRPr="00FA5E89" w:rsidRDefault="000D0EB2" w:rsidP="00C1318C"/>
  </w:footnote>
  <w:footnote w:type="continuationSeparator" w:id="0">
    <w:p w14:paraId="42D29EBF" w14:textId="77777777" w:rsidR="000D0EB2" w:rsidRPr="00FA5E89" w:rsidRDefault="000D0EB2">
      <w:r w:rsidRPr="00FA5E89">
        <w:continuationSeparator/>
      </w:r>
    </w:p>
    <w:p w14:paraId="2520F029" w14:textId="77777777" w:rsidR="000D0EB2" w:rsidRPr="00FA5E89" w:rsidRDefault="000D0EB2"/>
    <w:p w14:paraId="7BAA2883" w14:textId="77777777" w:rsidR="000D0EB2" w:rsidRPr="00FA5E89" w:rsidRDefault="000D0EB2"/>
    <w:p w14:paraId="49E11EB4" w14:textId="77777777" w:rsidR="000D0EB2" w:rsidRPr="00FA5E89" w:rsidRDefault="000D0EB2"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8C54F" w14:textId="77777777" w:rsidR="00FA5E89" w:rsidRDefault="00FA5E8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FA5E89" w:rsidRDefault="001637D6">
    <w:r w:rsidRPr="00FA5E89">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9B13B" w14:textId="77777777" w:rsidR="00FA5E89" w:rsidRDefault="00FA5E8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05EF"/>
    <w:multiLevelType w:val="multilevel"/>
    <w:tmpl w:val="C080A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EB398A"/>
    <w:multiLevelType w:val="multilevel"/>
    <w:tmpl w:val="3AEE3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73E02"/>
    <w:multiLevelType w:val="multilevel"/>
    <w:tmpl w:val="3992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821FD"/>
    <w:multiLevelType w:val="multilevel"/>
    <w:tmpl w:val="38A0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40D21"/>
    <w:multiLevelType w:val="multilevel"/>
    <w:tmpl w:val="CC06A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8"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335B70B1"/>
    <w:multiLevelType w:val="multilevel"/>
    <w:tmpl w:val="F4B2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2"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E82DAD"/>
    <w:multiLevelType w:val="multilevel"/>
    <w:tmpl w:val="F8080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B9A5AC9"/>
    <w:multiLevelType w:val="multilevel"/>
    <w:tmpl w:val="2FEC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8A4CC7"/>
    <w:multiLevelType w:val="multilevel"/>
    <w:tmpl w:val="83908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9"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53" w15:restartNumberingAfterBreak="0">
    <w:nsid w:val="667843E5"/>
    <w:multiLevelType w:val="multilevel"/>
    <w:tmpl w:val="EC786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A15E27"/>
    <w:multiLevelType w:val="multilevel"/>
    <w:tmpl w:val="B546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6630FF"/>
    <w:multiLevelType w:val="multilevel"/>
    <w:tmpl w:val="A904A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143494"/>
    <w:multiLevelType w:val="multilevel"/>
    <w:tmpl w:val="96A60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62"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5"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6"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C6F11BA"/>
    <w:multiLevelType w:val="multilevel"/>
    <w:tmpl w:val="5E5A0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50"/>
  </w:num>
  <w:num w:numId="2" w16cid:durableId="74938854">
    <w:abstractNumId w:val="22"/>
  </w:num>
  <w:num w:numId="3" w16cid:durableId="1494763561">
    <w:abstractNumId w:val="20"/>
  </w:num>
  <w:num w:numId="4" w16cid:durableId="2135100286">
    <w:abstractNumId w:val="48"/>
  </w:num>
  <w:num w:numId="5" w16cid:durableId="1000818834">
    <w:abstractNumId w:val="27"/>
  </w:num>
  <w:num w:numId="6" w16cid:durableId="1632788525">
    <w:abstractNumId w:val="65"/>
  </w:num>
  <w:num w:numId="7" w16cid:durableId="1321421067">
    <w:abstractNumId w:val="42"/>
  </w:num>
  <w:num w:numId="8" w16cid:durableId="352341285">
    <w:abstractNumId w:val="52"/>
  </w:num>
  <w:num w:numId="9" w16cid:durableId="27727978">
    <w:abstractNumId w:val="40"/>
  </w:num>
  <w:num w:numId="10" w16cid:durableId="1859850961">
    <w:abstractNumId w:val="18"/>
  </w:num>
  <w:num w:numId="11" w16cid:durableId="1630670735">
    <w:abstractNumId w:val="24"/>
  </w:num>
  <w:num w:numId="12" w16cid:durableId="1692032352">
    <w:abstractNumId w:val="27"/>
  </w:num>
  <w:num w:numId="13" w16cid:durableId="1393849829">
    <w:abstractNumId w:val="27"/>
  </w:num>
  <w:num w:numId="14" w16cid:durableId="815293384">
    <w:abstractNumId w:val="27"/>
  </w:num>
  <w:num w:numId="15" w16cid:durableId="1977754839">
    <w:abstractNumId w:val="63"/>
  </w:num>
  <w:num w:numId="16" w16cid:durableId="240061859">
    <w:abstractNumId w:val="29"/>
  </w:num>
  <w:num w:numId="17" w16cid:durableId="1741440573">
    <w:abstractNumId w:val="43"/>
  </w:num>
  <w:num w:numId="18" w16cid:durableId="404303887">
    <w:abstractNumId w:val="30"/>
  </w:num>
  <w:num w:numId="19" w16cid:durableId="1072853763">
    <w:abstractNumId w:val="11"/>
  </w:num>
  <w:num w:numId="20" w16cid:durableId="888345100">
    <w:abstractNumId w:val="33"/>
  </w:num>
  <w:num w:numId="21" w16cid:durableId="2083486945">
    <w:abstractNumId w:val="36"/>
  </w:num>
  <w:num w:numId="22" w16cid:durableId="1412317948">
    <w:abstractNumId w:val="1"/>
  </w:num>
  <w:num w:numId="23" w16cid:durableId="1332220685">
    <w:abstractNumId w:val="61"/>
  </w:num>
  <w:num w:numId="24" w16cid:durableId="587539902">
    <w:abstractNumId w:val="64"/>
  </w:num>
  <w:num w:numId="25" w16cid:durableId="1814641950">
    <w:abstractNumId w:val="17"/>
  </w:num>
  <w:num w:numId="26" w16cid:durableId="805513463">
    <w:abstractNumId w:val="7"/>
  </w:num>
  <w:num w:numId="27" w16cid:durableId="1555776139">
    <w:abstractNumId w:val="68"/>
  </w:num>
  <w:num w:numId="28" w16cid:durableId="2123913244">
    <w:abstractNumId w:val="19"/>
  </w:num>
  <w:num w:numId="29" w16cid:durableId="874922778">
    <w:abstractNumId w:val="31"/>
  </w:num>
  <w:num w:numId="30" w16cid:durableId="1757896361">
    <w:abstractNumId w:val="10"/>
  </w:num>
  <w:num w:numId="31" w16cid:durableId="1888297015">
    <w:abstractNumId w:val="27"/>
  </w:num>
  <w:num w:numId="32" w16cid:durableId="1875121296">
    <w:abstractNumId w:val="27"/>
  </w:num>
  <w:num w:numId="33" w16cid:durableId="711199856">
    <w:abstractNumId w:val="27"/>
  </w:num>
  <w:num w:numId="34" w16cid:durableId="1914506562">
    <w:abstractNumId w:val="27"/>
  </w:num>
  <w:num w:numId="35" w16cid:durableId="1030836293">
    <w:abstractNumId w:val="56"/>
  </w:num>
  <w:num w:numId="36" w16cid:durableId="674503644">
    <w:abstractNumId w:val="16"/>
  </w:num>
  <w:num w:numId="37" w16cid:durableId="1888105176">
    <w:abstractNumId w:val="66"/>
  </w:num>
  <w:num w:numId="38" w16cid:durableId="342171148">
    <w:abstractNumId w:val="21"/>
  </w:num>
  <w:num w:numId="39" w16cid:durableId="1308512191">
    <w:abstractNumId w:val="55"/>
  </w:num>
  <w:num w:numId="40" w16cid:durableId="751203121">
    <w:abstractNumId w:val="13"/>
  </w:num>
  <w:num w:numId="41" w16cid:durableId="1001616379">
    <w:abstractNumId w:val="60"/>
  </w:num>
  <w:num w:numId="42" w16cid:durableId="157235028">
    <w:abstractNumId w:val="37"/>
  </w:num>
  <w:num w:numId="43" w16cid:durableId="1076974531">
    <w:abstractNumId w:val="35"/>
  </w:num>
  <w:num w:numId="44" w16cid:durableId="908157133">
    <w:abstractNumId w:val="15"/>
  </w:num>
  <w:num w:numId="45" w16cid:durableId="1528714069">
    <w:abstractNumId w:val="59"/>
  </w:num>
  <w:num w:numId="46" w16cid:durableId="1350448151">
    <w:abstractNumId w:val="44"/>
  </w:num>
  <w:num w:numId="47" w16cid:durableId="134489178">
    <w:abstractNumId w:val="32"/>
  </w:num>
  <w:num w:numId="48" w16cid:durableId="904069908">
    <w:abstractNumId w:val="41"/>
  </w:num>
  <w:num w:numId="49" w16cid:durableId="876355981">
    <w:abstractNumId w:val="26"/>
  </w:num>
  <w:num w:numId="50" w16cid:durableId="1270042179">
    <w:abstractNumId w:val="47"/>
  </w:num>
  <w:num w:numId="51" w16cid:durableId="610477338">
    <w:abstractNumId w:val="14"/>
  </w:num>
  <w:num w:numId="52" w16cid:durableId="1976401646">
    <w:abstractNumId w:val="8"/>
  </w:num>
  <w:num w:numId="53" w16cid:durableId="1718821827">
    <w:abstractNumId w:val="34"/>
  </w:num>
  <w:num w:numId="54" w16cid:durableId="404844148">
    <w:abstractNumId w:val="12"/>
  </w:num>
  <w:num w:numId="55" w16cid:durableId="819855879">
    <w:abstractNumId w:val="28"/>
  </w:num>
  <w:num w:numId="56" w16cid:durableId="362633569">
    <w:abstractNumId w:val="62"/>
  </w:num>
  <w:num w:numId="57" w16cid:durableId="1293904960">
    <w:abstractNumId w:val="6"/>
  </w:num>
  <w:num w:numId="58" w16cid:durableId="2072266967">
    <w:abstractNumId w:val="51"/>
  </w:num>
  <w:num w:numId="59" w16cid:durableId="1449856183">
    <w:abstractNumId w:val="25"/>
  </w:num>
  <w:num w:numId="60" w16cid:durableId="264847693">
    <w:abstractNumId w:val="5"/>
  </w:num>
  <w:num w:numId="61" w16cid:durableId="140850691">
    <w:abstractNumId w:val="49"/>
  </w:num>
  <w:num w:numId="62" w16cid:durableId="1923098859">
    <w:abstractNumId w:val="39"/>
  </w:num>
  <w:num w:numId="63" w16cid:durableId="20667179">
    <w:abstractNumId w:val="67"/>
  </w:num>
  <w:num w:numId="64" w16cid:durableId="340280630">
    <w:abstractNumId w:val="0"/>
  </w:num>
  <w:num w:numId="65" w16cid:durableId="320471096">
    <w:abstractNumId w:val="45"/>
  </w:num>
  <w:num w:numId="66" w16cid:durableId="1332028717">
    <w:abstractNumId w:val="9"/>
  </w:num>
  <w:num w:numId="67" w16cid:durableId="1999527748">
    <w:abstractNumId w:val="53"/>
  </w:num>
  <w:num w:numId="68" w16cid:durableId="377702781">
    <w:abstractNumId w:val="58"/>
  </w:num>
  <w:num w:numId="69" w16cid:durableId="1481382485">
    <w:abstractNumId w:val="2"/>
  </w:num>
  <w:num w:numId="70" w16cid:durableId="1815557663">
    <w:abstractNumId w:val="57"/>
  </w:num>
  <w:num w:numId="71" w16cid:durableId="1195388289">
    <w:abstractNumId w:val="4"/>
  </w:num>
  <w:num w:numId="72" w16cid:durableId="1468009213">
    <w:abstractNumId w:val="46"/>
  </w:num>
  <w:num w:numId="73" w16cid:durableId="1921669192">
    <w:abstractNumId w:val="23"/>
  </w:num>
  <w:num w:numId="74" w16cid:durableId="1346325487">
    <w:abstractNumId w:val="3"/>
  </w:num>
  <w:num w:numId="75" w16cid:durableId="1579364043">
    <w:abstractNumId w:val="54"/>
  </w:num>
  <w:num w:numId="76" w16cid:durableId="1720662088">
    <w:abstractNumId w:val="3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B75AE"/>
    <w:rsid w:val="000C2CC2"/>
    <w:rsid w:val="000C4E46"/>
    <w:rsid w:val="000C66BC"/>
    <w:rsid w:val="000D0E30"/>
    <w:rsid w:val="000D0EB2"/>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0E43"/>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3CD6"/>
    <w:rsid w:val="003B79A4"/>
    <w:rsid w:val="003C1203"/>
    <w:rsid w:val="003D090F"/>
    <w:rsid w:val="003D2197"/>
    <w:rsid w:val="003D3A20"/>
    <w:rsid w:val="003D5D11"/>
    <w:rsid w:val="003E08D3"/>
    <w:rsid w:val="003E2141"/>
    <w:rsid w:val="003E6956"/>
    <w:rsid w:val="003F19FA"/>
    <w:rsid w:val="003F1D61"/>
    <w:rsid w:val="003F44BE"/>
    <w:rsid w:val="0040038C"/>
    <w:rsid w:val="00401DF6"/>
    <w:rsid w:val="00406E4D"/>
    <w:rsid w:val="00411318"/>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0CC8"/>
    <w:rsid w:val="00524D3B"/>
    <w:rsid w:val="005272EA"/>
    <w:rsid w:val="00530EF8"/>
    <w:rsid w:val="0056034C"/>
    <w:rsid w:val="00561263"/>
    <w:rsid w:val="005652F0"/>
    <w:rsid w:val="005654DD"/>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11E4E"/>
    <w:rsid w:val="00616F21"/>
    <w:rsid w:val="006232E2"/>
    <w:rsid w:val="00633BC8"/>
    <w:rsid w:val="00643D58"/>
    <w:rsid w:val="00643D65"/>
    <w:rsid w:val="00644BA9"/>
    <w:rsid w:val="00650C52"/>
    <w:rsid w:val="00650D40"/>
    <w:rsid w:val="006533BC"/>
    <w:rsid w:val="00655961"/>
    <w:rsid w:val="00656B92"/>
    <w:rsid w:val="006572AC"/>
    <w:rsid w:val="0065732B"/>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269E4"/>
    <w:rsid w:val="00736B22"/>
    <w:rsid w:val="00737BAE"/>
    <w:rsid w:val="00740439"/>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6C9"/>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6A3"/>
    <w:rsid w:val="00946E72"/>
    <w:rsid w:val="00956DA8"/>
    <w:rsid w:val="00961992"/>
    <w:rsid w:val="009707FE"/>
    <w:rsid w:val="009724AF"/>
    <w:rsid w:val="009736D0"/>
    <w:rsid w:val="00976787"/>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2DB0"/>
    <w:rsid w:val="009E5ABB"/>
    <w:rsid w:val="009F33BA"/>
    <w:rsid w:val="009F473B"/>
    <w:rsid w:val="009F7D29"/>
    <w:rsid w:val="00A02346"/>
    <w:rsid w:val="00A02A1A"/>
    <w:rsid w:val="00A041DF"/>
    <w:rsid w:val="00A04D18"/>
    <w:rsid w:val="00A05015"/>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72EA"/>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C3058"/>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092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0803"/>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30BE"/>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AB5"/>
    <w:rsid w:val="00EE6E84"/>
    <w:rsid w:val="00EF054C"/>
    <w:rsid w:val="00EF51B8"/>
    <w:rsid w:val="00F0243E"/>
    <w:rsid w:val="00F10BB0"/>
    <w:rsid w:val="00F13251"/>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2C88"/>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5E89"/>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 w:type="character" w:styleId="Mencinsinresolver">
    <w:name w:val="Unresolved Mention"/>
    <w:basedOn w:val="Fuentedeprrafopredeter"/>
    <w:uiPriority w:val="99"/>
    <w:semiHidden/>
    <w:unhideWhenUsed/>
    <w:rsid w:val="000B7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60753978">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63891378">
      <w:bodyDiv w:val="1"/>
      <w:marLeft w:val="0"/>
      <w:marRight w:val="0"/>
      <w:marTop w:val="0"/>
      <w:marBottom w:val="0"/>
      <w:divBdr>
        <w:top w:val="none" w:sz="0" w:space="0" w:color="auto"/>
        <w:left w:val="none" w:sz="0" w:space="0" w:color="auto"/>
        <w:bottom w:val="none" w:sz="0" w:space="0" w:color="auto"/>
        <w:right w:val="none" w:sz="0" w:space="0" w:color="auto"/>
      </w:divBdr>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11440144">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56033027">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23716756">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486970329">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97DD7"/>
    <w:rsid w:val="000F59A7"/>
    <w:rsid w:val="00184492"/>
    <w:rsid w:val="001C466F"/>
    <w:rsid w:val="00263F00"/>
    <w:rsid w:val="00363C37"/>
    <w:rsid w:val="00383C66"/>
    <w:rsid w:val="00383C88"/>
    <w:rsid w:val="00390CD5"/>
    <w:rsid w:val="00483F4E"/>
    <w:rsid w:val="004F1616"/>
    <w:rsid w:val="005017BF"/>
    <w:rsid w:val="00503E58"/>
    <w:rsid w:val="005354A2"/>
    <w:rsid w:val="005910A7"/>
    <w:rsid w:val="00611E4E"/>
    <w:rsid w:val="006C7BDF"/>
    <w:rsid w:val="00737BAE"/>
    <w:rsid w:val="00740439"/>
    <w:rsid w:val="00871B28"/>
    <w:rsid w:val="00912671"/>
    <w:rsid w:val="00920173"/>
    <w:rsid w:val="00930D52"/>
    <w:rsid w:val="009C1F3E"/>
    <w:rsid w:val="00AC291B"/>
    <w:rsid w:val="00AF72EA"/>
    <w:rsid w:val="00B63AF7"/>
    <w:rsid w:val="00B92933"/>
    <w:rsid w:val="00BC3058"/>
    <w:rsid w:val="00C81A8B"/>
    <w:rsid w:val="00D10803"/>
    <w:rsid w:val="00D23467"/>
    <w:rsid w:val="00D36B5D"/>
    <w:rsid w:val="00EA4B46"/>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2598</Words>
  <Characters>14295</Characters>
  <Application>Microsoft Office Word</Application>
  <DocSecurity>0</DocSecurity>
  <Lines>119</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16860</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2</cp:revision>
  <cp:lastPrinted>2016-07-27T15:25:00Z</cp:lastPrinted>
  <dcterms:created xsi:type="dcterms:W3CDTF">2025-03-31T05:19:00Z</dcterms:created>
  <dcterms:modified xsi:type="dcterms:W3CDTF">2025-03-31T05:19:00Z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