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9803C6" w:rsidRDefault="00657883" w:rsidP="00237AFB">
      <w:pPr>
        <w:jc w:val="both"/>
        <w:rPr>
          <w:rFonts w:asciiTheme="minorHAnsi" w:hAnsiTheme="minorHAnsi" w:cstheme="minorHAnsi"/>
        </w:rPr>
      </w:pPr>
    </w:p>
    <w:p w14:paraId="7415A3EE" w14:textId="77777777" w:rsidR="001705EC" w:rsidRPr="009803C6" w:rsidRDefault="001705EC" w:rsidP="00237AFB">
      <w:pPr>
        <w:jc w:val="both"/>
        <w:rPr>
          <w:rFonts w:asciiTheme="minorHAnsi" w:hAnsiTheme="minorHAnsi" w:cstheme="minorHAnsi"/>
          <w:sz w:val="44"/>
          <w:szCs w:val="44"/>
        </w:rPr>
      </w:pPr>
    </w:p>
    <w:p w14:paraId="7D3EE362" w14:textId="77777777" w:rsidR="001705EC" w:rsidRPr="009803C6" w:rsidRDefault="001705EC" w:rsidP="00237AFB">
      <w:pPr>
        <w:jc w:val="both"/>
        <w:rPr>
          <w:rFonts w:asciiTheme="minorHAnsi" w:hAnsiTheme="minorHAnsi" w:cstheme="minorHAnsi"/>
          <w:sz w:val="44"/>
          <w:szCs w:val="44"/>
        </w:rPr>
      </w:pPr>
    </w:p>
    <w:p w14:paraId="30FD80A7" w14:textId="0EA20D0D" w:rsidR="006533BC" w:rsidRPr="009803C6" w:rsidRDefault="00237AFB" w:rsidP="00237AFB">
      <w:pPr>
        <w:pStyle w:val="Piedepgina"/>
        <w:jc w:val="center"/>
        <w:rPr>
          <w:rFonts w:asciiTheme="minorHAnsi" w:hAnsiTheme="minorHAnsi" w:cstheme="minorHAnsi"/>
          <w:sz w:val="24"/>
          <w:szCs w:val="24"/>
          <w:lang w:eastAsia="en-GB"/>
        </w:rPr>
      </w:pPr>
      <w:r w:rsidRPr="009803C6">
        <w:rPr>
          <w:rFonts w:asciiTheme="minorHAnsi" w:hAnsiTheme="minorHAnsi" w:cstheme="minorHAnsi"/>
          <w:sz w:val="24"/>
          <w:szCs w:val="24"/>
          <w:lang w:eastAsia="en-GB"/>
        </w:rPr>
        <w:t xml:space="preserve">Anexo A.8 </w:t>
      </w:r>
      <w:r w:rsidR="009803C6">
        <w:rPr>
          <w:rFonts w:asciiTheme="minorHAnsi" w:hAnsiTheme="minorHAnsi" w:cstheme="minorHAnsi"/>
          <w:sz w:val="24"/>
          <w:szCs w:val="24"/>
          <w:lang w:eastAsia="en-GB"/>
        </w:rPr>
        <w:t xml:space="preserve">    </w:t>
      </w:r>
      <w:r w:rsidR="009803C6" w:rsidRPr="009803C6">
        <w:rPr>
          <w:rFonts w:cstheme="minorHAnsi"/>
          <w:b/>
          <w:bCs/>
          <w:sz w:val="24"/>
          <w:szCs w:val="24"/>
          <w:lang w:eastAsia="en-GB"/>
        </w:rPr>
        <w:t xml:space="preserve">Informe Detallado de </w:t>
      </w:r>
      <w:r w:rsidR="009803C6" w:rsidRPr="009803C6">
        <w:rPr>
          <w:rFonts w:cstheme="minorHAnsi"/>
          <w:b/>
          <w:bCs/>
        </w:rPr>
        <w:t>análisis</w:t>
      </w:r>
      <w:r w:rsidR="009803C6" w:rsidRPr="009803C6">
        <w:rPr>
          <w:rFonts w:cstheme="minorHAnsi"/>
          <w:b/>
          <w:bCs/>
          <w:sz w:val="24"/>
          <w:szCs w:val="24"/>
          <w:lang w:eastAsia="en-GB"/>
        </w:rPr>
        <w:t xml:space="preserve"> de </w:t>
      </w:r>
      <w:r w:rsidR="009803C6" w:rsidRPr="009803C6">
        <w:rPr>
          <w:rFonts w:cstheme="minorHAnsi"/>
          <w:b/>
          <w:bCs/>
        </w:rPr>
        <w:t>Riesgos</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9803C6" w14:paraId="273B0C4B" w14:textId="77777777" w:rsidTr="00D02A7F">
        <w:tc>
          <w:tcPr>
            <w:tcW w:w="1908" w:type="dxa"/>
            <w:shd w:val="clear" w:color="auto" w:fill="D9D9D9" w:themeFill="background1" w:themeFillShade="D9"/>
          </w:tcPr>
          <w:p w14:paraId="083D5C51"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9803C6" w:rsidRDefault="001705EC" w:rsidP="00237AFB">
            <w:pPr>
              <w:jc w:val="both"/>
              <w:rPr>
                <w:rFonts w:asciiTheme="minorHAnsi" w:hAnsiTheme="minorHAnsi" w:cstheme="minorHAnsi"/>
                <w:b/>
                <w:bCs/>
                <w:sz w:val="24"/>
                <w:szCs w:val="24"/>
              </w:rPr>
            </w:pPr>
            <w:r w:rsidRPr="009803C6">
              <w:rPr>
                <w:rFonts w:asciiTheme="minorHAnsi" w:hAnsiTheme="minorHAnsi" w:cstheme="minorHAnsi"/>
                <w:b/>
                <w:bCs/>
                <w:sz w:val="24"/>
                <w:szCs w:val="24"/>
              </w:rPr>
              <w:t>Descripción</w:t>
            </w:r>
          </w:p>
        </w:tc>
      </w:tr>
      <w:tr w:rsidR="00452E7F" w:rsidRPr="009803C6" w14:paraId="23D5C307" w14:textId="77777777" w:rsidTr="00D02A7F">
        <w:tc>
          <w:tcPr>
            <w:tcW w:w="1908" w:type="dxa"/>
          </w:tcPr>
          <w:p w14:paraId="1F536261" w14:textId="77777777" w:rsidR="001705EC" w:rsidRPr="009803C6" w:rsidRDefault="001705EC" w:rsidP="00237AFB">
            <w:pPr>
              <w:jc w:val="both"/>
              <w:rPr>
                <w:rFonts w:asciiTheme="minorHAnsi" w:hAnsiTheme="minorHAnsi" w:cstheme="minorHAnsi"/>
                <w:sz w:val="24"/>
                <w:szCs w:val="24"/>
              </w:rPr>
            </w:pPr>
            <w:bookmarkStart w:id="0" w:name="_Hlk187601937"/>
            <w:r w:rsidRPr="009803C6">
              <w:rPr>
                <w:rFonts w:asciiTheme="minorHAnsi" w:hAnsiTheme="minorHAnsi" w:cstheme="minorHAnsi"/>
                <w:sz w:val="24"/>
                <w:szCs w:val="24"/>
              </w:rPr>
              <w:t>V1.0</w:t>
            </w:r>
          </w:p>
        </w:tc>
        <w:tc>
          <w:tcPr>
            <w:tcW w:w="1570" w:type="dxa"/>
          </w:tcPr>
          <w:p w14:paraId="5CF1E181" w14:textId="23D50EDA" w:rsidR="001705EC" w:rsidRPr="009803C6" w:rsidRDefault="001637D6" w:rsidP="00237AFB">
            <w:pPr>
              <w:jc w:val="both"/>
              <w:rPr>
                <w:rFonts w:asciiTheme="minorHAnsi" w:hAnsiTheme="minorHAnsi" w:cstheme="minorHAnsi"/>
                <w:sz w:val="24"/>
                <w:szCs w:val="24"/>
              </w:rPr>
            </w:pPr>
            <w:r w:rsidRPr="009803C6">
              <w:rPr>
                <w:rFonts w:asciiTheme="minorHAnsi" w:hAnsiTheme="minorHAnsi" w:cstheme="minorHAnsi"/>
                <w:sz w:val="24"/>
                <w:szCs w:val="24"/>
              </w:rPr>
              <w:t>Auditorex Chile</w:t>
            </w:r>
          </w:p>
        </w:tc>
        <w:tc>
          <w:tcPr>
            <w:tcW w:w="1810" w:type="dxa"/>
          </w:tcPr>
          <w:p w14:paraId="48DCB9A0" w14:textId="77777777" w:rsidR="001637D6" w:rsidRPr="009803C6" w:rsidRDefault="001637D6" w:rsidP="00237AFB">
            <w:pPr>
              <w:jc w:val="both"/>
              <w:rPr>
                <w:rFonts w:asciiTheme="minorHAnsi" w:hAnsiTheme="minorHAnsi" w:cstheme="minorHAnsi"/>
                <w:sz w:val="24"/>
                <w:szCs w:val="24"/>
              </w:rPr>
            </w:pPr>
            <w:r w:rsidRPr="009803C6">
              <w:rPr>
                <w:rFonts w:asciiTheme="minorHAnsi" w:hAnsiTheme="minorHAnsi" w:cstheme="minorHAnsi"/>
                <w:sz w:val="24"/>
                <w:szCs w:val="24"/>
              </w:rPr>
              <w:t>Mauricio Antonio Colomera Villarroel</w:t>
            </w:r>
          </w:p>
          <w:p w14:paraId="4664E988" w14:textId="77777777" w:rsidR="001705EC" w:rsidRPr="009803C6" w:rsidRDefault="001705EC" w:rsidP="00237AFB">
            <w:pPr>
              <w:jc w:val="both"/>
              <w:rPr>
                <w:rFonts w:asciiTheme="minorHAnsi" w:hAnsiTheme="minorHAnsi" w:cstheme="minorHAnsi"/>
                <w:sz w:val="24"/>
                <w:szCs w:val="24"/>
              </w:rPr>
            </w:pPr>
          </w:p>
        </w:tc>
        <w:tc>
          <w:tcPr>
            <w:tcW w:w="1811" w:type="dxa"/>
          </w:tcPr>
          <w:p w14:paraId="285FCDD1" w14:textId="0FAEB9DF" w:rsidR="001705EC" w:rsidRPr="009803C6" w:rsidRDefault="00452E7F" w:rsidP="00237AFB">
            <w:pPr>
              <w:jc w:val="both"/>
              <w:rPr>
                <w:rFonts w:asciiTheme="minorHAnsi" w:hAnsiTheme="minorHAnsi" w:cstheme="minorHAnsi"/>
                <w:sz w:val="24"/>
                <w:szCs w:val="24"/>
              </w:rPr>
            </w:pPr>
            <w:r w:rsidRPr="009803C6">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9803C6" w:rsidRDefault="00D02999" w:rsidP="00237AFB">
            <w:pPr>
              <w:jc w:val="both"/>
              <w:rPr>
                <w:rFonts w:asciiTheme="minorHAnsi" w:hAnsiTheme="minorHAnsi" w:cstheme="minorHAnsi"/>
                <w:szCs w:val="22"/>
              </w:rPr>
            </w:pPr>
            <w:r w:rsidRPr="009803C6">
              <w:rPr>
                <w:rFonts w:asciiTheme="minorHAnsi" w:hAnsiTheme="minorHAnsi" w:cstheme="minorHAnsi"/>
                <w:szCs w:val="22"/>
              </w:rPr>
              <w:t>12-01-2024</w:t>
            </w:r>
          </w:p>
        </w:tc>
        <w:tc>
          <w:tcPr>
            <w:tcW w:w="2250" w:type="dxa"/>
          </w:tcPr>
          <w:p w14:paraId="6401603C" w14:textId="72B7387A" w:rsidR="001705EC" w:rsidRPr="009803C6" w:rsidRDefault="009803C6" w:rsidP="00237AFB">
            <w:pPr>
              <w:pStyle w:val="NormalWeb"/>
              <w:jc w:val="both"/>
              <w:rPr>
                <w:rFonts w:asciiTheme="minorHAnsi" w:hAnsiTheme="minorHAnsi" w:cstheme="minorHAnsi"/>
                <w:lang w:val="es-CL"/>
              </w:rPr>
            </w:pPr>
            <w:r w:rsidRPr="009803C6">
              <w:rPr>
                <w:rFonts w:cstheme="minorHAnsi"/>
                <w:b/>
                <w:bCs/>
                <w:lang w:val="es-CL"/>
              </w:rPr>
              <w:t>Informe Detallado de análisis de Riesgos</w:t>
            </w:r>
          </w:p>
        </w:tc>
      </w:tr>
      <w:bookmarkEnd w:id="0"/>
      <w:tr w:rsidR="00452E7F" w:rsidRPr="009803C6" w14:paraId="2A38A0FB" w14:textId="77777777" w:rsidTr="00D02A7F">
        <w:tc>
          <w:tcPr>
            <w:tcW w:w="1908" w:type="dxa"/>
          </w:tcPr>
          <w:p w14:paraId="5AA7A63A" w14:textId="77777777" w:rsidR="001705EC" w:rsidRPr="009803C6" w:rsidRDefault="001705EC" w:rsidP="00237AFB">
            <w:pPr>
              <w:jc w:val="both"/>
              <w:rPr>
                <w:rFonts w:asciiTheme="minorHAnsi" w:hAnsiTheme="minorHAnsi" w:cstheme="minorHAnsi"/>
                <w:sz w:val="24"/>
                <w:szCs w:val="24"/>
              </w:rPr>
            </w:pPr>
          </w:p>
        </w:tc>
        <w:tc>
          <w:tcPr>
            <w:tcW w:w="1570" w:type="dxa"/>
          </w:tcPr>
          <w:p w14:paraId="6CA0F23C" w14:textId="77777777" w:rsidR="001705EC" w:rsidRPr="009803C6" w:rsidRDefault="001705EC" w:rsidP="00237AFB">
            <w:pPr>
              <w:jc w:val="both"/>
              <w:rPr>
                <w:rFonts w:asciiTheme="minorHAnsi" w:hAnsiTheme="minorHAnsi" w:cstheme="minorHAnsi"/>
                <w:sz w:val="24"/>
                <w:szCs w:val="24"/>
              </w:rPr>
            </w:pPr>
          </w:p>
        </w:tc>
        <w:tc>
          <w:tcPr>
            <w:tcW w:w="1810" w:type="dxa"/>
          </w:tcPr>
          <w:p w14:paraId="7579C89A" w14:textId="77777777" w:rsidR="001705EC" w:rsidRPr="009803C6" w:rsidRDefault="001705EC" w:rsidP="00237AFB">
            <w:pPr>
              <w:jc w:val="both"/>
              <w:rPr>
                <w:rFonts w:asciiTheme="minorHAnsi" w:hAnsiTheme="minorHAnsi" w:cstheme="minorHAnsi"/>
                <w:sz w:val="24"/>
                <w:szCs w:val="24"/>
              </w:rPr>
            </w:pPr>
          </w:p>
        </w:tc>
        <w:tc>
          <w:tcPr>
            <w:tcW w:w="1811" w:type="dxa"/>
          </w:tcPr>
          <w:p w14:paraId="5C11AFDC" w14:textId="77777777" w:rsidR="001705EC" w:rsidRPr="009803C6" w:rsidRDefault="001705EC" w:rsidP="00237AFB">
            <w:pPr>
              <w:jc w:val="both"/>
              <w:rPr>
                <w:rFonts w:asciiTheme="minorHAnsi" w:hAnsiTheme="minorHAnsi" w:cstheme="minorHAnsi"/>
                <w:sz w:val="24"/>
                <w:szCs w:val="24"/>
              </w:rPr>
            </w:pPr>
          </w:p>
        </w:tc>
        <w:tc>
          <w:tcPr>
            <w:tcW w:w="1019" w:type="dxa"/>
          </w:tcPr>
          <w:p w14:paraId="2D9464C3" w14:textId="77777777" w:rsidR="001705EC" w:rsidRPr="009803C6" w:rsidRDefault="001705EC" w:rsidP="00237AFB">
            <w:pPr>
              <w:jc w:val="both"/>
              <w:rPr>
                <w:rFonts w:asciiTheme="minorHAnsi" w:hAnsiTheme="minorHAnsi" w:cstheme="minorHAnsi"/>
                <w:sz w:val="24"/>
                <w:szCs w:val="24"/>
              </w:rPr>
            </w:pPr>
          </w:p>
        </w:tc>
        <w:tc>
          <w:tcPr>
            <w:tcW w:w="2250" w:type="dxa"/>
          </w:tcPr>
          <w:p w14:paraId="30EA5E83" w14:textId="77777777" w:rsidR="001705EC" w:rsidRPr="009803C6" w:rsidRDefault="001705EC" w:rsidP="00237AFB">
            <w:pPr>
              <w:jc w:val="both"/>
              <w:rPr>
                <w:rFonts w:asciiTheme="minorHAnsi" w:hAnsiTheme="minorHAnsi" w:cstheme="minorHAnsi"/>
                <w:sz w:val="24"/>
                <w:szCs w:val="24"/>
              </w:rPr>
            </w:pPr>
          </w:p>
        </w:tc>
      </w:tr>
      <w:tr w:rsidR="00452E7F" w:rsidRPr="009803C6" w14:paraId="5D084FF7" w14:textId="77777777" w:rsidTr="00D02A7F">
        <w:tc>
          <w:tcPr>
            <w:tcW w:w="1908" w:type="dxa"/>
          </w:tcPr>
          <w:p w14:paraId="59848B68" w14:textId="77777777" w:rsidR="001705EC" w:rsidRPr="009803C6" w:rsidRDefault="001705EC" w:rsidP="00237AFB">
            <w:pPr>
              <w:jc w:val="both"/>
              <w:rPr>
                <w:rFonts w:asciiTheme="minorHAnsi" w:hAnsiTheme="minorHAnsi" w:cstheme="minorHAnsi"/>
                <w:sz w:val="24"/>
                <w:szCs w:val="24"/>
              </w:rPr>
            </w:pPr>
          </w:p>
        </w:tc>
        <w:tc>
          <w:tcPr>
            <w:tcW w:w="1570" w:type="dxa"/>
          </w:tcPr>
          <w:p w14:paraId="4CE506E6" w14:textId="77777777" w:rsidR="001705EC" w:rsidRPr="009803C6" w:rsidRDefault="001705EC" w:rsidP="00237AFB">
            <w:pPr>
              <w:jc w:val="both"/>
              <w:rPr>
                <w:rFonts w:asciiTheme="minorHAnsi" w:hAnsiTheme="minorHAnsi" w:cstheme="minorHAnsi"/>
                <w:sz w:val="24"/>
                <w:szCs w:val="24"/>
              </w:rPr>
            </w:pPr>
          </w:p>
        </w:tc>
        <w:tc>
          <w:tcPr>
            <w:tcW w:w="1810" w:type="dxa"/>
          </w:tcPr>
          <w:p w14:paraId="09467189" w14:textId="77777777" w:rsidR="001705EC" w:rsidRPr="009803C6" w:rsidRDefault="001705EC" w:rsidP="00237AFB">
            <w:pPr>
              <w:jc w:val="both"/>
              <w:rPr>
                <w:rFonts w:asciiTheme="minorHAnsi" w:hAnsiTheme="minorHAnsi" w:cstheme="minorHAnsi"/>
                <w:sz w:val="24"/>
                <w:szCs w:val="24"/>
              </w:rPr>
            </w:pPr>
          </w:p>
        </w:tc>
        <w:tc>
          <w:tcPr>
            <w:tcW w:w="1811" w:type="dxa"/>
          </w:tcPr>
          <w:p w14:paraId="6E7E4F49" w14:textId="77777777" w:rsidR="001705EC" w:rsidRPr="009803C6" w:rsidRDefault="001705EC" w:rsidP="00237AFB">
            <w:pPr>
              <w:jc w:val="both"/>
              <w:rPr>
                <w:rFonts w:asciiTheme="minorHAnsi" w:hAnsiTheme="minorHAnsi" w:cstheme="minorHAnsi"/>
                <w:sz w:val="24"/>
                <w:szCs w:val="24"/>
              </w:rPr>
            </w:pPr>
          </w:p>
        </w:tc>
        <w:tc>
          <w:tcPr>
            <w:tcW w:w="1019" w:type="dxa"/>
          </w:tcPr>
          <w:p w14:paraId="7EB49E66" w14:textId="77777777" w:rsidR="001705EC" w:rsidRPr="009803C6" w:rsidRDefault="001705EC" w:rsidP="00237AFB">
            <w:pPr>
              <w:jc w:val="both"/>
              <w:rPr>
                <w:rFonts w:asciiTheme="minorHAnsi" w:hAnsiTheme="minorHAnsi" w:cstheme="minorHAnsi"/>
                <w:sz w:val="24"/>
                <w:szCs w:val="24"/>
              </w:rPr>
            </w:pPr>
          </w:p>
        </w:tc>
        <w:tc>
          <w:tcPr>
            <w:tcW w:w="2250" w:type="dxa"/>
          </w:tcPr>
          <w:p w14:paraId="722DAB0F" w14:textId="77777777" w:rsidR="001705EC" w:rsidRPr="009803C6" w:rsidRDefault="001705EC" w:rsidP="00237AFB">
            <w:pPr>
              <w:jc w:val="both"/>
              <w:rPr>
                <w:rFonts w:asciiTheme="minorHAnsi" w:hAnsiTheme="minorHAnsi" w:cstheme="minorHAnsi"/>
                <w:sz w:val="24"/>
                <w:szCs w:val="24"/>
              </w:rPr>
            </w:pPr>
          </w:p>
        </w:tc>
      </w:tr>
      <w:tr w:rsidR="001705EC" w:rsidRPr="009803C6" w14:paraId="7875EE64" w14:textId="77777777" w:rsidTr="00D02A7F">
        <w:tc>
          <w:tcPr>
            <w:tcW w:w="1908" w:type="dxa"/>
            <w:shd w:val="clear" w:color="auto" w:fill="D9D9D9" w:themeFill="background1" w:themeFillShade="D9"/>
          </w:tcPr>
          <w:p w14:paraId="22F097C4" w14:textId="77777777" w:rsidR="001705EC" w:rsidRPr="009803C6" w:rsidRDefault="001705EC" w:rsidP="00237AFB">
            <w:pPr>
              <w:jc w:val="both"/>
              <w:rPr>
                <w:rFonts w:asciiTheme="minorHAnsi" w:hAnsiTheme="minorHAnsi" w:cstheme="minorHAnsi"/>
                <w:sz w:val="24"/>
                <w:szCs w:val="24"/>
              </w:rPr>
            </w:pPr>
            <w:r w:rsidRPr="009803C6">
              <w:rPr>
                <w:rFonts w:asciiTheme="minorHAnsi" w:hAnsiTheme="minorHAnsi" w:cstheme="minorHAnsi"/>
                <w:sz w:val="24"/>
                <w:szCs w:val="24"/>
              </w:rPr>
              <w:t>Número de referencia del documento</w:t>
            </w:r>
          </w:p>
        </w:tc>
        <w:tc>
          <w:tcPr>
            <w:tcW w:w="3380" w:type="dxa"/>
            <w:gridSpan w:val="2"/>
          </w:tcPr>
          <w:p w14:paraId="02FAF64D" w14:textId="67C72CC8" w:rsidR="001705EC" w:rsidRPr="009803C6" w:rsidRDefault="00237AFB" w:rsidP="00237AFB">
            <w:pPr>
              <w:jc w:val="both"/>
              <w:rPr>
                <w:rFonts w:asciiTheme="minorHAnsi" w:hAnsiTheme="minorHAnsi" w:cstheme="minorHAnsi"/>
                <w:sz w:val="24"/>
                <w:szCs w:val="24"/>
              </w:rPr>
            </w:pPr>
            <w:r w:rsidRPr="009803C6">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9803C6" w:rsidRDefault="001705EC" w:rsidP="00237AFB">
            <w:pPr>
              <w:jc w:val="both"/>
              <w:rPr>
                <w:rFonts w:asciiTheme="minorHAnsi" w:hAnsiTheme="minorHAnsi" w:cstheme="minorHAnsi"/>
                <w:sz w:val="24"/>
                <w:szCs w:val="24"/>
              </w:rPr>
            </w:pPr>
            <w:r w:rsidRPr="009803C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9803C6" w:rsidRDefault="001705EC" w:rsidP="00237AFB">
                <w:pPr>
                  <w:jc w:val="both"/>
                  <w:rPr>
                    <w:rFonts w:asciiTheme="minorHAnsi" w:hAnsiTheme="minorHAnsi" w:cstheme="minorHAnsi"/>
                    <w:sz w:val="24"/>
                    <w:szCs w:val="24"/>
                  </w:rPr>
                </w:pPr>
                <w:r w:rsidRPr="009803C6">
                  <w:rPr>
                    <w:rFonts w:asciiTheme="minorHAnsi" w:hAnsiTheme="minorHAnsi" w:cstheme="minorHAnsi"/>
                    <w:sz w:val="24"/>
                    <w:szCs w:val="24"/>
                  </w:rPr>
                  <w:t>Confidencial</w:t>
                </w:r>
              </w:p>
            </w:tc>
          </w:sdtContent>
        </w:sdt>
      </w:tr>
    </w:tbl>
    <w:p w14:paraId="5F47735A" w14:textId="77777777" w:rsidR="001705EC" w:rsidRPr="009803C6" w:rsidRDefault="001705EC" w:rsidP="00237AFB">
      <w:pPr>
        <w:jc w:val="both"/>
        <w:rPr>
          <w:rFonts w:asciiTheme="minorHAnsi" w:hAnsiTheme="minorHAnsi" w:cstheme="minorHAnsi"/>
          <w:sz w:val="24"/>
          <w:szCs w:val="24"/>
        </w:rPr>
      </w:pPr>
    </w:p>
    <w:p w14:paraId="3AA0CDCF" w14:textId="7E85D03F" w:rsidR="009803C6" w:rsidRPr="009803C6" w:rsidRDefault="00FE62D0" w:rsidP="009803C6">
      <w:pPr>
        <w:pStyle w:val="NormalWeb"/>
        <w:jc w:val="both"/>
        <w:rPr>
          <w:rFonts w:cstheme="minorHAnsi"/>
          <w:b/>
          <w:bCs/>
          <w:lang w:val="es-CL"/>
        </w:rPr>
      </w:pPr>
      <w:r>
        <w:rPr>
          <w:rFonts w:asciiTheme="minorHAnsi" w:hAnsiTheme="minorHAnsi" w:cstheme="minorHAnsi"/>
          <w:noProof/>
          <w:lang w:val="es-CL"/>
        </w:rPr>
        <w:drawing>
          <wp:inline distT="0" distB="0" distL="0" distR="0" wp14:anchorId="6E930B6D" wp14:editId="13A12912">
            <wp:extent cx="3124636" cy="1743318"/>
            <wp:effectExtent l="0" t="0" r="0" b="9525"/>
            <wp:docPr id="203844752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752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9803C6">
        <w:rPr>
          <w:rFonts w:asciiTheme="minorHAnsi" w:hAnsiTheme="minorHAnsi" w:cstheme="minorHAnsi"/>
          <w:lang w:val="es-CL"/>
        </w:rPr>
        <w:br w:type="page"/>
      </w:r>
    </w:p>
    <w:p w14:paraId="4604617B" w14:textId="77777777" w:rsidR="009803C6" w:rsidRPr="009803C6" w:rsidRDefault="009803C6" w:rsidP="009803C6">
      <w:pPr>
        <w:pStyle w:val="NormalWeb"/>
        <w:ind w:left="432"/>
        <w:jc w:val="both"/>
        <w:rPr>
          <w:rFonts w:asciiTheme="minorHAnsi" w:hAnsiTheme="minorHAnsi" w:cstheme="minorHAnsi"/>
          <w:b/>
          <w:bCs/>
          <w:lang w:val="es-CL"/>
        </w:rPr>
      </w:pPr>
      <w:r w:rsidRPr="009803C6">
        <w:rPr>
          <w:rFonts w:asciiTheme="minorHAnsi" w:hAnsiTheme="minorHAnsi" w:cstheme="minorHAnsi"/>
          <w:b/>
          <w:bCs/>
          <w:lang w:val="es-CL"/>
        </w:rPr>
        <w:lastRenderedPageBreak/>
        <w:t>Índice</w:t>
      </w:r>
    </w:p>
    <w:p w14:paraId="311C7903"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Introducción</w:t>
      </w:r>
    </w:p>
    <w:p w14:paraId="2A04208E" w14:textId="77777777" w:rsid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 xml:space="preserve">Metodología del Análisis de Riesgos </w:t>
      </w:r>
    </w:p>
    <w:p w14:paraId="721BC79B" w14:textId="77777777" w:rsidR="009803C6" w:rsidRDefault="009803C6" w:rsidP="009803C6">
      <w:pPr>
        <w:pStyle w:val="NormalWeb"/>
        <w:ind w:left="720"/>
        <w:jc w:val="both"/>
        <w:rPr>
          <w:rFonts w:asciiTheme="minorHAnsi" w:hAnsiTheme="minorHAnsi" w:cstheme="minorHAnsi"/>
          <w:lang w:val="es-CL"/>
        </w:rPr>
      </w:pPr>
      <w:r w:rsidRPr="009803C6">
        <w:rPr>
          <w:rFonts w:asciiTheme="minorHAnsi" w:hAnsiTheme="minorHAnsi" w:cstheme="minorHAnsi"/>
          <w:lang w:val="es-CL"/>
        </w:rPr>
        <w:t xml:space="preserve">2.1. Herramientas Utilizadas </w:t>
      </w:r>
    </w:p>
    <w:p w14:paraId="662D778C" w14:textId="77777777" w:rsidR="009803C6" w:rsidRDefault="009803C6" w:rsidP="009803C6">
      <w:pPr>
        <w:pStyle w:val="NormalWeb"/>
        <w:ind w:left="720"/>
        <w:jc w:val="both"/>
        <w:rPr>
          <w:rFonts w:asciiTheme="minorHAnsi" w:hAnsiTheme="minorHAnsi" w:cstheme="minorHAnsi"/>
          <w:lang w:val="es-CL"/>
        </w:rPr>
      </w:pPr>
      <w:r w:rsidRPr="009803C6">
        <w:rPr>
          <w:rFonts w:asciiTheme="minorHAnsi" w:hAnsiTheme="minorHAnsi" w:cstheme="minorHAnsi"/>
          <w:lang w:val="es-CL"/>
        </w:rPr>
        <w:t xml:space="preserve">2.2. Frecuencia de Análisis </w:t>
      </w:r>
    </w:p>
    <w:p w14:paraId="138A88C2" w14:textId="77777777" w:rsidR="009803C6" w:rsidRDefault="009803C6" w:rsidP="009803C6">
      <w:pPr>
        <w:pStyle w:val="NormalWeb"/>
        <w:ind w:left="720"/>
        <w:jc w:val="both"/>
        <w:rPr>
          <w:rFonts w:asciiTheme="minorHAnsi" w:hAnsiTheme="minorHAnsi" w:cstheme="minorHAnsi"/>
          <w:lang w:val="es-CL"/>
        </w:rPr>
      </w:pPr>
      <w:r w:rsidRPr="009803C6">
        <w:rPr>
          <w:rFonts w:asciiTheme="minorHAnsi" w:hAnsiTheme="minorHAnsi" w:cstheme="minorHAnsi"/>
          <w:lang w:val="es-CL"/>
        </w:rPr>
        <w:t xml:space="preserve">2.3. Roles Asignados </w:t>
      </w:r>
    </w:p>
    <w:p w14:paraId="2C5B2CF3" w14:textId="79502AE5" w:rsidR="009803C6" w:rsidRPr="009803C6" w:rsidRDefault="009803C6" w:rsidP="009803C6">
      <w:pPr>
        <w:pStyle w:val="NormalWeb"/>
        <w:ind w:left="720"/>
        <w:jc w:val="both"/>
        <w:rPr>
          <w:rFonts w:asciiTheme="minorHAnsi" w:hAnsiTheme="minorHAnsi" w:cstheme="minorHAnsi"/>
          <w:lang w:val="es-CL"/>
        </w:rPr>
      </w:pPr>
      <w:r w:rsidRPr="009803C6">
        <w:rPr>
          <w:rFonts w:asciiTheme="minorHAnsi" w:hAnsiTheme="minorHAnsi" w:cstheme="minorHAnsi"/>
          <w:lang w:val="es-CL"/>
        </w:rPr>
        <w:t>2.4. Referencias Normativas</w:t>
      </w:r>
    </w:p>
    <w:p w14:paraId="40D83D58"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Identificación de Riesgos</w:t>
      </w:r>
    </w:p>
    <w:p w14:paraId="42B6355B"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Evaluación de Impacto y Probabilidad</w:t>
      </w:r>
    </w:p>
    <w:p w14:paraId="6329BC79"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Clasificación y Priorización de Riesgos</w:t>
      </w:r>
    </w:p>
    <w:p w14:paraId="533054AF"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Tratamiento de Riesgos</w:t>
      </w:r>
    </w:p>
    <w:p w14:paraId="002D988B"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Riesgos Identificados y Tratamientos Adoptados</w:t>
      </w:r>
    </w:p>
    <w:p w14:paraId="7041AD3D"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Conclusiones y Recomendaciones</w:t>
      </w:r>
    </w:p>
    <w:p w14:paraId="229FE577" w14:textId="77777777" w:rsidR="009803C6" w:rsidRPr="009803C6" w:rsidRDefault="009803C6" w:rsidP="009803C6">
      <w:pPr>
        <w:pStyle w:val="NormalWeb"/>
        <w:numPr>
          <w:ilvl w:val="0"/>
          <w:numId w:val="63"/>
        </w:numPr>
        <w:jc w:val="both"/>
        <w:rPr>
          <w:rFonts w:asciiTheme="minorHAnsi" w:hAnsiTheme="minorHAnsi" w:cstheme="minorHAnsi"/>
          <w:lang w:val="es-CL"/>
        </w:rPr>
      </w:pPr>
      <w:r w:rsidRPr="009803C6">
        <w:rPr>
          <w:rFonts w:asciiTheme="minorHAnsi" w:hAnsiTheme="minorHAnsi" w:cstheme="minorHAnsi"/>
          <w:lang w:val="es-CL"/>
        </w:rPr>
        <w:t>Anexo Correspondiente</w:t>
      </w:r>
    </w:p>
    <w:p w14:paraId="6B32C219" w14:textId="52EE1980" w:rsidR="009803C6" w:rsidRDefault="009803C6" w:rsidP="009803C6">
      <w:pPr>
        <w:pStyle w:val="NormalWeb"/>
        <w:jc w:val="both"/>
        <w:rPr>
          <w:rFonts w:asciiTheme="minorHAnsi" w:hAnsiTheme="minorHAnsi" w:cstheme="minorHAnsi"/>
          <w:lang w:val="es-CL"/>
        </w:rPr>
      </w:pPr>
    </w:p>
    <w:p w14:paraId="65B97F3B" w14:textId="77777777" w:rsidR="009803C6" w:rsidRDefault="009803C6" w:rsidP="009803C6">
      <w:pPr>
        <w:pStyle w:val="NormalWeb"/>
        <w:jc w:val="both"/>
        <w:rPr>
          <w:rFonts w:asciiTheme="minorHAnsi" w:hAnsiTheme="minorHAnsi" w:cstheme="minorHAnsi"/>
          <w:lang w:val="es-CL"/>
        </w:rPr>
      </w:pPr>
    </w:p>
    <w:p w14:paraId="418B9AB7" w14:textId="77777777" w:rsidR="009803C6" w:rsidRDefault="009803C6" w:rsidP="009803C6">
      <w:pPr>
        <w:pStyle w:val="NormalWeb"/>
        <w:jc w:val="both"/>
        <w:rPr>
          <w:rFonts w:asciiTheme="minorHAnsi" w:hAnsiTheme="minorHAnsi" w:cstheme="minorHAnsi"/>
          <w:lang w:val="es-CL"/>
        </w:rPr>
      </w:pPr>
    </w:p>
    <w:p w14:paraId="614CA95F" w14:textId="77777777" w:rsidR="009803C6" w:rsidRDefault="009803C6" w:rsidP="009803C6">
      <w:pPr>
        <w:pStyle w:val="NormalWeb"/>
        <w:jc w:val="both"/>
        <w:rPr>
          <w:rFonts w:asciiTheme="minorHAnsi" w:hAnsiTheme="minorHAnsi" w:cstheme="minorHAnsi"/>
          <w:lang w:val="es-CL"/>
        </w:rPr>
      </w:pPr>
    </w:p>
    <w:p w14:paraId="11ABD505" w14:textId="77777777" w:rsidR="009803C6" w:rsidRDefault="009803C6" w:rsidP="009803C6">
      <w:pPr>
        <w:pStyle w:val="NormalWeb"/>
        <w:jc w:val="both"/>
        <w:rPr>
          <w:rFonts w:asciiTheme="minorHAnsi" w:hAnsiTheme="minorHAnsi" w:cstheme="minorHAnsi"/>
          <w:lang w:val="es-CL"/>
        </w:rPr>
      </w:pPr>
    </w:p>
    <w:p w14:paraId="17EFB3A0" w14:textId="77777777" w:rsidR="009803C6" w:rsidRDefault="009803C6" w:rsidP="009803C6">
      <w:pPr>
        <w:pStyle w:val="NormalWeb"/>
        <w:jc w:val="both"/>
        <w:rPr>
          <w:rFonts w:asciiTheme="minorHAnsi" w:hAnsiTheme="minorHAnsi" w:cstheme="minorHAnsi"/>
          <w:lang w:val="es-CL"/>
        </w:rPr>
      </w:pPr>
    </w:p>
    <w:p w14:paraId="3873CA23" w14:textId="77777777" w:rsidR="009803C6" w:rsidRDefault="009803C6" w:rsidP="009803C6">
      <w:pPr>
        <w:pStyle w:val="NormalWeb"/>
        <w:jc w:val="both"/>
        <w:rPr>
          <w:rFonts w:asciiTheme="minorHAnsi" w:hAnsiTheme="minorHAnsi" w:cstheme="minorHAnsi"/>
          <w:lang w:val="es-CL"/>
        </w:rPr>
      </w:pPr>
    </w:p>
    <w:p w14:paraId="21F7D1CD" w14:textId="77777777" w:rsidR="009803C6" w:rsidRDefault="009803C6" w:rsidP="009803C6">
      <w:pPr>
        <w:pStyle w:val="NormalWeb"/>
        <w:jc w:val="both"/>
        <w:rPr>
          <w:rFonts w:asciiTheme="minorHAnsi" w:hAnsiTheme="minorHAnsi" w:cstheme="minorHAnsi"/>
          <w:lang w:val="es-CL"/>
        </w:rPr>
      </w:pPr>
    </w:p>
    <w:p w14:paraId="7BB933F2" w14:textId="77777777" w:rsidR="009803C6" w:rsidRDefault="009803C6" w:rsidP="009803C6">
      <w:pPr>
        <w:pStyle w:val="NormalWeb"/>
        <w:jc w:val="both"/>
        <w:rPr>
          <w:rFonts w:asciiTheme="minorHAnsi" w:hAnsiTheme="minorHAnsi" w:cstheme="minorHAnsi"/>
          <w:lang w:val="es-CL"/>
        </w:rPr>
      </w:pPr>
    </w:p>
    <w:p w14:paraId="380DD06C" w14:textId="77777777" w:rsidR="009803C6" w:rsidRDefault="009803C6" w:rsidP="009803C6">
      <w:pPr>
        <w:pStyle w:val="NormalWeb"/>
        <w:jc w:val="both"/>
        <w:rPr>
          <w:rFonts w:asciiTheme="minorHAnsi" w:hAnsiTheme="minorHAnsi" w:cstheme="minorHAnsi"/>
          <w:lang w:val="es-CL"/>
        </w:rPr>
      </w:pPr>
    </w:p>
    <w:p w14:paraId="28492BDD" w14:textId="77777777" w:rsidR="009803C6" w:rsidRDefault="009803C6" w:rsidP="009803C6">
      <w:pPr>
        <w:pStyle w:val="NormalWeb"/>
        <w:jc w:val="both"/>
        <w:rPr>
          <w:rFonts w:asciiTheme="minorHAnsi" w:hAnsiTheme="minorHAnsi" w:cstheme="minorHAnsi"/>
          <w:lang w:val="es-CL"/>
        </w:rPr>
      </w:pPr>
    </w:p>
    <w:p w14:paraId="04234DB6" w14:textId="77777777" w:rsidR="009803C6" w:rsidRDefault="009803C6" w:rsidP="009803C6">
      <w:pPr>
        <w:pStyle w:val="NormalWeb"/>
        <w:jc w:val="both"/>
        <w:rPr>
          <w:rFonts w:asciiTheme="minorHAnsi" w:hAnsiTheme="minorHAnsi" w:cstheme="minorHAnsi"/>
          <w:lang w:val="es-CL"/>
        </w:rPr>
      </w:pPr>
    </w:p>
    <w:p w14:paraId="2C37CB7C" w14:textId="77777777" w:rsidR="009803C6" w:rsidRDefault="009803C6" w:rsidP="009803C6">
      <w:pPr>
        <w:pStyle w:val="NormalWeb"/>
        <w:jc w:val="both"/>
        <w:rPr>
          <w:rFonts w:asciiTheme="minorHAnsi" w:hAnsiTheme="minorHAnsi" w:cstheme="minorHAnsi"/>
          <w:lang w:val="es-CL"/>
        </w:rPr>
      </w:pPr>
    </w:p>
    <w:p w14:paraId="154D17F2" w14:textId="3AC607D6" w:rsidR="009803C6" w:rsidRPr="009803C6" w:rsidRDefault="009803C6" w:rsidP="009803C6">
      <w:pPr>
        <w:pStyle w:val="NormalWeb"/>
        <w:numPr>
          <w:ilvl w:val="1"/>
          <w:numId w:val="63"/>
        </w:numPr>
        <w:ind w:left="284"/>
        <w:rPr>
          <w:rFonts w:asciiTheme="minorHAnsi" w:hAnsiTheme="minorHAnsi" w:cstheme="minorHAnsi"/>
          <w:b/>
          <w:bCs/>
          <w:lang w:val="es-CL"/>
        </w:rPr>
      </w:pPr>
      <w:r w:rsidRPr="009803C6">
        <w:rPr>
          <w:rFonts w:asciiTheme="minorHAnsi" w:hAnsiTheme="minorHAnsi" w:cstheme="minorHAnsi"/>
          <w:b/>
          <w:bCs/>
          <w:lang w:val="es-CL"/>
        </w:rPr>
        <w:lastRenderedPageBreak/>
        <w:t>Introducción</w:t>
      </w:r>
    </w:p>
    <w:p w14:paraId="499C50E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El análisis de riesgos en Anaconda Web Chile comenzó como una iniciativa estratégica para proteger los activos digitales de la empresa, evolucionando a lo largo de los años con la adopción de tecnologías avanzadas y metodologías basadas en estándares internacionales. Inicialmente, el enfoque se centró en la identificación de vulnerabilidades básicas, pero con el crecimiento de las operaciones y el aumento de las amenazas cibernéticas, la empresa amplió su marco de gestión de riesgos.</w:t>
      </w:r>
    </w:p>
    <w:p w14:paraId="0CD81A97"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importancia del análisis de riesgos radica en su capacidad para anticipar y mitigar posibles incidentes que puedan afectar la continuidad operativa y la reputación de Anaconda Web Chile. Este proceso no solo fortalece la postura de seguridad, sino que también garantiza el cumplimiento con regulaciones y expectativas de los clientes.</w:t>
      </w:r>
    </w:p>
    <w:p w14:paraId="5980CB93"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evolución del análisis de riesgos en la empresa ha estado marcada por la integración de herramientas de monitoreo en tiempo real, la capacitación constante del personal y la colaboración con expertos en seguridad. Cada paso ha sido documentado y ajustado para reflejar las mejores prácticas globales.</w:t>
      </w:r>
    </w:p>
    <w:p w14:paraId="3D0EB380"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Este informe se basa en las directrices establecidas en la ISO 27001:2022, específicamente en el Anexo A.8, lo que asegura que todos los procedimientos y controles implementados cumplan con los requisitos internacionales de gestión de riesgos de seguridad de la información. El análisis de riesgos de Anaconda Web Chile ha evolucionado significativamente, incluyendo antecedentes históricos de gestión, políticas implementadas y la colaboración con expertos. Esta sección puede ampliarse con detalles sobre la evolución de las amenazas y la respuesta de la organización.</w:t>
      </w:r>
    </w:p>
    <w:p w14:paraId="7808FAF5"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Metodología del Análisis de Riesgos</w:t>
      </w:r>
    </w:p>
    <w:p w14:paraId="0B907175"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Se utilizaron herramientas avanzadas como SIEM para monitoreo en tiempo real, software de gestión de riesgos como </w:t>
      </w:r>
      <w:proofErr w:type="spellStart"/>
      <w:r w:rsidRPr="009803C6">
        <w:rPr>
          <w:rFonts w:asciiTheme="minorHAnsi" w:hAnsiTheme="minorHAnsi" w:cstheme="minorHAnsi"/>
          <w:lang w:val="es-CL"/>
        </w:rPr>
        <w:t>RiskWatch</w:t>
      </w:r>
      <w:proofErr w:type="spellEnd"/>
      <w:r w:rsidRPr="009803C6">
        <w:rPr>
          <w:rFonts w:asciiTheme="minorHAnsi" w:hAnsiTheme="minorHAnsi" w:cstheme="minorHAnsi"/>
          <w:lang w:val="es-CL"/>
        </w:rPr>
        <w:t xml:space="preserve"> y plataformas de análisis como </w:t>
      </w:r>
      <w:proofErr w:type="spellStart"/>
      <w:r w:rsidRPr="009803C6">
        <w:rPr>
          <w:rFonts w:asciiTheme="minorHAnsi" w:hAnsiTheme="minorHAnsi" w:cstheme="minorHAnsi"/>
          <w:lang w:val="es-CL"/>
        </w:rPr>
        <w:t>OpenVAS</w:t>
      </w:r>
      <w:proofErr w:type="spellEnd"/>
      <w:r w:rsidRPr="009803C6">
        <w:rPr>
          <w:rFonts w:asciiTheme="minorHAnsi" w:hAnsiTheme="minorHAnsi" w:cstheme="minorHAnsi"/>
          <w:lang w:val="es-CL"/>
        </w:rPr>
        <w:t xml:space="preserve"> para identificar vulnerabilidades. Cada herramienta fue configurada para escaneos automáticos y reportes detallados. El análisis de riesgos se realiza trimestralmente, siguiendo un cronograma aprobado por el Gerente de SGSI, con auditorías adicionales tras incidentes o cambios tecnológicos significativos. El Gerente de SGSI lidera el análisis, asistido por analistas de seguridad que ejecutan evaluaciones y elaboran informes, mientras que los auditores internos verifican el cumplimiento de los controles. La metodología sigue las directrices de ISO 27001:2022, vinculando cada fase con el Anexo A.8 para evaluación de riesgos, y referencias cruzadas al Anexo A.5 (políticas), A.9 (control de acceso) y A.12 (operaciones de seguridad). Esta sección se ampliará con cuatro párrafos detallados que expliquen las herramientas utilizadas con ejemplos de software específico, la frecuencia de análisis con descripciones de cronogramas y auditorías, los roles asignados con nombres de cargos y funciones claras, y las referencias normativas con citas directas al Anexo A.8 de ISO 27001:2022 y otros controles aplicables.</w:t>
      </w:r>
    </w:p>
    <w:p w14:paraId="3F5D5113"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lastRenderedPageBreak/>
        <w:t>2.1. Herramientas Utilizadas</w:t>
      </w:r>
    </w:p>
    <w:p w14:paraId="79FC08E3"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Se utilizaron herramientas avanzadas de análisis de riesgos como software SIEM (</w:t>
      </w:r>
      <w:proofErr w:type="spellStart"/>
      <w:r w:rsidRPr="009803C6">
        <w:rPr>
          <w:rFonts w:asciiTheme="minorHAnsi" w:hAnsiTheme="minorHAnsi" w:cstheme="minorHAnsi"/>
          <w:lang w:val="es-CL"/>
        </w:rPr>
        <w:t>Splunk</w:t>
      </w:r>
      <w:proofErr w:type="spellEnd"/>
      <w:r w:rsidRPr="009803C6">
        <w:rPr>
          <w:rFonts w:asciiTheme="minorHAnsi" w:hAnsiTheme="minorHAnsi" w:cstheme="minorHAnsi"/>
          <w:lang w:val="es-CL"/>
        </w:rPr>
        <w:t xml:space="preserve">, </w:t>
      </w:r>
      <w:proofErr w:type="spellStart"/>
      <w:r w:rsidRPr="009803C6">
        <w:rPr>
          <w:rFonts w:asciiTheme="minorHAnsi" w:hAnsiTheme="minorHAnsi" w:cstheme="minorHAnsi"/>
          <w:lang w:val="es-CL"/>
        </w:rPr>
        <w:t>ArcSight</w:t>
      </w:r>
      <w:proofErr w:type="spellEnd"/>
      <w:r w:rsidRPr="009803C6">
        <w:rPr>
          <w:rFonts w:asciiTheme="minorHAnsi" w:hAnsiTheme="minorHAnsi" w:cstheme="minorHAnsi"/>
          <w:lang w:val="es-CL"/>
        </w:rPr>
        <w:t xml:space="preserve">) para monitoreo en tiempo real, sistemas de gestión de vulnerabilidades como Nessus y </w:t>
      </w:r>
      <w:proofErr w:type="spellStart"/>
      <w:r w:rsidRPr="009803C6">
        <w:rPr>
          <w:rFonts w:asciiTheme="minorHAnsi" w:hAnsiTheme="minorHAnsi" w:cstheme="minorHAnsi"/>
          <w:lang w:val="es-CL"/>
        </w:rPr>
        <w:t>OpenVAS</w:t>
      </w:r>
      <w:proofErr w:type="spellEnd"/>
      <w:r w:rsidRPr="009803C6">
        <w:rPr>
          <w:rFonts w:asciiTheme="minorHAnsi" w:hAnsiTheme="minorHAnsi" w:cstheme="minorHAnsi"/>
          <w:lang w:val="es-CL"/>
        </w:rPr>
        <w:t>, y hojas de cálculo automatizadas para análisis cuantitativo. Se recomienda agregar documentación técnica de cada herramienta, procesos de configuración y ejemplos de reportes generados para respaldar los análisis. Se utilizaron herramientas avanzadas de análisis de riesgos como software SIEM, sistemas de gestión de vulnerabilidades y hojas de cálculo especializadas para el seguimiento de riesgos.</w:t>
      </w:r>
    </w:p>
    <w:p w14:paraId="54EDD524"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2.2. Frecuencia de Análisis</w:t>
      </w:r>
    </w:p>
    <w:p w14:paraId="4316967A"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El análisis de riesgos se realiza trimestralmente, pero se sugiere agregar evaluaciones mensuales para activos críticos, documentando los cronogramas, responsables y registros de cada análisis realizado, además de auditorías extraordinarias tras incidentes o cambios significativos. El análisis de riesgos se realiza trimestralmente y ante cualquier cambio significativo en los sistemas o procesos de Anaconda Web Chile.</w:t>
      </w:r>
    </w:p>
    <w:p w14:paraId="54979C56"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2.3. Roles Asignados</w:t>
      </w:r>
    </w:p>
    <w:p w14:paraId="57557D29"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Los roles incluyen al Gerente de SGSI, analistas de seguridad, auditores internos y responsables de cada área. Se recomienda detallar funciones específicas de cada rol, incluir formación requerida y procesos de asignación y revisión de responsabilidades. Los roles asignados incluyen al Gerente de SGSI como líder del proceso, analistas de seguridad para la evaluación de riesgos y auditores internos para la verificación del cumplimiento.</w:t>
      </w:r>
    </w:p>
    <w:p w14:paraId="05AF79A5"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2.4. Referencias Normativas</w:t>
      </w:r>
    </w:p>
    <w:p w14:paraId="37DA6A10"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Basado en ISO 27001:2022 Anexo A.8, con referencias al Anexo A.5 (políticas), A.9 (control de acceso) y A.12 (operaciones). Se sugiere agregar detalles de cómo cada control se implementa en Anaconda Web, con ejemplos de políticas, procesos y registros existentes. Este análisis se basa en las directrices de la ISO 27001:2022, específicamente en el Anexo A.8 (Evaluación de Riesgos), además de referencias cruzadas con los controles de seguridad establecidos en el Anexo A. La metodología incluye herramientas como SIEM, frecuencia de revisiones trimestrales, roles específicos (analistas, auditores, Gerente de SGSI) y referencia directa al Anexo A.8 de ISO 27001:2022.</w:t>
      </w:r>
    </w:p>
    <w:p w14:paraId="5123A75A"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Identificación de Riesgos</w:t>
      </w:r>
    </w:p>
    <w:p w14:paraId="5FD802BB"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La identificación de riesgos en Anaconda Web Chile se basa en un enfoque sistemático que combina la experiencia del equipo de seguridad, herramientas de análisis de amenazas y auditorías internas y externas. Se han establecido procesos para la recopilación de información a partir de incidentes pasados, reportes de vulnerabilidades y escenarios de riesgo identificados en el sector de tecnología y telecomunicaciones. Cada uno de estos </w:t>
      </w:r>
      <w:r w:rsidRPr="009803C6">
        <w:rPr>
          <w:rFonts w:asciiTheme="minorHAnsi" w:hAnsiTheme="minorHAnsi" w:cstheme="minorHAnsi"/>
          <w:lang w:val="es-CL"/>
        </w:rPr>
        <w:lastRenderedPageBreak/>
        <w:t>métodos permite anticipar posibles amenazas que puedan comprometer la seguridad de los activos de información de la empresa.</w:t>
      </w:r>
    </w:p>
    <w:p w14:paraId="7CEDB45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Entre los principales riesgos identificados se encuentran accesos no autorizados a sistemas críticos, ataques de phishing dirigidos a empleados, fallos en la disponibilidad de servidores y brechas de datos sensibles. En cada caso, se han utilizado simulaciones de ataques, pruebas de penetración y revisiones de configuraciones para validar la existencia de estos riesgos y su posible impacto en la continuidad operativa.</w:t>
      </w:r>
    </w:p>
    <w:p w14:paraId="462D84B1"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El proceso de revisión y validación de riesgos se realiza de manera continua, asegurando que se incorporen nuevas amenazas emergentes que puedan impactar el negocio. Para ello, se cuenta con un comité de seguridad de la información que evalúa periódicamente la evolución del panorama de riesgos y actualiza las políticas y procedimientos de identificación y mitigación.</w:t>
      </w:r>
    </w:p>
    <w:p w14:paraId="5B484E98"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Además, la empresa ha implementado un programa de concienciación para empleados y socios estratégicos, con el fin de reforzar la cultura de seguridad y fomentar la detección temprana de incidentes. La </w:t>
      </w:r>
      <w:proofErr w:type="gramStart"/>
      <w:r w:rsidRPr="009803C6">
        <w:rPr>
          <w:rFonts w:asciiTheme="minorHAnsi" w:hAnsiTheme="minorHAnsi" w:cstheme="minorHAnsi"/>
          <w:lang w:val="es-CL"/>
        </w:rPr>
        <w:t>participación activa</w:t>
      </w:r>
      <w:proofErr w:type="gramEnd"/>
      <w:r w:rsidRPr="009803C6">
        <w:rPr>
          <w:rFonts w:asciiTheme="minorHAnsi" w:hAnsiTheme="minorHAnsi" w:cstheme="minorHAnsi"/>
          <w:lang w:val="es-CL"/>
        </w:rPr>
        <w:t xml:space="preserve"> de todas las áreas en la identificación de riesgos contribuye a fortalecer la postura de seguridad de Anaconda Web Chile, alineándose con las mejores prácticas establecidas en la norma ISO 27001:2022.</w:t>
      </w:r>
    </w:p>
    <w:p w14:paraId="7FFC0451"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Evaluación de Impacto y Probabilidad</w:t>
      </w:r>
    </w:p>
    <w:p w14:paraId="023E953C"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evaluación de impacto y probabilidad en Anaconda Web Chile se realiza utilizando un enfoque basado en métricas cuantitativas y cualitativas. Cada riesgo identificado es analizado en términos de su posible afectación a la confidencialidad, integridad y disponibilidad de los activos de información. Se aplican escalas de valoración estructuradas que permiten clasificar el impacto en niveles bajo, medio o alto, considerando factores como interrupciones operativas, daños financieros y afectaciones a la reputación.</w:t>
      </w:r>
    </w:p>
    <w:p w14:paraId="35EFD160"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Para realizar la evaluación de impacto y probabilidad, se utilizan herramientas especializadas de análisis de riesgos, como matrices de evaluación que cruzan el nivel de daño con la probabilidad de ocurrencia. Este enfoque permite priorizar los riesgos críticos y definir estrategias de mitigación más efectivas. Además, se llevan a cabo entrevistas con los responsables de cada área para obtener información detallada sobre el impacto que tendría cada riesgo en sus respectivas operaciones.</w:t>
      </w:r>
    </w:p>
    <w:p w14:paraId="4C401AA8"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validación de los resultados obtenidos en la evaluación de impacto y probabilidad se realiza mediante revisiones periódicas lideradas por el Gerente de SGSI y el equipo de seguridad de la información. Estas revisiones incluyen pruebas de simulación de incidentes y análisis forense de eventos pasados para confirmar la exactitud de las valoraciones asignadas. De este modo, se garantiza que las estrategias de gestión de riesgos sean dinámicas y respondan a las amenazas emergentes.</w:t>
      </w:r>
    </w:p>
    <w:p w14:paraId="524B7426"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lastRenderedPageBreak/>
        <w:t>El proceso de evaluación está alineado con los estándares de la ISO 27001:2022, en especial con el Anexo A.8, que establece directrices para la identificación y tratamiento de riesgos de seguridad de la información. La metodología empleada permite asegurar la confiabilidad de los resultados y establecer un marco de referencia sólido para la toma de decisiones en la gestión de seguridad de Anaconda Web Chile.</w:t>
      </w:r>
    </w:p>
    <w:p w14:paraId="33B3BCD5"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Matriz de Evaluación de Riesgos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743"/>
        <w:gridCol w:w="1108"/>
        <w:gridCol w:w="1067"/>
        <w:gridCol w:w="1378"/>
        <w:gridCol w:w="1114"/>
        <w:gridCol w:w="937"/>
        <w:gridCol w:w="764"/>
        <w:gridCol w:w="962"/>
      </w:tblGrid>
      <w:tr w:rsidR="009803C6" w:rsidRPr="009803C6" w14:paraId="205C3FDF" w14:textId="77777777" w:rsidTr="009803C6">
        <w:trPr>
          <w:tblHeader/>
          <w:tblCellSpacing w:w="15" w:type="dxa"/>
        </w:trPr>
        <w:tc>
          <w:tcPr>
            <w:tcW w:w="0" w:type="auto"/>
            <w:vAlign w:val="center"/>
            <w:hideMark/>
          </w:tcPr>
          <w:p w14:paraId="116007DB"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Riesgo</w:t>
            </w:r>
          </w:p>
        </w:tc>
        <w:tc>
          <w:tcPr>
            <w:tcW w:w="0" w:type="auto"/>
            <w:vAlign w:val="center"/>
            <w:hideMark/>
          </w:tcPr>
          <w:p w14:paraId="2C1A132F"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Impacto</w:t>
            </w:r>
          </w:p>
        </w:tc>
        <w:tc>
          <w:tcPr>
            <w:tcW w:w="0" w:type="auto"/>
            <w:vAlign w:val="center"/>
            <w:hideMark/>
          </w:tcPr>
          <w:p w14:paraId="7F5EB582"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Probabilidad</w:t>
            </w:r>
          </w:p>
        </w:tc>
        <w:tc>
          <w:tcPr>
            <w:tcW w:w="0" w:type="auto"/>
            <w:vAlign w:val="center"/>
            <w:hideMark/>
          </w:tcPr>
          <w:p w14:paraId="6F662858"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Valoración Cuantitativa</w:t>
            </w:r>
          </w:p>
        </w:tc>
        <w:tc>
          <w:tcPr>
            <w:tcW w:w="0" w:type="auto"/>
            <w:vAlign w:val="center"/>
            <w:hideMark/>
          </w:tcPr>
          <w:p w14:paraId="3D26BC5E"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Justificación</w:t>
            </w:r>
          </w:p>
        </w:tc>
        <w:tc>
          <w:tcPr>
            <w:tcW w:w="0" w:type="auto"/>
            <w:vAlign w:val="center"/>
            <w:hideMark/>
          </w:tcPr>
          <w:p w14:paraId="12153A7E"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Metodología de Cálculo</w:t>
            </w:r>
          </w:p>
        </w:tc>
        <w:tc>
          <w:tcPr>
            <w:tcW w:w="0" w:type="auto"/>
            <w:vAlign w:val="center"/>
            <w:hideMark/>
          </w:tcPr>
          <w:p w14:paraId="5371AD2B"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Costo de Mitigación</w:t>
            </w:r>
          </w:p>
        </w:tc>
        <w:tc>
          <w:tcPr>
            <w:tcW w:w="0" w:type="auto"/>
            <w:vAlign w:val="center"/>
            <w:hideMark/>
          </w:tcPr>
          <w:p w14:paraId="4B0D29B4"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Riesgo Residual</w:t>
            </w:r>
          </w:p>
        </w:tc>
        <w:tc>
          <w:tcPr>
            <w:tcW w:w="0" w:type="auto"/>
            <w:vAlign w:val="center"/>
            <w:hideMark/>
          </w:tcPr>
          <w:p w14:paraId="5305CB7C" w14:textId="77777777" w:rsidR="009803C6" w:rsidRPr="009803C6" w:rsidRDefault="009803C6" w:rsidP="009803C6">
            <w:pPr>
              <w:pStyle w:val="NormalWeb"/>
              <w:jc w:val="both"/>
              <w:rPr>
                <w:rFonts w:asciiTheme="minorHAnsi" w:hAnsiTheme="minorHAnsi" w:cstheme="minorHAnsi"/>
                <w:b/>
                <w:bCs/>
                <w:lang w:val="es-CL"/>
              </w:rPr>
            </w:pPr>
            <w:r w:rsidRPr="009803C6">
              <w:rPr>
                <w:rFonts w:asciiTheme="minorHAnsi" w:hAnsiTheme="minorHAnsi" w:cstheme="minorHAnsi"/>
                <w:b/>
                <w:bCs/>
                <w:lang w:val="es-CL"/>
              </w:rPr>
              <w:t>Frecuencia de Revisión</w:t>
            </w:r>
          </w:p>
        </w:tc>
      </w:tr>
      <w:tr w:rsidR="009803C6" w:rsidRPr="009803C6" w14:paraId="65EC076A" w14:textId="77777777" w:rsidTr="009803C6">
        <w:trPr>
          <w:tblCellSpacing w:w="15" w:type="dxa"/>
        </w:trPr>
        <w:tc>
          <w:tcPr>
            <w:tcW w:w="0" w:type="auto"/>
            <w:vAlign w:val="center"/>
            <w:hideMark/>
          </w:tcPr>
          <w:p w14:paraId="0E0B101A"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Acceso no autorizado</w:t>
            </w:r>
          </w:p>
        </w:tc>
        <w:tc>
          <w:tcPr>
            <w:tcW w:w="0" w:type="auto"/>
            <w:vAlign w:val="center"/>
            <w:hideMark/>
          </w:tcPr>
          <w:p w14:paraId="597570DD"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Alto</w:t>
            </w:r>
          </w:p>
        </w:tc>
        <w:tc>
          <w:tcPr>
            <w:tcW w:w="0" w:type="auto"/>
            <w:vAlign w:val="center"/>
            <w:hideMark/>
          </w:tcPr>
          <w:p w14:paraId="0977A9B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Media</w:t>
            </w:r>
          </w:p>
        </w:tc>
        <w:tc>
          <w:tcPr>
            <w:tcW w:w="0" w:type="auto"/>
            <w:vAlign w:val="center"/>
            <w:hideMark/>
          </w:tcPr>
          <w:p w14:paraId="4EB60295"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7/10</w:t>
            </w:r>
          </w:p>
        </w:tc>
        <w:tc>
          <w:tcPr>
            <w:tcW w:w="0" w:type="auto"/>
            <w:vAlign w:val="center"/>
            <w:hideMark/>
          </w:tcPr>
          <w:p w14:paraId="378DDDB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Evaluación basada en incidentes previos y análisis de vulnerabilidades</w:t>
            </w:r>
          </w:p>
        </w:tc>
        <w:tc>
          <w:tcPr>
            <w:tcW w:w="0" w:type="auto"/>
            <w:vAlign w:val="center"/>
            <w:hideMark/>
          </w:tcPr>
          <w:p w14:paraId="587F187B"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Ponderación de impacto (70%) y probabilidad (30%)</w:t>
            </w:r>
          </w:p>
        </w:tc>
        <w:tc>
          <w:tcPr>
            <w:tcW w:w="0" w:type="auto"/>
            <w:vAlign w:val="center"/>
            <w:hideMark/>
          </w:tcPr>
          <w:p w14:paraId="1EDB1B93"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CLP 4,697,700</w:t>
            </w:r>
          </w:p>
        </w:tc>
        <w:tc>
          <w:tcPr>
            <w:tcW w:w="0" w:type="auto"/>
            <w:vAlign w:val="center"/>
            <w:hideMark/>
          </w:tcPr>
          <w:p w14:paraId="56BD97AA"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Bajo</w:t>
            </w:r>
          </w:p>
        </w:tc>
        <w:tc>
          <w:tcPr>
            <w:tcW w:w="0" w:type="auto"/>
            <w:vAlign w:val="center"/>
            <w:hideMark/>
          </w:tcPr>
          <w:p w14:paraId="4270369D"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Trimestral</w:t>
            </w:r>
          </w:p>
        </w:tc>
      </w:tr>
      <w:tr w:rsidR="009803C6" w:rsidRPr="009803C6" w14:paraId="173B176A" w14:textId="77777777" w:rsidTr="009803C6">
        <w:trPr>
          <w:tblCellSpacing w:w="15" w:type="dxa"/>
        </w:trPr>
        <w:tc>
          <w:tcPr>
            <w:tcW w:w="0" w:type="auto"/>
            <w:vAlign w:val="center"/>
            <w:hideMark/>
          </w:tcPr>
          <w:p w14:paraId="2AE55A4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Fallo de hardware</w:t>
            </w:r>
          </w:p>
        </w:tc>
        <w:tc>
          <w:tcPr>
            <w:tcW w:w="0" w:type="auto"/>
            <w:vAlign w:val="center"/>
            <w:hideMark/>
          </w:tcPr>
          <w:p w14:paraId="3BC63249"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Medio</w:t>
            </w:r>
          </w:p>
        </w:tc>
        <w:tc>
          <w:tcPr>
            <w:tcW w:w="0" w:type="auto"/>
            <w:vAlign w:val="center"/>
            <w:hideMark/>
          </w:tcPr>
          <w:p w14:paraId="3D83ED17"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Baja</w:t>
            </w:r>
          </w:p>
        </w:tc>
        <w:tc>
          <w:tcPr>
            <w:tcW w:w="0" w:type="auto"/>
            <w:vAlign w:val="center"/>
            <w:hideMark/>
          </w:tcPr>
          <w:p w14:paraId="092B6BA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4/10</w:t>
            </w:r>
          </w:p>
        </w:tc>
        <w:tc>
          <w:tcPr>
            <w:tcW w:w="0" w:type="auto"/>
            <w:vAlign w:val="center"/>
            <w:hideMark/>
          </w:tcPr>
          <w:p w14:paraId="61CD35B6"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Historial de fallos y revisión de ciclos de vida de equipos</w:t>
            </w:r>
          </w:p>
        </w:tc>
        <w:tc>
          <w:tcPr>
            <w:tcW w:w="0" w:type="auto"/>
            <w:vAlign w:val="center"/>
            <w:hideMark/>
          </w:tcPr>
          <w:p w14:paraId="18927DBB"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Ponderación de impacto (50%) y probabilidad (20%)</w:t>
            </w:r>
          </w:p>
        </w:tc>
        <w:tc>
          <w:tcPr>
            <w:tcW w:w="0" w:type="auto"/>
            <w:vAlign w:val="center"/>
            <w:hideMark/>
          </w:tcPr>
          <w:p w14:paraId="46EE370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CLP 2,818,620</w:t>
            </w:r>
          </w:p>
        </w:tc>
        <w:tc>
          <w:tcPr>
            <w:tcW w:w="0" w:type="auto"/>
            <w:vAlign w:val="center"/>
            <w:hideMark/>
          </w:tcPr>
          <w:p w14:paraId="3BC16441"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Medio</w:t>
            </w:r>
          </w:p>
        </w:tc>
        <w:tc>
          <w:tcPr>
            <w:tcW w:w="0" w:type="auto"/>
            <w:vAlign w:val="center"/>
            <w:hideMark/>
          </w:tcPr>
          <w:p w14:paraId="052FD640"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Semestral</w:t>
            </w:r>
          </w:p>
        </w:tc>
      </w:tr>
      <w:tr w:rsidR="009803C6" w:rsidRPr="009803C6" w14:paraId="14E29255" w14:textId="77777777" w:rsidTr="009803C6">
        <w:trPr>
          <w:tblCellSpacing w:w="15" w:type="dxa"/>
        </w:trPr>
        <w:tc>
          <w:tcPr>
            <w:tcW w:w="0" w:type="auto"/>
            <w:vAlign w:val="center"/>
            <w:hideMark/>
          </w:tcPr>
          <w:p w14:paraId="50FDFFE5"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Phishing</w:t>
            </w:r>
          </w:p>
        </w:tc>
        <w:tc>
          <w:tcPr>
            <w:tcW w:w="0" w:type="auto"/>
            <w:vAlign w:val="center"/>
            <w:hideMark/>
          </w:tcPr>
          <w:p w14:paraId="3B4ECB7C"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Alto</w:t>
            </w:r>
          </w:p>
        </w:tc>
        <w:tc>
          <w:tcPr>
            <w:tcW w:w="0" w:type="auto"/>
            <w:vAlign w:val="center"/>
            <w:hideMark/>
          </w:tcPr>
          <w:p w14:paraId="58E11EF9"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Alta</w:t>
            </w:r>
          </w:p>
        </w:tc>
        <w:tc>
          <w:tcPr>
            <w:tcW w:w="0" w:type="auto"/>
            <w:vAlign w:val="center"/>
            <w:hideMark/>
          </w:tcPr>
          <w:p w14:paraId="4F6E28DF"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9/10</w:t>
            </w:r>
          </w:p>
        </w:tc>
        <w:tc>
          <w:tcPr>
            <w:tcW w:w="0" w:type="auto"/>
            <w:vAlign w:val="center"/>
            <w:hideMark/>
          </w:tcPr>
          <w:p w14:paraId="5022DADD"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Alta ocurrencia en el sector y simulaciones internas</w:t>
            </w:r>
          </w:p>
        </w:tc>
        <w:tc>
          <w:tcPr>
            <w:tcW w:w="0" w:type="auto"/>
            <w:vAlign w:val="center"/>
            <w:hideMark/>
          </w:tcPr>
          <w:p w14:paraId="643320A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Cálculo de riesgo: Impacto x Probabilidad = 9</w:t>
            </w:r>
          </w:p>
        </w:tc>
        <w:tc>
          <w:tcPr>
            <w:tcW w:w="0" w:type="auto"/>
            <w:vAlign w:val="center"/>
            <w:hideMark/>
          </w:tcPr>
          <w:p w14:paraId="1879AF98"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CLP 7,516,320</w:t>
            </w:r>
          </w:p>
        </w:tc>
        <w:tc>
          <w:tcPr>
            <w:tcW w:w="0" w:type="auto"/>
            <w:vAlign w:val="center"/>
            <w:hideMark/>
          </w:tcPr>
          <w:p w14:paraId="0F5221C7"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Bajo</w:t>
            </w:r>
          </w:p>
        </w:tc>
        <w:tc>
          <w:tcPr>
            <w:tcW w:w="0" w:type="auto"/>
            <w:vAlign w:val="center"/>
            <w:hideMark/>
          </w:tcPr>
          <w:p w14:paraId="5CE694AD"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Mensual</w:t>
            </w:r>
          </w:p>
        </w:tc>
      </w:tr>
    </w:tbl>
    <w:p w14:paraId="5314866B" w14:textId="77777777" w:rsidR="009803C6" w:rsidRPr="009803C6" w:rsidRDefault="009803C6" w:rsidP="009803C6">
      <w:pPr>
        <w:pStyle w:val="NormalWeb"/>
        <w:jc w:val="both"/>
        <w:rPr>
          <w:rFonts w:asciiTheme="minorHAnsi" w:hAnsiTheme="minorHAnsi" w:cstheme="minorHAnsi"/>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03C6" w:rsidRPr="009803C6" w14:paraId="1A6B65B9" w14:textId="77777777" w:rsidTr="009803C6">
        <w:trPr>
          <w:tblHeader/>
          <w:tblCellSpacing w:w="15" w:type="dxa"/>
        </w:trPr>
        <w:tc>
          <w:tcPr>
            <w:tcW w:w="0" w:type="auto"/>
            <w:vAlign w:val="center"/>
            <w:hideMark/>
          </w:tcPr>
          <w:p w14:paraId="557591E8" w14:textId="77777777" w:rsidR="009803C6" w:rsidRPr="009803C6" w:rsidRDefault="009803C6" w:rsidP="009803C6">
            <w:pPr>
              <w:pStyle w:val="NormalWeb"/>
              <w:jc w:val="both"/>
              <w:rPr>
                <w:rFonts w:asciiTheme="minorHAnsi" w:hAnsiTheme="minorHAnsi" w:cstheme="minorHAnsi"/>
                <w:lang w:val="es-CL"/>
              </w:rPr>
            </w:pPr>
          </w:p>
        </w:tc>
      </w:tr>
    </w:tbl>
    <w:p w14:paraId="252A2806"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Clasificación y Priorización de Riesgos</w:t>
      </w:r>
    </w:p>
    <w:p w14:paraId="5D4E4266"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clasificación de riesgos en Anaconda Web Chile se basa en la evaluación de múltiples factores que determinan la criticidad de cada amenaza. Se consideran aspectos como el impacto en la confidencialidad, integridad y disponibilidad de los activos de información, así como su efecto en la operatividad del negocio. Cada riesgo identificado es analizado utilizando matrices de valoración que establecen escalas de impacto y probabilidad, permitiendo priorizar los riesgos más críticos.</w:t>
      </w:r>
    </w:p>
    <w:p w14:paraId="1E562331"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Ejemplos de clasificación incluyen riesgos con impacto financiero directo, como ataques de ransomware que podrían paralizar las operaciones y generar pérdidas económicas significativas. También se contemplan amenazas operacionales, como fallos en los sistemas de respaldo que podrían comprometer la recuperación ante desastres. Los riesgos </w:t>
      </w:r>
      <w:r w:rsidRPr="009803C6">
        <w:rPr>
          <w:rFonts w:asciiTheme="minorHAnsi" w:hAnsiTheme="minorHAnsi" w:cstheme="minorHAnsi"/>
          <w:lang w:val="es-CL"/>
        </w:rPr>
        <w:lastRenderedPageBreak/>
        <w:t>reputacionales, como la filtración de datos sensibles de clientes, se evalúan con la misma rigurosidad, ya que pueden afectar la confianza en la empresa y su continuidad en el mercado.</w:t>
      </w:r>
    </w:p>
    <w:p w14:paraId="6990C3FF"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El proceso de validación de la clasificación de riesgos se realiza a través de auditorías internas y externas, donde se contrastan los datos obtenidos con pruebas de simulación y reportes de incidentes pasados. La aplicación de metodologías de evaluación cualitativa y cuantitativa garantiza que la clasificación sea precisa y alineada con la realidad operativa de la organización. Además, se utilizan sistemas automatizados para la detección temprana de cambios en los niveles de riesgo, permitiendo ajustes dinámicos en la estrategia de mitigación.</w:t>
      </w:r>
    </w:p>
    <w:p w14:paraId="71BC0C7D"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La revisión de la clasificación y priorización de riesgos es un proceso continuo dentro del marco de gestión de seguridad de Anaconda Web Chile. Se realizan actualizaciones trimestrales con base en nuevas amenazas detectadas y cambios en la infraestructura tecnológica. Además, la empresa lleva a cabo reuniones estratégicas con el equipo de seguridad y la alta dirección para evaluar la efectividad de las medidas implementadas y tomar decisiones informadas sobre la asignación de recursos para la gestión de riesgos.</w:t>
      </w:r>
    </w:p>
    <w:p w14:paraId="5638051B"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Tratamiento de Riesgos</w:t>
      </w:r>
    </w:p>
    <w:p w14:paraId="3E28B3A7"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El tratamiento de riesgos en Anaconda Web Chile se lleva a cabo mediante la implementación de controles técnicos y administrativos diseñados para mitigar, transferir, aceptar o evitar los riesgos identificados. Se han establecido estrategias específicas para cada tipo de riesgo, asegurando la continuidad operativa y la integridad de los activos de información. Estos controles incluyen el refuerzo de medidas de ciberseguridad, la capacitación del personal y la implementación de procedimientos estrictos de control de acceso.</w:t>
      </w:r>
    </w:p>
    <w:p w14:paraId="3A80D526"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Los controles técnicos aplicados incluyen la segmentación de redes, la implementación de firewalls avanzados con reglas de filtrado dinámico y la autenticación multifactor obligatoria en todos los accesos críticos. Además, se han adoptado sistemas de monitoreo en tiempo real con inteligencia artificial para detectar patrones anómalos de comportamiento y generar alertas inmediatas ante posibles incidentes de seguridad. Todos estos mecanismos son revisados y actualizados periódicamente para garantizar su efectividad frente a amenazas emergentes.</w:t>
      </w:r>
    </w:p>
    <w:p w14:paraId="7B7DF794"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Desde un enfoque administrativo, se han establecido políticas de seguridad de la información alineadas con la norma ISO 27001:2022, reforzando la cultura organizacional en cuanto a la gestión de riesgos. Se realizan auditorías internas y externas cada seis meses para evaluar el cumplimiento de las políticas y la eficacia de los controles implementados. Asimismo, se han definido procedimientos para la gestión de incidentes, asegurando una respuesta estructurada y eficiente ante cualquier eventualidad que pueda comprometer la seguridad de la organización.</w:t>
      </w:r>
    </w:p>
    <w:p w14:paraId="2A8FF4BC"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Los plazos y recursos necesarios para la implementación de estos controles son gestionados por el equipo de seguridad de la información, en coordinación con la alta dirección. Se ha </w:t>
      </w:r>
      <w:r w:rsidRPr="009803C6">
        <w:rPr>
          <w:rFonts w:asciiTheme="minorHAnsi" w:hAnsiTheme="minorHAnsi" w:cstheme="minorHAnsi"/>
          <w:lang w:val="es-CL"/>
        </w:rPr>
        <w:lastRenderedPageBreak/>
        <w:t>establecido un cronograma de mejora continua con hitos trimestrales para evaluar la efectividad de las estrategias implementadas y realizar los ajustes necesarios. Además, se asignan recursos específicos para la adquisición de nuevas tecnologías, la actualización de infraestructura y la capacitación constante del personal, garantizando una protección integral y sostenible a largo plazo.</w:t>
      </w:r>
    </w:p>
    <w:p w14:paraId="6FAC8F75"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Los controles técnicos implementados incluyen firewalls avanzados configurados con listas blancas de </w:t>
      </w:r>
      <w:proofErr w:type="spellStart"/>
      <w:r w:rsidRPr="009803C6">
        <w:rPr>
          <w:rFonts w:asciiTheme="minorHAnsi" w:hAnsiTheme="minorHAnsi" w:cstheme="minorHAnsi"/>
          <w:lang w:val="es-CL"/>
        </w:rPr>
        <w:t>IPs</w:t>
      </w:r>
      <w:proofErr w:type="spellEnd"/>
      <w:r w:rsidRPr="009803C6">
        <w:rPr>
          <w:rFonts w:asciiTheme="minorHAnsi" w:hAnsiTheme="minorHAnsi" w:cstheme="minorHAnsi"/>
          <w:lang w:val="es-CL"/>
        </w:rPr>
        <w:t xml:space="preserve"> y monitoreo en tiempo real mediante SIEM, administrados por el equipo de seguridad liderado por el Gerente de SGSI. Los responsables de mantener estos controles son los analistas de seguridad, quienes realizan revisiones diarias de alertas y ajustes semanales de las configuraciones. Además, se han implementado controles de acceso físico mediante sistemas biométricos y tarjetas RFID en las salas de servidores, bajo la responsabilidad del </w:t>
      </w:r>
      <w:proofErr w:type="gramStart"/>
      <w:r w:rsidRPr="009803C6">
        <w:rPr>
          <w:rFonts w:asciiTheme="minorHAnsi" w:hAnsiTheme="minorHAnsi" w:cstheme="minorHAnsi"/>
          <w:lang w:val="es-CL"/>
        </w:rPr>
        <w:t>Jefe</w:t>
      </w:r>
      <w:proofErr w:type="gramEnd"/>
      <w:r w:rsidRPr="009803C6">
        <w:rPr>
          <w:rFonts w:asciiTheme="minorHAnsi" w:hAnsiTheme="minorHAnsi" w:cstheme="minorHAnsi"/>
          <w:lang w:val="es-CL"/>
        </w:rPr>
        <w:t xml:space="preserve"> de Infraestructura, con revisiones trimestrales de su correcto funcionamiento. En cuanto a controles administrativos, se han establecido políticas de seguridad aprobadas por la Alta Dirección, revisadas semestralmente por el Comité de Seguridad. Cada área tiene un responsable designado para garantizar el cumplimiento de estas políticas. Los plazos para la implementación de estos controles incluyen revisiones mensuales de configuración, auditorías trimestrales de accesos y capacitaciones anuales del personal, con recursos asignados para nuevas tecnologías y formación continua.</w:t>
      </w:r>
    </w:p>
    <w:p w14:paraId="4A08806D"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Riesgos Identificados y Tratamientos Adoptados</w:t>
      </w:r>
    </w:p>
    <w:p w14:paraId="4333B86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Los riesgos identificados abarcan accesos no autorizados, fallos de hardware, ataques de phishing y vulnerabilidades en la infraestructura del Data Center de Anaconda Web Chile. Cada riesgo fue evaluado considerando su impacto en los servidores, redes y sistemas de respaldo. La justificación de cada valoración se basó en incidentes pasados, auditorías y análisis de vulnerabilidades, documentados en el SGSI. Los costos de mitigación incluyen adquisición de firewalls, licencias de SIEM, mantenimiento de hardware y capacitación del personal, valorados en CLP según las necesidades de la organización. Los riesgos residuales, tras controles como autenticación multifactor y segmentación de red, se mantuvieron en niveles bajos o moderados, con revisiones trimestrales para ajustes. El plan de revisión contempla auditorías semestrales, actualizaciones de políticas de seguridad y simulaciones de incidentes, con responsables asignados en el área de seguridad y la Alta Dirección de Anaconda Web Chile.</w:t>
      </w:r>
    </w:p>
    <w:p w14:paraId="32371DD7"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Ampliar con columnas de costo de mitigación, riesgo residual y revisión periódica.</w:t>
      </w:r>
    </w:p>
    <w:p w14:paraId="07809EB2"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Conclusiones y Recomendaciones</w:t>
      </w:r>
    </w:p>
    <w:p w14:paraId="6C54C11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El análisis de riesgos realizado en Anaconda Web Chile ha permitido identificar vulnerabilidades clave dentro de la infraestructura del Data Center y definir estrategias efectivas de mitigación. Entre las </w:t>
      </w:r>
      <w:r w:rsidRPr="009803C6">
        <w:rPr>
          <w:rFonts w:asciiTheme="minorHAnsi" w:hAnsiTheme="minorHAnsi" w:cstheme="minorHAnsi"/>
          <w:b/>
          <w:bCs/>
          <w:lang w:val="es-CL"/>
        </w:rPr>
        <w:t>lecciones aprendidas</w:t>
      </w:r>
      <w:r w:rsidRPr="009803C6">
        <w:rPr>
          <w:rFonts w:asciiTheme="minorHAnsi" w:hAnsiTheme="minorHAnsi" w:cstheme="minorHAnsi"/>
          <w:lang w:val="es-CL"/>
        </w:rPr>
        <w:t xml:space="preserve">, se destaca la importancia de una supervisión continua de los sistemas críticos y la necesidad de reforzar los procesos de autenticación para reducir los accesos no autorizados. Asimismo, se ha identificado la </w:t>
      </w:r>
      <w:r w:rsidRPr="009803C6">
        <w:rPr>
          <w:rFonts w:asciiTheme="minorHAnsi" w:hAnsiTheme="minorHAnsi" w:cstheme="minorHAnsi"/>
          <w:lang w:val="es-CL"/>
        </w:rPr>
        <w:lastRenderedPageBreak/>
        <w:t>relevancia de implementar simulaciones de ataques más frecuentes para evaluar la efectividad de las medidas de seguridad aplicadas.</w:t>
      </w:r>
    </w:p>
    <w:p w14:paraId="0A818D6B"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El </w:t>
      </w:r>
      <w:r w:rsidRPr="009803C6">
        <w:rPr>
          <w:rFonts w:asciiTheme="minorHAnsi" w:hAnsiTheme="minorHAnsi" w:cstheme="minorHAnsi"/>
          <w:b/>
          <w:bCs/>
          <w:lang w:val="es-CL"/>
        </w:rPr>
        <w:t>análisis de tendencias</w:t>
      </w:r>
      <w:r w:rsidRPr="009803C6">
        <w:rPr>
          <w:rFonts w:asciiTheme="minorHAnsi" w:hAnsiTheme="minorHAnsi" w:cstheme="minorHAnsi"/>
          <w:lang w:val="es-CL"/>
        </w:rPr>
        <w:t xml:space="preserve"> ha revelado un aumento en los intentos de phishing dirigidos a usuarios con privilegios administrativos, lo que indica la necesidad de reforzar la capacitación en concienciación de seguridad y mejorar los mecanismos de respuesta ante incidentes. Además, se ha observado un incremento en la cantidad de vulnerabilidades relacionadas con software desactualizado, lo que ha llevado a establecer una política más estricta de actualizaciones periódicas y monitoreo automatizado de parches de seguridad.</w:t>
      </w:r>
    </w:p>
    <w:p w14:paraId="271AFC8B"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Como parte de las </w:t>
      </w:r>
      <w:r w:rsidRPr="009803C6">
        <w:rPr>
          <w:rFonts w:asciiTheme="minorHAnsi" w:hAnsiTheme="minorHAnsi" w:cstheme="minorHAnsi"/>
          <w:b/>
          <w:bCs/>
          <w:lang w:val="es-CL"/>
        </w:rPr>
        <w:t>acciones correctivas</w:t>
      </w:r>
      <w:r w:rsidRPr="009803C6">
        <w:rPr>
          <w:rFonts w:asciiTheme="minorHAnsi" w:hAnsiTheme="minorHAnsi" w:cstheme="minorHAnsi"/>
          <w:lang w:val="es-CL"/>
        </w:rPr>
        <w:t>, se han implementado controles adicionales en la segmentación de la red para evitar la propagación de ataques dentro de la infraestructura. También se han optimizado los protocolos de recuperación ante desastres, asegurando que todas las copias de seguridad sean verificadas y que existan procedimientos claros para la restauración de servicios en caso de incidentes mayores. Estas medidas han sido documentadas y serán sometidas a revisión en las próximas auditorías internas.</w:t>
      </w:r>
    </w:p>
    <w:p w14:paraId="51571C96"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 xml:space="preserve">El </w:t>
      </w:r>
      <w:r w:rsidRPr="009803C6">
        <w:rPr>
          <w:rFonts w:asciiTheme="minorHAnsi" w:hAnsiTheme="minorHAnsi" w:cstheme="minorHAnsi"/>
          <w:b/>
          <w:bCs/>
          <w:lang w:val="es-CL"/>
        </w:rPr>
        <w:t>plan de mejora continua</w:t>
      </w:r>
      <w:r w:rsidRPr="009803C6">
        <w:rPr>
          <w:rFonts w:asciiTheme="minorHAnsi" w:hAnsiTheme="minorHAnsi" w:cstheme="minorHAnsi"/>
          <w:lang w:val="es-CL"/>
        </w:rPr>
        <w:t xml:space="preserve"> establece auditorías semestrales para evaluar la evolución de los riesgos y la eficacia de los controles aplicados. Se ha definido un proceso de retroalimentación con los equipos de TI y la Alta Dirección para revisar indicadores clave de seguridad y proponer ajustes estratégicos. Además, se ha programado la implementación de nuevas tecnologías de inteligencia artificial para mejorar la detección temprana de amenazas y reforzar la capacidad de respuesta ante incidentes en el Data Center de Anaconda Web Chile.</w:t>
      </w:r>
    </w:p>
    <w:p w14:paraId="15F09A42"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Anexo Correspondiente</w:t>
      </w:r>
    </w:p>
    <w:p w14:paraId="4A5AA1CE"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Este informe está alineado principalmente con el Anexo A.8 (Evaluación de Riesgos de Seguridad de la Información) de la ISO 27001:2022.</w:t>
      </w:r>
    </w:p>
    <w:p w14:paraId="11FE2EC9" w14:textId="77777777" w:rsidR="009803C6" w:rsidRPr="009803C6" w:rsidRDefault="009803C6" w:rsidP="009803C6">
      <w:pPr>
        <w:pStyle w:val="NormalWeb"/>
        <w:numPr>
          <w:ilvl w:val="0"/>
          <w:numId w:val="4"/>
        </w:numPr>
        <w:jc w:val="both"/>
        <w:rPr>
          <w:rFonts w:asciiTheme="minorHAnsi" w:hAnsiTheme="minorHAnsi" w:cstheme="minorHAnsi"/>
          <w:b/>
          <w:bCs/>
          <w:lang w:val="es-CL"/>
        </w:rPr>
      </w:pPr>
      <w:r w:rsidRPr="009803C6">
        <w:rPr>
          <w:rFonts w:asciiTheme="minorHAnsi" w:hAnsiTheme="minorHAnsi" w:cstheme="minorHAnsi"/>
          <w:b/>
          <w:bCs/>
          <w:lang w:val="es-CL"/>
        </w:rPr>
        <w:t>Mejoras adicionales</w:t>
      </w:r>
    </w:p>
    <w:p w14:paraId="5F558B6A" w14:textId="77777777" w:rsidR="009803C6" w:rsidRPr="009803C6" w:rsidRDefault="009803C6" w:rsidP="009803C6">
      <w:pPr>
        <w:pStyle w:val="NormalWeb"/>
        <w:jc w:val="both"/>
        <w:rPr>
          <w:rFonts w:asciiTheme="minorHAnsi" w:hAnsiTheme="minorHAnsi" w:cstheme="minorHAnsi"/>
          <w:lang w:val="es-CL"/>
        </w:rPr>
      </w:pPr>
      <w:r w:rsidRPr="009803C6">
        <w:rPr>
          <w:rFonts w:asciiTheme="minorHAnsi" w:hAnsiTheme="minorHAnsi" w:cstheme="minorHAnsi"/>
          <w:lang w:val="es-CL"/>
        </w:rPr>
        <w:t>Ampliar cada sección con explicaciones detalladas, ejemplos de Anaconda Web Chile, matrices de riesgos, costos, responsables y frecuencias de revisión, manteniendo el contenido original intacto y añadiendo mayor profundidad técnica.</w:t>
      </w:r>
    </w:p>
    <w:p w14:paraId="5EE8924C" w14:textId="6FD25CC3" w:rsidR="00452E7F" w:rsidRPr="009803C6" w:rsidRDefault="00452E7F" w:rsidP="00237AFB">
      <w:pPr>
        <w:pStyle w:val="NormalWeb"/>
        <w:jc w:val="both"/>
        <w:rPr>
          <w:rFonts w:asciiTheme="minorHAnsi" w:hAnsiTheme="minorHAnsi" w:cstheme="minorHAnsi"/>
          <w:lang w:val="es-CL"/>
        </w:rPr>
      </w:pPr>
    </w:p>
    <w:sectPr w:rsidR="00452E7F" w:rsidRPr="009803C6" w:rsidSect="00452E7F">
      <w:headerReference w:type="even" r:id="rId10"/>
      <w:headerReference w:type="default" r:id="rId11"/>
      <w:footerReference w:type="even" r:id="rId12"/>
      <w:footerReference w:type="default" r:id="rId13"/>
      <w:headerReference w:type="first" r:id="rId14"/>
      <w:footerReference w:type="first" r:id="rId15"/>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E58F" w14:textId="77777777" w:rsidR="00FB407E" w:rsidRPr="009803C6" w:rsidRDefault="00FB407E">
      <w:r w:rsidRPr="009803C6">
        <w:separator/>
      </w:r>
    </w:p>
    <w:p w14:paraId="4A78798A" w14:textId="77777777" w:rsidR="00FB407E" w:rsidRPr="009803C6" w:rsidRDefault="00FB407E"/>
    <w:p w14:paraId="0ADB6DC4" w14:textId="77777777" w:rsidR="00FB407E" w:rsidRPr="009803C6" w:rsidRDefault="00FB407E"/>
    <w:p w14:paraId="1F0EA862" w14:textId="77777777" w:rsidR="00FB407E" w:rsidRPr="009803C6" w:rsidRDefault="00FB407E" w:rsidP="00C1318C"/>
  </w:endnote>
  <w:endnote w:type="continuationSeparator" w:id="0">
    <w:p w14:paraId="15D09B4E" w14:textId="77777777" w:rsidR="00FB407E" w:rsidRPr="009803C6" w:rsidRDefault="00FB407E">
      <w:r w:rsidRPr="009803C6">
        <w:continuationSeparator/>
      </w:r>
    </w:p>
    <w:p w14:paraId="7EE2BD13" w14:textId="77777777" w:rsidR="00FB407E" w:rsidRPr="009803C6" w:rsidRDefault="00FB407E"/>
    <w:p w14:paraId="5B7C7584" w14:textId="77777777" w:rsidR="00FB407E" w:rsidRPr="009803C6" w:rsidRDefault="00FB407E"/>
    <w:p w14:paraId="50B52D48" w14:textId="77777777" w:rsidR="00FB407E" w:rsidRPr="009803C6" w:rsidRDefault="00FB407E"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20F6" w14:textId="77777777" w:rsidR="009803C6" w:rsidRDefault="009803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D91D" w14:textId="77777777" w:rsidR="009803C6" w:rsidRPr="009803C6" w:rsidRDefault="009803C6" w:rsidP="009803C6">
    <w:pPr>
      <w:pStyle w:val="Piedepgina"/>
      <w:jc w:val="center"/>
      <w:rPr>
        <w:rFonts w:asciiTheme="minorHAnsi" w:hAnsiTheme="minorHAnsi" w:cstheme="minorHAnsi"/>
        <w:sz w:val="24"/>
        <w:szCs w:val="24"/>
        <w:lang w:eastAsia="en-GB"/>
      </w:rPr>
    </w:pPr>
    <w:r w:rsidRPr="009803C6">
      <w:rPr>
        <w:rFonts w:asciiTheme="minorHAnsi" w:hAnsiTheme="minorHAnsi" w:cstheme="minorHAnsi"/>
        <w:sz w:val="24"/>
        <w:szCs w:val="24"/>
        <w:lang w:eastAsia="en-GB"/>
      </w:rPr>
      <w:t xml:space="preserve">Anexo A.8 </w:t>
    </w:r>
    <w:r>
      <w:rPr>
        <w:rFonts w:asciiTheme="minorHAnsi" w:hAnsiTheme="minorHAnsi" w:cstheme="minorHAnsi"/>
        <w:sz w:val="24"/>
        <w:szCs w:val="24"/>
        <w:lang w:eastAsia="en-GB"/>
      </w:rPr>
      <w:t xml:space="preserve">    </w:t>
    </w:r>
    <w:r w:rsidRPr="009803C6">
      <w:rPr>
        <w:rFonts w:cstheme="minorHAnsi"/>
        <w:b/>
        <w:bCs/>
        <w:sz w:val="24"/>
        <w:szCs w:val="24"/>
        <w:lang w:eastAsia="en-GB"/>
      </w:rPr>
      <w:t xml:space="preserve">Informe Detallado de </w:t>
    </w:r>
    <w:r w:rsidRPr="009803C6">
      <w:rPr>
        <w:rFonts w:cstheme="minorHAnsi"/>
        <w:b/>
        <w:bCs/>
      </w:rPr>
      <w:t>análisis</w:t>
    </w:r>
    <w:r w:rsidRPr="009803C6">
      <w:rPr>
        <w:rFonts w:cstheme="minorHAnsi"/>
        <w:b/>
        <w:bCs/>
        <w:sz w:val="24"/>
        <w:szCs w:val="24"/>
        <w:lang w:eastAsia="en-GB"/>
      </w:rPr>
      <w:t xml:space="preserve"> de </w:t>
    </w:r>
    <w:r w:rsidRPr="009803C6">
      <w:rPr>
        <w:rFonts w:cstheme="minorHAnsi"/>
        <w:b/>
        <w:bCs/>
      </w:rPr>
      <w:t>Riesgos</w:t>
    </w:r>
  </w:p>
  <w:p w14:paraId="7575EA04" w14:textId="77777777" w:rsidR="00237AFB" w:rsidRPr="009803C6" w:rsidRDefault="00237AFB" w:rsidP="00237AFB">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E493" w14:textId="77777777" w:rsidR="009803C6" w:rsidRDefault="009803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B54E" w14:textId="77777777" w:rsidR="00FB407E" w:rsidRPr="009803C6" w:rsidRDefault="00FB407E">
      <w:r w:rsidRPr="009803C6">
        <w:separator/>
      </w:r>
    </w:p>
    <w:p w14:paraId="08085B23" w14:textId="77777777" w:rsidR="00FB407E" w:rsidRPr="009803C6" w:rsidRDefault="00FB407E"/>
    <w:p w14:paraId="439D1379" w14:textId="77777777" w:rsidR="00FB407E" w:rsidRPr="009803C6" w:rsidRDefault="00FB407E"/>
    <w:p w14:paraId="7C00E6EA" w14:textId="77777777" w:rsidR="00FB407E" w:rsidRPr="009803C6" w:rsidRDefault="00FB407E" w:rsidP="00C1318C"/>
  </w:footnote>
  <w:footnote w:type="continuationSeparator" w:id="0">
    <w:p w14:paraId="3D4BFB1C" w14:textId="77777777" w:rsidR="00FB407E" w:rsidRPr="009803C6" w:rsidRDefault="00FB407E">
      <w:r w:rsidRPr="009803C6">
        <w:continuationSeparator/>
      </w:r>
    </w:p>
    <w:p w14:paraId="26ED249C" w14:textId="77777777" w:rsidR="00FB407E" w:rsidRPr="009803C6" w:rsidRDefault="00FB407E"/>
    <w:p w14:paraId="72A23A6D" w14:textId="77777777" w:rsidR="00FB407E" w:rsidRPr="009803C6" w:rsidRDefault="00FB407E"/>
    <w:p w14:paraId="54A86BEC" w14:textId="77777777" w:rsidR="00FB407E" w:rsidRPr="009803C6" w:rsidRDefault="00FB407E"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FB92" w14:textId="77777777" w:rsidR="009803C6" w:rsidRDefault="009803C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9803C6" w:rsidRDefault="001637D6">
    <w:r w:rsidRPr="009803C6">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2A15" w14:textId="77777777" w:rsidR="009803C6" w:rsidRDefault="009803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468"/>
    <w:multiLevelType w:val="multilevel"/>
    <w:tmpl w:val="418057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8"/>
  </w:num>
  <w:num w:numId="3" w16cid:durableId="1494763561">
    <w:abstractNumId w:val="16"/>
  </w:num>
  <w:num w:numId="4" w16cid:durableId="2135100286">
    <w:abstractNumId w:val="40"/>
  </w:num>
  <w:num w:numId="5" w16cid:durableId="1000818834">
    <w:abstractNumId w:val="22"/>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4"/>
  </w:num>
  <w:num w:numId="11" w16cid:durableId="1630670735">
    <w:abstractNumId w:val="19"/>
  </w:num>
  <w:num w:numId="12" w16cid:durableId="1692032352">
    <w:abstractNumId w:val="22"/>
  </w:num>
  <w:num w:numId="13" w16cid:durableId="1393849829">
    <w:abstractNumId w:val="22"/>
  </w:num>
  <w:num w:numId="14" w16cid:durableId="815293384">
    <w:abstractNumId w:val="22"/>
  </w:num>
  <w:num w:numId="15" w16cid:durableId="1977754839">
    <w:abstractNumId w:val="51"/>
  </w:num>
  <w:num w:numId="16" w16cid:durableId="240061859">
    <w:abstractNumId w:val="24"/>
  </w:num>
  <w:num w:numId="17" w16cid:durableId="1741440573">
    <w:abstractNumId w:val="37"/>
  </w:num>
  <w:num w:numId="18" w16cid:durableId="404303887">
    <w:abstractNumId w:val="25"/>
  </w:num>
  <w:num w:numId="19" w16cid:durableId="1072853763">
    <w:abstractNumId w:val="7"/>
  </w:num>
  <w:num w:numId="20" w16cid:durableId="888345100">
    <w:abstractNumId w:val="28"/>
  </w:num>
  <w:num w:numId="21" w16cid:durableId="2083486945">
    <w:abstractNumId w:val="31"/>
  </w:num>
  <w:num w:numId="22" w16cid:durableId="1412317948">
    <w:abstractNumId w:val="1"/>
  </w:num>
  <w:num w:numId="23" w16cid:durableId="1332220685">
    <w:abstractNumId w:val="49"/>
  </w:num>
  <w:num w:numId="24" w16cid:durableId="587539902">
    <w:abstractNumId w:val="52"/>
  </w:num>
  <w:num w:numId="25" w16cid:durableId="1814641950">
    <w:abstractNumId w:val="13"/>
  </w:num>
  <w:num w:numId="26" w16cid:durableId="805513463">
    <w:abstractNumId w:val="4"/>
  </w:num>
  <w:num w:numId="27" w16cid:durableId="1555776139">
    <w:abstractNumId w:val="55"/>
  </w:num>
  <w:num w:numId="28" w16cid:durableId="2123913244">
    <w:abstractNumId w:val="15"/>
  </w:num>
  <w:num w:numId="29" w16cid:durableId="874922778">
    <w:abstractNumId w:val="26"/>
  </w:num>
  <w:num w:numId="30" w16cid:durableId="1757896361">
    <w:abstractNumId w:val="6"/>
  </w:num>
  <w:num w:numId="31" w16cid:durableId="1888297015">
    <w:abstractNumId w:val="22"/>
  </w:num>
  <w:num w:numId="32" w16cid:durableId="1875121296">
    <w:abstractNumId w:val="22"/>
  </w:num>
  <w:num w:numId="33" w16cid:durableId="711199856">
    <w:abstractNumId w:val="22"/>
  </w:num>
  <w:num w:numId="34" w16cid:durableId="1914506562">
    <w:abstractNumId w:val="22"/>
  </w:num>
  <w:num w:numId="35" w16cid:durableId="1030836293">
    <w:abstractNumId w:val="46"/>
  </w:num>
  <w:num w:numId="36" w16cid:durableId="674503644">
    <w:abstractNumId w:val="12"/>
  </w:num>
  <w:num w:numId="37" w16cid:durableId="1888105176">
    <w:abstractNumId w:val="54"/>
  </w:num>
  <w:num w:numId="38" w16cid:durableId="342171148">
    <w:abstractNumId w:val="17"/>
  </w:num>
  <w:num w:numId="39" w16cid:durableId="1308512191">
    <w:abstractNumId w:val="45"/>
  </w:num>
  <w:num w:numId="40" w16cid:durableId="751203121">
    <w:abstractNumId w:val="9"/>
  </w:num>
  <w:num w:numId="41" w16cid:durableId="1001616379">
    <w:abstractNumId w:val="48"/>
  </w:num>
  <w:num w:numId="42" w16cid:durableId="157235028">
    <w:abstractNumId w:val="32"/>
  </w:num>
  <w:num w:numId="43" w16cid:durableId="1076974531">
    <w:abstractNumId w:val="30"/>
  </w:num>
  <w:num w:numId="44" w16cid:durableId="908157133">
    <w:abstractNumId w:val="11"/>
  </w:num>
  <w:num w:numId="45" w16cid:durableId="1528714069">
    <w:abstractNumId w:val="47"/>
  </w:num>
  <w:num w:numId="46" w16cid:durableId="1350448151">
    <w:abstractNumId w:val="38"/>
  </w:num>
  <w:num w:numId="47" w16cid:durableId="134489178">
    <w:abstractNumId w:val="27"/>
  </w:num>
  <w:num w:numId="48" w16cid:durableId="904069908">
    <w:abstractNumId w:val="35"/>
  </w:num>
  <w:num w:numId="49" w16cid:durableId="876355981">
    <w:abstractNumId w:val="21"/>
  </w:num>
  <w:num w:numId="50" w16cid:durableId="1270042179">
    <w:abstractNumId w:val="39"/>
  </w:num>
  <w:num w:numId="51" w16cid:durableId="610477338">
    <w:abstractNumId w:val="10"/>
  </w:num>
  <w:num w:numId="52" w16cid:durableId="1976401646">
    <w:abstractNumId w:val="5"/>
  </w:num>
  <w:num w:numId="53" w16cid:durableId="1718821827">
    <w:abstractNumId w:val="29"/>
  </w:num>
  <w:num w:numId="54" w16cid:durableId="404844148">
    <w:abstractNumId w:val="8"/>
  </w:num>
  <w:num w:numId="55" w16cid:durableId="819855879">
    <w:abstractNumId w:val="23"/>
  </w:num>
  <w:num w:numId="56" w16cid:durableId="362633569">
    <w:abstractNumId w:val="50"/>
  </w:num>
  <w:num w:numId="57" w16cid:durableId="1293904960">
    <w:abstractNumId w:val="3"/>
  </w:num>
  <w:num w:numId="58" w16cid:durableId="2072266967">
    <w:abstractNumId w:val="43"/>
  </w:num>
  <w:num w:numId="59" w16cid:durableId="1449856183">
    <w:abstractNumId w:val="20"/>
  </w:num>
  <w:num w:numId="60" w16cid:durableId="264847693">
    <w:abstractNumId w:val="2"/>
  </w:num>
  <w:num w:numId="61" w16cid:durableId="140850691">
    <w:abstractNumId w:val="41"/>
  </w:num>
  <w:num w:numId="62" w16cid:durableId="1923098859">
    <w:abstractNumId w:val="33"/>
  </w:num>
  <w:num w:numId="63" w16cid:durableId="178441645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469B"/>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03C6"/>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295B"/>
    <w:rsid w:val="00AC3E20"/>
    <w:rsid w:val="00AC46C6"/>
    <w:rsid w:val="00AC6950"/>
    <w:rsid w:val="00AD1616"/>
    <w:rsid w:val="00AD3E94"/>
    <w:rsid w:val="00AD56C2"/>
    <w:rsid w:val="00AE4AA2"/>
    <w:rsid w:val="00AE5E13"/>
    <w:rsid w:val="00AF284E"/>
    <w:rsid w:val="00AF7229"/>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A72E8"/>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87052"/>
    <w:rsid w:val="00F90360"/>
    <w:rsid w:val="00F90B3F"/>
    <w:rsid w:val="00F950AB"/>
    <w:rsid w:val="00F95F5D"/>
    <w:rsid w:val="00FA4781"/>
    <w:rsid w:val="00FA688D"/>
    <w:rsid w:val="00FB0575"/>
    <w:rsid w:val="00FB0D03"/>
    <w:rsid w:val="00FB3742"/>
    <w:rsid w:val="00FB407E"/>
    <w:rsid w:val="00FB4F5C"/>
    <w:rsid w:val="00FB592D"/>
    <w:rsid w:val="00FB7786"/>
    <w:rsid w:val="00FC7DE5"/>
    <w:rsid w:val="00FD340B"/>
    <w:rsid w:val="00FD389B"/>
    <w:rsid w:val="00FD5EE7"/>
    <w:rsid w:val="00FD7253"/>
    <w:rsid w:val="00FE1EF5"/>
    <w:rsid w:val="00FE62D0"/>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51319735">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5769443">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64092549">
      <w:bodyDiv w:val="1"/>
      <w:marLeft w:val="0"/>
      <w:marRight w:val="0"/>
      <w:marTop w:val="0"/>
      <w:marBottom w:val="0"/>
      <w:divBdr>
        <w:top w:val="none" w:sz="0" w:space="0" w:color="auto"/>
        <w:left w:val="none" w:sz="0" w:space="0" w:color="auto"/>
        <w:bottom w:val="none" w:sz="0" w:space="0" w:color="auto"/>
        <w:right w:val="none" w:sz="0" w:space="0" w:color="auto"/>
      </w:divBdr>
    </w:div>
    <w:div w:id="665282138">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1896448">
      <w:bodyDiv w:val="1"/>
      <w:marLeft w:val="0"/>
      <w:marRight w:val="0"/>
      <w:marTop w:val="0"/>
      <w:marBottom w:val="0"/>
      <w:divBdr>
        <w:top w:val="none" w:sz="0" w:space="0" w:color="auto"/>
        <w:left w:val="none" w:sz="0" w:space="0" w:color="auto"/>
        <w:bottom w:val="none" w:sz="0" w:space="0" w:color="auto"/>
        <w:right w:val="none" w:sz="0" w:space="0" w:color="auto"/>
      </w:divBdr>
      <w:divsChild>
        <w:div w:id="1095173060">
          <w:marLeft w:val="0"/>
          <w:marRight w:val="0"/>
          <w:marTop w:val="0"/>
          <w:marBottom w:val="0"/>
          <w:divBdr>
            <w:top w:val="none" w:sz="0" w:space="0" w:color="auto"/>
            <w:left w:val="none" w:sz="0" w:space="0" w:color="auto"/>
            <w:bottom w:val="none" w:sz="0" w:space="0" w:color="auto"/>
            <w:right w:val="none" w:sz="0" w:space="0" w:color="auto"/>
          </w:divBdr>
        </w:div>
      </w:divsChild>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6939166">
      <w:bodyDiv w:val="1"/>
      <w:marLeft w:val="0"/>
      <w:marRight w:val="0"/>
      <w:marTop w:val="0"/>
      <w:marBottom w:val="0"/>
      <w:divBdr>
        <w:top w:val="none" w:sz="0" w:space="0" w:color="auto"/>
        <w:left w:val="none" w:sz="0" w:space="0" w:color="auto"/>
        <w:bottom w:val="none" w:sz="0" w:space="0" w:color="auto"/>
        <w:right w:val="none" w:sz="0" w:space="0" w:color="auto"/>
      </w:divBdr>
      <w:divsChild>
        <w:div w:id="291980041">
          <w:marLeft w:val="0"/>
          <w:marRight w:val="0"/>
          <w:marTop w:val="0"/>
          <w:marBottom w:val="0"/>
          <w:divBdr>
            <w:top w:val="none" w:sz="0" w:space="0" w:color="auto"/>
            <w:left w:val="none" w:sz="0" w:space="0" w:color="auto"/>
            <w:bottom w:val="none" w:sz="0" w:space="0" w:color="auto"/>
            <w:right w:val="none" w:sz="0" w:space="0" w:color="auto"/>
          </w:divBdr>
        </w:div>
      </w:divsChild>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910A7"/>
    <w:rsid w:val="00611E4E"/>
    <w:rsid w:val="006C7BDF"/>
    <w:rsid w:val="00737BAE"/>
    <w:rsid w:val="00871B28"/>
    <w:rsid w:val="00912671"/>
    <w:rsid w:val="00930D52"/>
    <w:rsid w:val="009C1F3E"/>
    <w:rsid w:val="00B36BF1"/>
    <w:rsid w:val="00B63AF7"/>
    <w:rsid w:val="00B92933"/>
    <w:rsid w:val="00C81A8B"/>
    <w:rsid w:val="00CB26E6"/>
    <w:rsid w:val="00D23467"/>
    <w:rsid w:val="00D36B5D"/>
    <w:rsid w:val="00E73312"/>
    <w:rsid w:val="00EA72E8"/>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3025</Words>
  <Characters>16639</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19625</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2025-02-17T15:43:00Z</dcterms:created>
  <dcterms:modified xsi:type="dcterms:W3CDTF">2025-03-31T02:06:00Z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