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1B64CB" w:rsidRDefault="00657883" w:rsidP="00237AFB">
      <w:pPr>
        <w:jc w:val="both"/>
        <w:rPr>
          <w:rFonts w:asciiTheme="minorHAnsi" w:hAnsiTheme="minorHAnsi" w:cstheme="minorHAnsi"/>
        </w:rPr>
      </w:pPr>
    </w:p>
    <w:p w14:paraId="7415A3EE" w14:textId="77777777" w:rsidR="001705EC" w:rsidRPr="001B64CB" w:rsidRDefault="001705EC" w:rsidP="00237AFB">
      <w:pPr>
        <w:jc w:val="both"/>
        <w:rPr>
          <w:rFonts w:asciiTheme="minorHAnsi" w:hAnsiTheme="minorHAnsi" w:cstheme="minorHAnsi"/>
          <w:sz w:val="44"/>
          <w:szCs w:val="44"/>
        </w:rPr>
      </w:pPr>
    </w:p>
    <w:p w14:paraId="7D3EE362" w14:textId="77777777" w:rsidR="001705EC" w:rsidRPr="001B64CB" w:rsidRDefault="001705EC" w:rsidP="00237AFB">
      <w:pPr>
        <w:jc w:val="both"/>
        <w:rPr>
          <w:rFonts w:asciiTheme="minorHAnsi" w:hAnsiTheme="minorHAnsi" w:cstheme="minorHAnsi"/>
          <w:sz w:val="44"/>
          <w:szCs w:val="44"/>
        </w:rPr>
      </w:pPr>
    </w:p>
    <w:p w14:paraId="30FD80A7" w14:textId="5207D742" w:rsidR="006533BC" w:rsidRPr="001B64CB" w:rsidRDefault="001B64CB" w:rsidP="00237AFB">
      <w:pPr>
        <w:pStyle w:val="Piedepgina"/>
        <w:jc w:val="center"/>
        <w:rPr>
          <w:rFonts w:asciiTheme="minorHAnsi" w:hAnsiTheme="minorHAnsi" w:cstheme="minorHAnsi"/>
          <w:sz w:val="24"/>
          <w:szCs w:val="24"/>
          <w:lang w:eastAsia="en-GB"/>
        </w:rPr>
      </w:pPr>
      <w:r w:rsidRPr="001B64CB">
        <w:rPr>
          <w:rFonts w:asciiTheme="minorHAnsi" w:hAnsiTheme="minorHAnsi" w:cstheme="minorHAnsi"/>
          <w:b/>
          <w:bCs/>
        </w:rPr>
        <w:t>OBJETIVOS DE LA SEGURIDAD DE LA INFORMACIÓN</w:t>
      </w:r>
    </w:p>
    <w:tbl>
      <w:tblPr>
        <w:tblStyle w:val="Tablaconcuadrcula"/>
        <w:tblW w:w="10368" w:type="dxa"/>
        <w:tblInd w:w="-342" w:type="dxa"/>
        <w:tblLook w:val="04A0" w:firstRow="1" w:lastRow="0" w:firstColumn="1" w:lastColumn="0" w:noHBand="0" w:noVBand="1"/>
      </w:tblPr>
      <w:tblGrid>
        <w:gridCol w:w="1815"/>
        <w:gridCol w:w="1506"/>
        <w:gridCol w:w="1705"/>
        <w:gridCol w:w="2196"/>
        <w:gridCol w:w="983"/>
        <w:gridCol w:w="2163"/>
      </w:tblGrid>
      <w:tr w:rsidR="00452E7F" w:rsidRPr="001B64CB" w14:paraId="273B0C4B" w14:textId="77777777" w:rsidTr="00D02A7F">
        <w:tc>
          <w:tcPr>
            <w:tcW w:w="1908" w:type="dxa"/>
            <w:shd w:val="clear" w:color="auto" w:fill="D9D9D9" w:themeFill="background1" w:themeFillShade="D9"/>
          </w:tcPr>
          <w:p w14:paraId="083D5C51" w14:textId="77777777" w:rsidR="001705EC" w:rsidRPr="001B64CB" w:rsidRDefault="001705EC" w:rsidP="00237AFB">
            <w:pPr>
              <w:jc w:val="both"/>
              <w:rPr>
                <w:rFonts w:asciiTheme="minorHAnsi" w:hAnsiTheme="minorHAnsi" w:cstheme="minorHAnsi"/>
                <w:b/>
                <w:bCs/>
                <w:sz w:val="24"/>
                <w:szCs w:val="24"/>
              </w:rPr>
            </w:pPr>
            <w:r w:rsidRPr="001B64C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1B64CB" w:rsidRDefault="001705EC" w:rsidP="00237AFB">
            <w:pPr>
              <w:jc w:val="both"/>
              <w:rPr>
                <w:rFonts w:asciiTheme="minorHAnsi" w:hAnsiTheme="minorHAnsi" w:cstheme="minorHAnsi"/>
                <w:b/>
                <w:bCs/>
                <w:sz w:val="24"/>
                <w:szCs w:val="24"/>
              </w:rPr>
            </w:pPr>
            <w:r w:rsidRPr="001B64C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1B64CB" w:rsidRDefault="001705EC" w:rsidP="00237AFB">
            <w:pPr>
              <w:jc w:val="both"/>
              <w:rPr>
                <w:rFonts w:asciiTheme="minorHAnsi" w:hAnsiTheme="minorHAnsi" w:cstheme="minorHAnsi"/>
                <w:b/>
                <w:bCs/>
                <w:sz w:val="24"/>
                <w:szCs w:val="24"/>
              </w:rPr>
            </w:pPr>
            <w:r w:rsidRPr="001B64C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1B64CB" w:rsidRDefault="001705EC" w:rsidP="00237AFB">
            <w:pPr>
              <w:jc w:val="both"/>
              <w:rPr>
                <w:rFonts w:asciiTheme="minorHAnsi" w:hAnsiTheme="minorHAnsi" w:cstheme="minorHAnsi"/>
                <w:b/>
                <w:bCs/>
                <w:sz w:val="24"/>
                <w:szCs w:val="24"/>
              </w:rPr>
            </w:pPr>
            <w:r w:rsidRPr="001B64C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1B64CB" w:rsidRDefault="001705EC" w:rsidP="00237AFB">
            <w:pPr>
              <w:jc w:val="both"/>
              <w:rPr>
                <w:rFonts w:asciiTheme="minorHAnsi" w:hAnsiTheme="minorHAnsi" w:cstheme="minorHAnsi"/>
                <w:b/>
                <w:bCs/>
                <w:sz w:val="24"/>
                <w:szCs w:val="24"/>
              </w:rPr>
            </w:pPr>
            <w:r w:rsidRPr="001B64C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1B64CB" w:rsidRDefault="001705EC" w:rsidP="00237AFB">
            <w:pPr>
              <w:jc w:val="both"/>
              <w:rPr>
                <w:rFonts w:asciiTheme="minorHAnsi" w:hAnsiTheme="minorHAnsi" w:cstheme="minorHAnsi"/>
                <w:b/>
                <w:bCs/>
                <w:sz w:val="24"/>
                <w:szCs w:val="24"/>
              </w:rPr>
            </w:pPr>
            <w:r w:rsidRPr="001B64CB">
              <w:rPr>
                <w:rFonts w:asciiTheme="minorHAnsi" w:hAnsiTheme="minorHAnsi" w:cstheme="minorHAnsi"/>
                <w:b/>
                <w:bCs/>
                <w:sz w:val="24"/>
                <w:szCs w:val="24"/>
              </w:rPr>
              <w:t>Descripción</w:t>
            </w:r>
          </w:p>
        </w:tc>
      </w:tr>
      <w:tr w:rsidR="00452E7F" w:rsidRPr="001B64CB" w14:paraId="23D5C307" w14:textId="77777777" w:rsidTr="00D02A7F">
        <w:tc>
          <w:tcPr>
            <w:tcW w:w="1908" w:type="dxa"/>
          </w:tcPr>
          <w:p w14:paraId="1F536261" w14:textId="77777777" w:rsidR="001705EC" w:rsidRPr="001B64CB" w:rsidRDefault="001705EC" w:rsidP="00237AFB">
            <w:pPr>
              <w:jc w:val="both"/>
              <w:rPr>
                <w:rFonts w:asciiTheme="minorHAnsi" w:hAnsiTheme="minorHAnsi" w:cstheme="minorHAnsi"/>
                <w:sz w:val="24"/>
                <w:szCs w:val="24"/>
              </w:rPr>
            </w:pPr>
            <w:bookmarkStart w:id="0" w:name="_Hlk187601937"/>
            <w:r w:rsidRPr="001B64CB">
              <w:rPr>
                <w:rFonts w:asciiTheme="minorHAnsi" w:hAnsiTheme="minorHAnsi" w:cstheme="minorHAnsi"/>
                <w:sz w:val="24"/>
                <w:szCs w:val="24"/>
              </w:rPr>
              <w:t>V1.0</w:t>
            </w:r>
          </w:p>
        </w:tc>
        <w:tc>
          <w:tcPr>
            <w:tcW w:w="1570" w:type="dxa"/>
          </w:tcPr>
          <w:p w14:paraId="5CF1E181" w14:textId="23D50EDA" w:rsidR="001705EC" w:rsidRPr="001B64CB" w:rsidRDefault="001637D6" w:rsidP="00237AFB">
            <w:pPr>
              <w:jc w:val="both"/>
              <w:rPr>
                <w:rFonts w:asciiTheme="minorHAnsi" w:hAnsiTheme="minorHAnsi" w:cstheme="minorHAnsi"/>
                <w:sz w:val="24"/>
                <w:szCs w:val="24"/>
              </w:rPr>
            </w:pPr>
            <w:r w:rsidRPr="001B64CB">
              <w:rPr>
                <w:rFonts w:asciiTheme="minorHAnsi" w:hAnsiTheme="minorHAnsi" w:cstheme="minorHAnsi"/>
                <w:sz w:val="24"/>
                <w:szCs w:val="24"/>
              </w:rPr>
              <w:t>Auditorex Chile</w:t>
            </w:r>
          </w:p>
        </w:tc>
        <w:tc>
          <w:tcPr>
            <w:tcW w:w="1810" w:type="dxa"/>
          </w:tcPr>
          <w:p w14:paraId="48DCB9A0" w14:textId="77777777" w:rsidR="001637D6" w:rsidRPr="001B64CB" w:rsidRDefault="001637D6" w:rsidP="00237AFB">
            <w:pPr>
              <w:jc w:val="both"/>
              <w:rPr>
                <w:rFonts w:asciiTheme="minorHAnsi" w:hAnsiTheme="minorHAnsi" w:cstheme="minorHAnsi"/>
                <w:sz w:val="24"/>
                <w:szCs w:val="24"/>
              </w:rPr>
            </w:pPr>
            <w:r w:rsidRPr="001B64CB">
              <w:rPr>
                <w:rFonts w:asciiTheme="minorHAnsi" w:hAnsiTheme="minorHAnsi" w:cstheme="minorHAnsi"/>
                <w:sz w:val="24"/>
                <w:szCs w:val="24"/>
              </w:rPr>
              <w:t>Mauricio Antonio Colomera Villarroel</w:t>
            </w:r>
          </w:p>
          <w:p w14:paraId="4664E988" w14:textId="77777777" w:rsidR="001705EC" w:rsidRPr="001B64CB" w:rsidRDefault="001705EC" w:rsidP="00237AFB">
            <w:pPr>
              <w:jc w:val="both"/>
              <w:rPr>
                <w:rFonts w:asciiTheme="minorHAnsi" w:hAnsiTheme="minorHAnsi" w:cstheme="minorHAnsi"/>
                <w:sz w:val="24"/>
                <w:szCs w:val="24"/>
              </w:rPr>
            </w:pPr>
          </w:p>
        </w:tc>
        <w:tc>
          <w:tcPr>
            <w:tcW w:w="1811" w:type="dxa"/>
          </w:tcPr>
          <w:p w14:paraId="285FCDD1" w14:textId="0FAEB9DF" w:rsidR="001705EC" w:rsidRPr="001B64CB" w:rsidRDefault="00452E7F" w:rsidP="00237AFB">
            <w:pPr>
              <w:jc w:val="both"/>
              <w:rPr>
                <w:rFonts w:asciiTheme="minorHAnsi" w:hAnsiTheme="minorHAnsi" w:cstheme="minorHAnsi"/>
                <w:sz w:val="24"/>
                <w:szCs w:val="24"/>
              </w:rPr>
            </w:pPr>
            <w:r w:rsidRPr="001B64CB">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1B64CB" w:rsidRDefault="00D02999" w:rsidP="00237AFB">
            <w:pPr>
              <w:jc w:val="both"/>
              <w:rPr>
                <w:rFonts w:asciiTheme="minorHAnsi" w:hAnsiTheme="minorHAnsi" w:cstheme="minorHAnsi"/>
                <w:szCs w:val="22"/>
              </w:rPr>
            </w:pPr>
            <w:r w:rsidRPr="001B64CB">
              <w:rPr>
                <w:rFonts w:asciiTheme="minorHAnsi" w:hAnsiTheme="minorHAnsi" w:cstheme="minorHAnsi"/>
                <w:szCs w:val="22"/>
              </w:rPr>
              <w:t>12-01-2024</w:t>
            </w:r>
          </w:p>
        </w:tc>
        <w:tc>
          <w:tcPr>
            <w:tcW w:w="2250" w:type="dxa"/>
          </w:tcPr>
          <w:p w14:paraId="6401603C" w14:textId="30B134F8" w:rsidR="001705EC" w:rsidRPr="001B64CB" w:rsidRDefault="001B64CB" w:rsidP="00237AFB">
            <w:pPr>
              <w:pStyle w:val="NormalWeb"/>
              <w:jc w:val="both"/>
              <w:rPr>
                <w:rFonts w:asciiTheme="minorHAnsi" w:hAnsiTheme="minorHAnsi" w:cstheme="minorHAnsi"/>
                <w:lang w:val="es-CL"/>
              </w:rPr>
            </w:pPr>
            <w:r w:rsidRPr="001B64CB">
              <w:rPr>
                <w:rFonts w:asciiTheme="minorHAnsi" w:hAnsiTheme="minorHAnsi" w:cstheme="minorHAnsi"/>
                <w:b/>
                <w:bCs/>
                <w:lang w:val="es-CL"/>
              </w:rPr>
              <w:t>OBJETIVOS DE LA SEGURIDAD DE LA INFORMACIÓN</w:t>
            </w:r>
          </w:p>
        </w:tc>
      </w:tr>
      <w:bookmarkEnd w:id="0"/>
      <w:tr w:rsidR="00452E7F" w:rsidRPr="001B64CB" w14:paraId="2A38A0FB" w14:textId="77777777" w:rsidTr="00D02A7F">
        <w:tc>
          <w:tcPr>
            <w:tcW w:w="1908" w:type="dxa"/>
          </w:tcPr>
          <w:p w14:paraId="5AA7A63A" w14:textId="77777777" w:rsidR="001705EC" w:rsidRPr="001B64CB" w:rsidRDefault="001705EC" w:rsidP="00237AFB">
            <w:pPr>
              <w:jc w:val="both"/>
              <w:rPr>
                <w:rFonts w:asciiTheme="minorHAnsi" w:hAnsiTheme="minorHAnsi" w:cstheme="minorHAnsi"/>
                <w:sz w:val="24"/>
                <w:szCs w:val="24"/>
              </w:rPr>
            </w:pPr>
          </w:p>
        </w:tc>
        <w:tc>
          <w:tcPr>
            <w:tcW w:w="1570" w:type="dxa"/>
          </w:tcPr>
          <w:p w14:paraId="6CA0F23C" w14:textId="77777777" w:rsidR="001705EC" w:rsidRPr="001B64CB" w:rsidRDefault="001705EC" w:rsidP="00237AFB">
            <w:pPr>
              <w:jc w:val="both"/>
              <w:rPr>
                <w:rFonts w:asciiTheme="minorHAnsi" w:hAnsiTheme="minorHAnsi" w:cstheme="minorHAnsi"/>
                <w:sz w:val="24"/>
                <w:szCs w:val="24"/>
              </w:rPr>
            </w:pPr>
          </w:p>
        </w:tc>
        <w:tc>
          <w:tcPr>
            <w:tcW w:w="1810" w:type="dxa"/>
          </w:tcPr>
          <w:p w14:paraId="7579C89A" w14:textId="77777777" w:rsidR="001705EC" w:rsidRPr="001B64CB" w:rsidRDefault="001705EC" w:rsidP="00237AFB">
            <w:pPr>
              <w:jc w:val="both"/>
              <w:rPr>
                <w:rFonts w:asciiTheme="minorHAnsi" w:hAnsiTheme="minorHAnsi" w:cstheme="minorHAnsi"/>
                <w:sz w:val="24"/>
                <w:szCs w:val="24"/>
              </w:rPr>
            </w:pPr>
          </w:p>
        </w:tc>
        <w:tc>
          <w:tcPr>
            <w:tcW w:w="1811" w:type="dxa"/>
          </w:tcPr>
          <w:p w14:paraId="5C11AFDC" w14:textId="77777777" w:rsidR="001705EC" w:rsidRPr="001B64CB" w:rsidRDefault="001705EC" w:rsidP="00237AFB">
            <w:pPr>
              <w:jc w:val="both"/>
              <w:rPr>
                <w:rFonts w:asciiTheme="minorHAnsi" w:hAnsiTheme="minorHAnsi" w:cstheme="minorHAnsi"/>
                <w:sz w:val="24"/>
                <w:szCs w:val="24"/>
              </w:rPr>
            </w:pPr>
          </w:p>
        </w:tc>
        <w:tc>
          <w:tcPr>
            <w:tcW w:w="1019" w:type="dxa"/>
          </w:tcPr>
          <w:p w14:paraId="2D9464C3" w14:textId="77777777" w:rsidR="001705EC" w:rsidRPr="001B64CB" w:rsidRDefault="001705EC" w:rsidP="00237AFB">
            <w:pPr>
              <w:jc w:val="both"/>
              <w:rPr>
                <w:rFonts w:asciiTheme="minorHAnsi" w:hAnsiTheme="minorHAnsi" w:cstheme="minorHAnsi"/>
                <w:sz w:val="24"/>
                <w:szCs w:val="24"/>
              </w:rPr>
            </w:pPr>
          </w:p>
        </w:tc>
        <w:tc>
          <w:tcPr>
            <w:tcW w:w="2250" w:type="dxa"/>
          </w:tcPr>
          <w:p w14:paraId="30EA5E83" w14:textId="77777777" w:rsidR="001705EC" w:rsidRPr="001B64CB" w:rsidRDefault="001705EC" w:rsidP="00237AFB">
            <w:pPr>
              <w:jc w:val="both"/>
              <w:rPr>
                <w:rFonts w:asciiTheme="minorHAnsi" w:hAnsiTheme="minorHAnsi" w:cstheme="minorHAnsi"/>
                <w:sz w:val="24"/>
                <w:szCs w:val="24"/>
              </w:rPr>
            </w:pPr>
          </w:p>
        </w:tc>
      </w:tr>
      <w:tr w:rsidR="00452E7F" w:rsidRPr="001B64CB" w14:paraId="5D084FF7" w14:textId="77777777" w:rsidTr="00D02A7F">
        <w:tc>
          <w:tcPr>
            <w:tcW w:w="1908" w:type="dxa"/>
          </w:tcPr>
          <w:p w14:paraId="59848B68" w14:textId="77777777" w:rsidR="001705EC" w:rsidRPr="001B64CB" w:rsidRDefault="001705EC" w:rsidP="00237AFB">
            <w:pPr>
              <w:jc w:val="both"/>
              <w:rPr>
                <w:rFonts w:asciiTheme="minorHAnsi" w:hAnsiTheme="minorHAnsi" w:cstheme="minorHAnsi"/>
                <w:sz w:val="24"/>
                <w:szCs w:val="24"/>
              </w:rPr>
            </w:pPr>
          </w:p>
        </w:tc>
        <w:tc>
          <w:tcPr>
            <w:tcW w:w="1570" w:type="dxa"/>
          </w:tcPr>
          <w:p w14:paraId="4CE506E6" w14:textId="77777777" w:rsidR="001705EC" w:rsidRPr="001B64CB" w:rsidRDefault="001705EC" w:rsidP="00237AFB">
            <w:pPr>
              <w:jc w:val="both"/>
              <w:rPr>
                <w:rFonts w:asciiTheme="minorHAnsi" w:hAnsiTheme="minorHAnsi" w:cstheme="minorHAnsi"/>
                <w:sz w:val="24"/>
                <w:szCs w:val="24"/>
              </w:rPr>
            </w:pPr>
          </w:p>
        </w:tc>
        <w:tc>
          <w:tcPr>
            <w:tcW w:w="1810" w:type="dxa"/>
          </w:tcPr>
          <w:p w14:paraId="09467189" w14:textId="77777777" w:rsidR="001705EC" w:rsidRPr="001B64CB" w:rsidRDefault="001705EC" w:rsidP="00237AFB">
            <w:pPr>
              <w:jc w:val="both"/>
              <w:rPr>
                <w:rFonts w:asciiTheme="minorHAnsi" w:hAnsiTheme="minorHAnsi" w:cstheme="minorHAnsi"/>
                <w:sz w:val="24"/>
                <w:szCs w:val="24"/>
              </w:rPr>
            </w:pPr>
          </w:p>
        </w:tc>
        <w:tc>
          <w:tcPr>
            <w:tcW w:w="1811" w:type="dxa"/>
          </w:tcPr>
          <w:p w14:paraId="6E7E4F49" w14:textId="77777777" w:rsidR="001705EC" w:rsidRPr="001B64CB" w:rsidRDefault="001705EC" w:rsidP="00237AFB">
            <w:pPr>
              <w:jc w:val="both"/>
              <w:rPr>
                <w:rFonts w:asciiTheme="minorHAnsi" w:hAnsiTheme="minorHAnsi" w:cstheme="minorHAnsi"/>
                <w:sz w:val="24"/>
                <w:szCs w:val="24"/>
              </w:rPr>
            </w:pPr>
          </w:p>
        </w:tc>
        <w:tc>
          <w:tcPr>
            <w:tcW w:w="1019" w:type="dxa"/>
          </w:tcPr>
          <w:p w14:paraId="7EB49E66" w14:textId="77777777" w:rsidR="001705EC" w:rsidRPr="001B64CB" w:rsidRDefault="001705EC" w:rsidP="00237AFB">
            <w:pPr>
              <w:jc w:val="both"/>
              <w:rPr>
                <w:rFonts w:asciiTheme="minorHAnsi" w:hAnsiTheme="minorHAnsi" w:cstheme="minorHAnsi"/>
                <w:sz w:val="24"/>
                <w:szCs w:val="24"/>
              </w:rPr>
            </w:pPr>
          </w:p>
        </w:tc>
        <w:tc>
          <w:tcPr>
            <w:tcW w:w="2250" w:type="dxa"/>
          </w:tcPr>
          <w:p w14:paraId="722DAB0F" w14:textId="77777777" w:rsidR="001705EC" w:rsidRPr="001B64CB" w:rsidRDefault="001705EC" w:rsidP="00237AFB">
            <w:pPr>
              <w:jc w:val="both"/>
              <w:rPr>
                <w:rFonts w:asciiTheme="minorHAnsi" w:hAnsiTheme="minorHAnsi" w:cstheme="minorHAnsi"/>
                <w:sz w:val="24"/>
                <w:szCs w:val="24"/>
              </w:rPr>
            </w:pPr>
          </w:p>
        </w:tc>
      </w:tr>
      <w:tr w:rsidR="001705EC" w:rsidRPr="001B64CB" w14:paraId="7875EE64" w14:textId="77777777" w:rsidTr="00D02A7F">
        <w:tc>
          <w:tcPr>
            <w:tcW w:w="1908" w:type="dxa"/>
            <w:shd w:val="clear" w:color="auto" w:fill="D9D9D9" w:themeFill="background1" w:themeFillShade="D9"/>
          </w:tcPr>
          <w:p w14:paraId="22F097C4" w14:textId="77777777" w:rsidR="001705EC" w:rsidRPr="001B64CB" w:rsidRDefault="001705EC" w:rsidP="00237AFB">
            <w:pPr>
              <w:jc w:val="both"/>
              <w:rPr>
                <w:rFonts w:asciiTheme="minorHAnsi" w:hAnsiTheme="minorHAnsi" w:cstheme="minorHAnsi"/>
                <w:sz w:val="24"/>
                <w:szCs w:val="24"/>
              </w:rPr>
            </w:pPr>
            <w:r w:rsidRPr="001B64CB">
              <w:rPr>
                <w:rFonts w:asciiTheme="minorHAnsi" w:hAnsiTheme="minorHAnsi" w:cstheme="minorHAnsi"/>
                <w:sz w:val="24"/>
                <w:szCs w:val="24"/>
              </w:rPr>
              <w:t>Número de referencia del documento</w:t>
            </w:r>
          </w:p>
        </w:tc>
        <w:tc>
          <w:tcPr>
            <w:tcW w:w="3380" w:type="dxa"/>
            <w:gridSpan w:val="2"/>
          </w:tcPr>
          <w:p w14:paraId="02FAF64D" w14:textId="7DA6224F" w:rsidR="001705EC" w:rsidRPr="001B64CB" w:rsidRDefault="001705EC" w:rsidP="00237AFB">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1B64CB" w:rsidRDefault="001705EC" w:rsidP="00237AFB">
            <w:pPr>
              <w:jc w:val="both"/>
              <w:rPr>
                <w:rFonts w:asciiTheme="minorHAnsi" w:hAnsiTheme="minorHAnsi" w:cstheme="minorHAnsi"/>
                <w:sz w:val="24"/>
                <w:szCs w:val="24"/>
              </w:rPr>
            </w:pPr>
            <w:r w:rsidRPr="001B64C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1B64CB" w:rsidRDefault="001705EC" w:rsidP="00237AFB">
                <w:pPr>
                  <w:jc w:val="both"/>
                  <w:rPr>
                    <w:rFonts w:asciiTheme="minorHAnsi" w:hAnsiTheme="minorHAnsi" w:cstheme="minorHAnsi"/>
                    <w:sz w:val="24"/>
                    <w:szCs w:val="24"/>
                  </w:rPr>
                </w:pPr>
                <w:r w:rsidRPr="001B64CB">
                  <w:rPr>
                    <w:rFonts w:asciiTheme="minorHAnsi" w:hAnsiTheme="minorHAnsi" w:cstheme="minorHAnsi"/>
                    <w:sz w:val="24"/>
                    <w:szCs w:val="24"/>
                  </w:rPr>
                  <w:t>Confidencial</w:t>
                </w:r>
              </w:p>
            </w:tc>
          </w:sdtContent>
        </w:sdt>
      </w:tr>
    </w:tbl>
    <w:p w14:paraId="5F47735A" w14:textId="77777777" w:rsidR="001705EC" w:rsidRPr="001B64CB" w:rsidRDefault="001705EC" w:rsidP="00237AFB">
      <w:pPr>
        <w:jc w:val="both"/>
        <w:rPr>
          <w:rFonts w:asciiTheme="minorHAnsi" w:hAnsiTheme="minorHAnsi" w:cstheme="minorHAnsi"/>
          <w:sz w:val="24"/>
          <w:szCs w:val="24"/>
        </w:rPr>
      </w:pPr>
    </w:p>
    <w:p w14:paraId="6046E104" w14:textId="3D42CBB5" w:rsidR="00797C0D" w:rsidRDefault="00797C0D" w:rsidP="001B64CB">
      <w:pPr>
        <w:pStyle w:val="NormalWeb"/>
        <w:jc w:val="both"/>
        <w:rPr>
          <w:rFonts w:asciiTheme="minorHAnsi" w:hAnsiTheme="minorHAnsi" w:cstheme="minorHAnsi"/>
          <w:lang w:val="es-CL"/>
        </w:rPr>
      </w:pPr>
      <w:r>
        <w:rPr>
          <w:rFonts w:asciiTheme="minorHAnsi" w:hAnsiTheme="minorHAnsi" w:cstheme="minorHAnsi"/>
          <w:noProof/>
          <w:lang w:val="es-CL"/>
        </w:rPr>
        <w:drawing>
          <wp:inline distT="0" distB="0" distL="0" distR="0" wp14:anchorId="468DA377" wp14:editId="1F6EF908">
            <wp:extent cx="3124636" cy="1743318"/>
            <wp:effectExtent l="0" t="0" r="0" b="9525"/>
            <wp:docPr id="2641204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20426"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58A86560" w14:textId="1C03FE7E" w:rsidR="001B64CB" w:rsidRPr="001B64CB" w:rsidRDefault="001705EC" w:rsidP="001B64CB">
      <w:pPr>
        <w:pStyle w:val="NormalWeb"/>
        <w:jc w:val="both"/>
        <w:rPr>
          <w:rFonts w:asciiTheme="minorHAnsi" w:hAnsiTheme="minorHAnsi" w:cstheme="minorHAnsi"/>
          <w:lang w:val="es-CL"/>
        </w:rPr>
      </w:pPr>
      <w:r w:rsidRPr="00797C0D">
        <w:br w:type="page"/>
      </w:r>
      <w:r w:rsidR="001B64CB" w:rsidRPr="001B64CB">
        <w:rPr>
          <w:rFonts w:asciiTheme="minorHAnsi" w:hAnsiTheme="minorHAnsi" w:cstheme="minorHAnsi"/>
          <w:b/>
          <w:bCs/>
          <w:lang w:val="es-CL"/>
        </w:rPr>
        <w:lastRenderedPageBreak/>
        <w:t>OBJETIVOS DE LA SEGURIDAD DE LA INFORMACIÓN PARA DATA CENTER ANACONDA WEB EN CHILE</w:t>
      </w:r>
    </w:p>
    <w:p w14:paraId="4F45EC84"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EMPRESA: ANACONDA WEB DE CHILE</w:t>
      </w:r>
    </w:p>
    <w:p w14:paraId="488F5939"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VERSIÓN: 1.0</w:t>
      </w:r>
    </w:p>
    <w:p w14:paraId="3E5EAE4F"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AUTOR: AUDITOREX CHILE</w:t>
      </w:r>
    </w:p>
    <w:p w14:paraId="5151D4EE"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REVISOR: MAURICIO ANTONIO COLOMERA VILLARROEL</w:t>
      </w:r>
    </w:p>
    <w:p w14:paraId="4B628C32"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FECHA: 2025-02-25</w:t>
      </w:r>
    </w:p>
    <w:p w14:paraId="1EA93CEC"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CLASIFICACIÓN: CONFIDENCIAL</w:t>
      </w:r>
    </w:p>
    <w:p w14:paraId="5D92ECA5" w14:textId="697F3A7D" w:rsidR="001B64CB" w:rsidRPr="001B64CB" w:rsidRDefault="001B64CB" w:rsidP="001B64CB">
      <w:pPr>
        <w:pStyle w:val="NormalWeb"/>
        <w:jc w:val="both"/>
        <w:rPr>
          <w:rFonts w:asciiTheme="minorHAnsi" w:hAnsiTheme="minorHAnsi" w:cstheme="minorHAnsi"/>
          <w:lang w:val="es-CL"/>
        </w:rPr>
      </w:pPr>
    </w:p>
    <w:p w14:paraId="688D57A5"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ÍNDICE</w:t>
      </w:r>
    </w:p>
    <w:p w14:paraId="11684FC1"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lang w:val="es-CL"/>
        </w:rPr>
        <w:t>Introducción</w:t>
      </w:r>
    </w:p>
    <w:p w14:paraId="69C8476C"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lang w:val="es-CL"/>
        </w:rPr>
        <w:t>Confidencialidad de la Información</w:t>
      </w:r>
    </w:p>
    <w:p w14:paraId="4368EFCC"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lang w:val="es-CL"/>
        </w:rPr>
        <w:t>Integridad de los Datos</w:t>
      </w:r>
    </w:p>
    <w:p w14:paraId="2BC43EBA"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lang w:val="es-CL"/>
        </w:rPr>
        <w:t>Disponibilidad de los Servicios</w:t>
      </w:r>
    </w:p>
    <w:p w14:paraId="22A72257"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b/>
          <w:bCs/>
          <w:lang w:val="es-CL"/>
        </w:rPr>
        <w:t>CUMPLIMIENTO NORMATIVO Y REGULATORIO</w:t>
      </w:r>
    </w:p>
    <w:p w14:paraId="00DD2300"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b/>
          <w:bCs/>
          <w:lang w:val="es-CL"/>
        </w:rPr>
        <w:t>CONCIENCIACIÓN Y CAPACITACIÓN EN SEGURIDAD</w:t>
      </w:r>
    </w:p>
    <w:p w14:paraId="3E945DBD" w14:textId="77777777"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lang w:val="es-CL"/>
        </w:rPr>
        <w:t> </w:t>
      </w:r>
      <w:r w:rsidRPr="001B64CB">
        <w:rPr>
          <w:rFonts w:asciiTheme="minorHAnsi" w:hAnsiTheme="minorHAnsi" w:cstheme="minorHAnsi"/>
          <w:b/>
          <w:bCs/>
          <w:lang w:val="es-CL"/>
        </w:rPr>
        <w:t>MONITOREO Y DETECCIÓN DE AMENAZAS</w:t>
      </w:r>
    </w:p>
    <w:p w14:paraId="5CDCF1FA" w14:textId="345D4F1F" w:rsid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lang w:val="es-CL"/>
        </w:rPr>
        <w:t>GESTIÓN DE INCIDENTES Y RECUPERACIÓN</w:t>
      </w:r>
    </w:p>
    <w:p w14:paraId="36E48F8A" w14:textId="4CE8B6E8" w:rsidR="001B64CB" w:rsidRPr="001B64CB" w:rsidRDefault="001B64CB" w:rsidP="001B64CB">
      <w:pPr>
        <w:pStyle w:val="NormalWeb"/>
        <w:numPr>
          <w:ilvl w:val="0"/>
          <w:numId w:val="63"/>
        </w:numPr>
        <w:jc w:val="both"/>
        <w:rPr>
          <w:rFonts w:asciiTheme="minorHAnsi" w:hAnsiTheme="minorHAnsi" w:cstheme="minorHAnsi"/>
          <w:lang w:val="es-CL"/>
        </w:rPr>
      </w:pPr>
      <w:r w:rsidRPr="001B64CB">
        <w:rPr>
          <w:rFonts w:asciiTheme="minorHAnsi" w:hAnsiTheme="minorHAnsi" w:cstheme="minorHAnsi"/>
          <w:b/>
          <w:bCs/>
          <w:lang w:val="es-CL"/>
        </w:rPr>
        <w:t>EVALUACIÓN Y MEJORA CONTINUA</w:t>
      </w:r>
    </w:p>
    <w:p w14:paraId="6514B823" w14:textId="02328C08" w:rsidR="001B64CB" w:rsidRPr="001B64CB" w:rsidRDefault="001B64CB" w:rsidP="001B64CB">
      <w:pPr>
        <w:pStyle w:val="NormalWeb"/>
        <w:jc w:val="both"/>
        <w:rPr>
          <w:rFonts w:asciiTheme="minorHAnsi" w:hAnsiTheme="minorHAnsi" w:cstheme="minorHAnsi"/>
          <w:lang w:val="es-CL"/>
        </w:rPr>
      </w:pPr>
    </w:p>
    <w:p w14:paraId="66AC3D72" w14:textId="77777777" w:rsidR="00797C0D" w:rsidRDefault="00797C0D" w:rsidP="001B64CB">
      <w:pPr>
        <w:pStyle w:val="NormalWeb"/>
        <w:jc w:val="both"/>
        <w:rPr>
          <w:rFonts w:asciiTheme="minorHAnsi" w:hAnsiTheme="minorHAnsi" w:cstheme="minorHAnsi"/>
          <w:b/>
          <w:bCs/>
          <w:lang w:val="es-CL"/>
        </w:rPr>
      </w:pPr>
    </w:p>
    <w:p w14:paraId="34279413" w14:textId="77777777" w:rsidR="00797C0D" w:rsidRDefault="00797C0D" w:rsidP="001B64CB">
      <w:pPr>
        <w:pStyle w:val="NormalWeb"/>
        <w:jc w:val="both"/>
        <w:rPr>
          <w:rFonts w:asciiTheme="minorHAnsi" w:hAnsiTheme="minorHAnsi" w:cstheme="minorHAnsi"/>
          <w:b/>
          <w:bCs/>
          <w:lang w:val="es-CL"/>
        </w:rPr>
      </w:pPr>
    </w:p>
    <w:p w14:paraId="587B4CE8" w14:textId="77777777" w:rsidR="00797C0D" w:rsidRDefault="00797C0D" w:rsidP="001B64CB">
      <w:pPr>
        <w:pStyle w:val="NormalWeb"/>
        <w:jc w:val="both"/>
        <w:rPr>
          <w:rFonts w:asciiTheme="minorHAnsi" w:hAnsiTheme="minorHAnsi" w:cstheme="minorHAnsi"/>
          <w:b/>
          <w:bCs/>
          <w:lang w:val="es-CL"/>
        </w:rPr>
      </w:pPr>
    </w:p>
    <w:p w14:paraId="41240447" w14:textId="77777777" w:rsidR="00797C0D" w:rsidRDefault="00797C0D" w:rsidP="001B64CB">
      <w:pPr>
        <w:pStyle w:val="NormalWeb"/>
        <w:jc w:val="both"/>
        <w:rPr>
          <w:rFonts w:asciiTheme="minorHAnsi" w:hAnsiTheme="minorHAnsi" w:cstheme="minorHAnsi"/>
          <w:b/>
          <w:bCs/>
          <w:lang w:val="es-CL"/>
        </w:rPr>
      </w:pPr>
    </w:p>
    <w:p w14:paraId="2828DD82" w14:textId="77777777" w:rsidR="00797C0D" w:rsidRDefault="00797C0D" w:rsidP="001B64CB">
      <w:pPr>
        <w:pStyle w:val="NormalWeb"/>
        <w:jc w:val="both"/>
        <w:rPr>
          <w:rFonts w:asciiTheme="minorHAnsi" w:hAnsiTheme="minorHAnsi" w:cstheme="minorHAnsi"/>
          <w:b/>
          <w:bCs/>
          <w:lang w:val="es-CL"/>
        </w:rPr>
      </w:pPr>
    </w:p>
    <w:p w14:paraId="54CDF056" w14:textId="77777777" w:rsidR="00797C0D" w:rsidRDefault="00797C0D" w:rsidP="001B64CB">
      <w:pPr>
        <w:pStyle w:val="NormalWeb"/>
        <w:jc w:val="both"/>
        <w:rPr>
          <w:rFonts w:asciiTheme="minorHAnsi" w:hAnsiTheme="minorHAnsi" w:cstheme="minorHAnsi"/>
          <w:b/>
          <w:bCs/>
          <w:lang w:val="es-CL"/>
        </w:rPr>
      </w:pPr>
    </w:p>
    <w:p w14:paraId="7502D42D" w14:textId="77777777" w:rsidR="00797C0D" w:rsidRDefault="00797C0D" w:rsidP="001B64CB">
      <w:pPr>
        <w:pStyle w:val="NormalWeb"/>
        <w:jc w:val="both"/>
        <w:rPr>
          <w:rFonts w:asciiTheme="minorHAnsi" w:hAnsiTheme="minorHAnsi" w:cstheme="minorHAnsi"/>
          <w:b/>
          <w:bCs/>
          <w:lang w:val="es-CL"/>
        </w:rPr>
      </w:pPr>
    </w:p>
    <w:p w14:paraId="0274DF02" w14:textId="77777777" w:rsidR="00797C0D" w:rsidRDefault="00797C0D" w:rsidP="001B64CB">
      <w:pPr>
        <w:pStyle w:val="NormalWeb"/>
        <w:jc w:val="both"/>
        <w:rPr>
          <w:rFonts w:asciiTheme="minorHAnsi" w:hAnsiTheme="minorHAnsi" w:cstheme="minorHAnsi"/>
          <w:b/>
          <w:bCs/>
          <w:lang w:val="es-CL"/>
        </w:rPr>
      </w:pPr>
    </w:p>
    <w:p w14:paraId="66E90695" w14:textId="589BF2A4"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lastRenderedPageBreak/>
        <w:t>1. INTRODUCCIÓN</w:t>
      </w:r>
    </w:p>
    <w:p w14:paraId="14AE633D"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seguridad de la información en el Data Center de Anaconda Web en Chile es un pilar fundamental para garantizar la protección de los activos digitales y la continuidad operativa. En un entorno donde las amenazas cibernéticas evolucionan constantemente, es imprescindible establecer objetivos claros que aseguren la confidencialidad, integridad y disponibilidad de la información almacenada y procesada en el centro de datos. Estos objetivos permiten la implementación de estrategias efectivas que minimicen riesgos y refuercen la postura de seguridad de la organización.</w:t>
      </w:r>
    </w:p>
    <w:p w14:paraId="0121DE3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cumplimiento de estos objetivos está alineado con las mejores prácticas internacionales y regulaciones específicas del sector. La seguridad no solo implica la aplicación de controles tecnológicos, sino también la concienciación del personal y el establecimiento de procedimientos sólidos para la gestión de incidentes. Es necesario un enfoque integral que contemple desde la protección física de la infraestructura hasta la seguridad de las aplicaciones y redes.</w:t>
      </w:r>
    </w:p>
    <w:p w14:paraId="0B56F9FE"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Cada uno de los objetivos establecidos en este documento contribuye a la resiliencia del Data Center, asegurando que la organización pueda responder eficazmente a cualquier evento que comprometa la seguridad de la información. La implementación de medidas proactivas permite reducir el impacto de amenazas potenciales y fortalecer la confianza de clientes y socios comerciales en la seguridad del servicio prestado.</w:t>
      </w:r>
    </w:p>
    <w:p w14:paraId="22C12B1E"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presente documento detalla los objetivos fundamentales de la seguridad de la información en el Data Center de Anaconda Web, definiendo lineamientos que guiarán la adopción de controles de protección adecuados. La correcta aplicación de estos principios permitirá a la organización alcanzar un nivel óptimo de madurez en seguridad y garantizar la continuidad operativa del negocio.</w:t>
      </w:r>
    </w:p>
    <w:p w14:paraId="679FD275" w14:textId="6832B2F2" w:rsidR="001B64CB" w:rsidRPr="001B64CB" w:rsidRDefault="001B64CB" w:rsidP="001B64CB">
      <w:pPr>
        <w:pStyle w:val="NormalWeb"/>
        <w:jc w:val="both"/>
        <w:rPr>
          <w:rFonts w:asciiTheme="minorHAnsi" w:hAnsiTheme="minorHAnsi" w:cstheme="minorHAnsi"/>
          <w:lang w:val="es-CL"/>
        </w:rPr>
      </w:pPr>
    </w:p>
    <w:p w14:paraId="7959CFAB"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2. CONFIDENCIALIDAD DE LA INFORMACIÓN</w:t>
      </w:r>
    </w:p>
    <w:p w14:paraId="0580D0B4"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protección de la confidencialidad de la información es clave para evitar accesos no autorizados a los datos almacenados en el Data Center de Anaconda Web. La información sensible y crítica debe estar protegida mediante controles de acceso adecuados, cifrado de datos y políticas de seguridad bien definidas. Garantizar la confidencialidad de la información permite minimizar el riesgo de filtraciones que podrían comprometer la integridad y reputación de la organización.</w:t>
      </w:r>
    </w:p>
    <w:p w14:paraId="39D34D5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 xml:space="preserve">El control de accesos se implementa mediante autenticación multifactorial, segmentación de redes y privilegios mínimos, asegurando que solo el personal autorizado pueda acceder a los datos críticos. Las auditorías regulares y los registros de acceso permiten supervisar posibles vulnerabilidades y aplicar medidas correctivas de manera inmediata. La gestión de </w:t>
      </w:r>
      <w:r w:rsidRPr="001B64CB">
        <w:rPr>
          <w:rFonts w:asciiTheme="minorHAnsi" w:hAnsiTheme="minorHAnsi" w:cstheme="minorHAnsi"/>
          <w:lang w:val="es-CL"/>
        </w:rPr>
        <w:lastRenderedPageBreak/>
        <w:t>identidades y accesos es una estrategia fundamental para reforzar la seguridad del entorno informático.</w:t>
      </w:r>
    </w:p>
    <w:p w14:paraId="7A4B45DE"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cifrado de la información, tanto en tránsito como en reposo, es un mecanismo clave para garantizar la confidencialidad de los datos. Se aplican estándares avanzados de cifrado para proteger información confidencial, evitando su exposición en caso de incidentes de seguridad. Además, se establecen protocolos de comunicación segura para prevenir interceptaciones no autorizadas.</w:t>
      </w:r>
    </w:p>
    <w:p w14:paraId="34C43D20"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Las políticas de seguridad incluyen normativas estrictas sobre el manejo de datos sensibles, estableciendo procedimientos para la gestión de documentos, el acceso remoto y la compartición de información. La concienciación del personal es un factor esencial, ya que los errores humanos pueden comprometer la confidencialidad de la información. Se llevan a cabo campañas de sensibilización para fomentar las mejores prácticas en la protección de datos.</w:t>
      </w:r>
    </w:p>
    <w:p w14:paraId="6769C89E" w14:textId="7C07D5EA" w:rsidR="001B64CB" w:rsidRPr="001B64CB" w:rsidRDefault="001B64CB" w:rsidP="001B64CB">
      <w:pPr>
        <w:pStyle w:val="NormalWeb"/>
        <w:jc w:val="both"/>
        <w:rPr>
          <w:rFonts w:asciiTheme="minorHAnsi" w:hAnsiTheme="minorHAnsi" w:cstheme="minorHAnsi"/>
          <w:lang w:val="es-CL"/>
        </w:rPr>
      </w:pPr>
    </w:p>
    <w:p w14:paraId="604246FD"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t>3. INTEGRIDAD DE LOS DATOS</w:t>
      </w:r>
    </w:p>
    <w:p w14:paraId="69AA3FD5"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integridad de los datos garantiza que la información almacenada en el Data Center de Anaconda Web se mantenga completa, precisa y libre de alteraciones no autorizadas. La corrupción o modificación indebida de datos puede afectar la operatividad del negocio y generar pérdidas significativas, por lo que es crucial implementar mecanismos de control para preservar su integridad.</w:t>
      </w:r>
    </w:p>
    <w:p w14:paraId="435FCC1C"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Los registros de auditoría y los controles de cambios permiten monitorear cualquier alteración en la información, asegurando la trazabilidad y la validación de modificaciones. Se implementan controles de integridad en bases de datos y sistemas de almacenamiento, detectando y previniendo manipulaciones malintencionadas o accidentales. La utilización de firmas digitales y hash criptográficos refuerza la validación de la información.</w:t>
      </w:r>
    </w:p>
    <w:p w14:paraId="4D262011"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Los sistemas de respaldo juegan un papel esencial en la preservación de la integridad de los datos. Se ejecutan copias de seguridad periódicas y se realizan pruebas de recuperación para garantizar que la información pueda ser restaurada en caso de incidentes. La redundancia de datos y la replicación en múltiples ubicaciones fortalecen la resiliencia ante fallos de hardware o ciberataques.</w:t>
      </w:r>
    </w:p>
    <w:p w14:paraId="4AA91A78"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acceso a los datos críticos está estrictamente regulado, aplicando controles de autorización y segmentación de privilegios. La capacitación del personal en la gestión de la integridad de la información es fundamental para minimizar errores operativos y garantizar la correcta aplicación de los procedimientos de seguridad. La supervisión constante y la mejora continua de los controles de integridad son esenciales para mantener un entorno seguro y confiable.</w:t>
      </w:r>
    </w:p>
    <w:p w14:paraId="546955D1" w14:textId="53A66758" w:rsidR="001B64CB" w:rsidRPr="001B64CB" w:rsidRDefault="001B64CB" w:rsidP="001B64CB">
      <w:pPr>
        <w:pStyle w:val="NormalWeb"/>
        <w:jc w:val="both"/>
        <w:rPr>
          <w:rFonts w:asciiTheme="minorHAnsi" w:hAnsiTheme="minorHAnsi" w:cstheme="minorHAnsi"/>
          <w:lang w:val="es-CL"/>
        </w:rPr>
      </w:pPr>
    </w:p>
    <w:p w14:paraId="680E262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b/>
          <w:bCs/>
          <w:lang w:val="es-CL"/>
        </w:rPr>
        <w:lastRenderedPageBreak/>
        <w:t>4. DISPONIBILIDAD DE LOS SERVICIOS</w:t>
      </w:r>
    </w:p>
    <w:p w14:paraId="01DB010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Garantizar la disponibilidad de los servicios en el Data Center de Anaconda Web es fundamental para mantener la operatividad y la continuidad del negocio. La interrupción de los servicios puede generar pérdidas financieras, afectar la reputación de la empresa y comprometer acuerdos contractuales con los clientes. Para mitigar estos riesgos, se implementan estrategias que incluyen redundancia de infraestructuras, monitoreo continuo y planes de contingencia efectivos.</w:t>
      </w:r>
    </w:p>
    <w:p w14:paraId="49C37FB3"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redundancia es un pilar clave en la disponibilidad de los servicios. Se establecen infraestructuras duplicadas en distintas ubicaciones geográficas, con servidores de respaldo y conexiones de red redundantes. Esto permite mantener la operatividad incluso en caso de fallos en componentes críticos. Además, los sistemas de balanceo de carga distribuyen el tráfico de manera eficiente, optimizando el rendimiento y evitando saturaciones en la red.</w:t>
      </w:r>
    </w:p>
    <w:p w14:paraId="6C06D02B"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monitoreo en tiempo real es esencial para detectar posibles fallos antes de que impacten la continuidad de los servicios. Se emplean herramientas avanzadas de monitoreo que analizan parámetros de rendimiento, disponibilidad y seguridad en los sistemas del Data Center. En caso de detectar anomalías, se activan alertas automáticas que permiten a los equipos de TI tomar medidas correctivas de manera inmediata, minimizando tiempos de inactividad.</w:t>
      </w:r>
    </w:p>
    <w:p w14:paraId="5C6CDFCE"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Para fortalecer la disponibilidad, se establecen planes de continuidad del negocio y recuperación ante desastres. Estos planes incluyen simulacros periódicos para evaluar la efectividad de los procedimientos de recuperación y garantizar la rápida restauración de los servicios en caso de incidentes. La evaluación y mejora continua de estos planes permite adaptar las estrategias a los cambios en el entorno tecnológico y los nuevos riesgos emergentes.</w:t>
      </w:r>
    </w:p>
    <w:p w14:paraId="57D2C81D" w14:textId="77777777" w:rsidR="001B64CB" w:rsidRPr="001B64CB" w:rsidRDefault="001B64CB" w:rsidP="001B64CB">
      <w:pPr>
        <w:pStyle w:val="NormalWeb"/>
        <w:jc w:val="both"/>
        <w:rPr>
          <w:rFonts w:asciiTheme="minorHAnsi" w:hAnsiTheme="minorHAnsi" w:cstheme="minorHAnsi"/>
          <w:b/>
          <w:bCs/>
          <w:lang w:val="es-CL"/>
        </w:rPr>
      </w:pPr>
      <w:r w:rsidRPr="001B64CB">
        <w:rPr>
          <w:rFonts w:asciiTheme="minorHAnsi" w:hAnsiTheme="minorHAnsi" w:cstheme="minorHAnsi"/>
          <w:b/>
          <w:bCs/>
          <w:lang w:val="es-CL"/>
        </w:rPr>
        <w:t>5. CUMPLIMIENTO NORMATIVO Y REGULATORIO</w:t>
      </w:r>
    </w:p>
    <w:p w14:paraId="4C53D80D"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cumplimiento normativo y regulatorio es esencial para garantizar que el Data Center de Anaconda Web opere dentro del marco legal y cumpla con los estándares de seguridad establecidos por organismos internacionales y nacionales. Cumplir con regulaciones como ISO 27001, GDPR, la Ley de Protección de Datos Personales y otras normativas sectoriales no solo protege la información, sino que también fortalece la confianza de clientes y socios comerciales en la organización.</w:t>
      </w:r>
    </w:p>
    <w:p w14:paraId="47944A8E"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Para garantizar el cumplimiento de estas normativas, se implementan auditorías internas y externas periódicas, que permiten identificar posibles brechas y tomar medidas correctivas oportunas. Estas revisiones incluyen la evaluación de políticas de seguridad, controles de acceso, protección de datos y respuesta ante incidentes. La documentación de estos procesos es clave para demostrar la conformidad ante entidades reguladoras y auditores.</w:t>
      </w:r>
    </w:p>
    <w:p w14:paraId="1EFD0FA4"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lastRenderedPageBreak/>
        <w:t>La capacitación del personal en normativas de seguridad es otro pilar fundamental para garantizar el cumplimiento. Todos los empleados y proveedores que manejan información confidencial deben conocer y aplicar las regulaciones vigentes. Se realizan sesiones formativas y simulacros para asegurar que el personal esté preparado para actuar conforme a los lineamientos legales y de seguridad establecidos.</w:t>
      </w:r>
    </w:p>
    <w:p w14:paraId="6D4DC930"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Además, la empresa implementa un sistema de gestión de cumplimiento que permite monitorear los cambios en la legislación y adaptar sus políticas y procedimientos en consecuencia. La actualización constante de los controles de seguridad y la integración de nuevas regulaciones aseguran que el Data Center de Anaconda Web continúe operando de manera segura y conforme a las mejores prácticas internacionales</w:t>
      </w:r>
    </w:p>
    <w:p w14:paraId="5C2C22A2" w14:textId="77777777" w:rsidR="001B64CB" w:rsidRPr="001B64CB" w:rsidRDefault="001B64CB" w:rsidP="001B64CB">
      <w:pPr>
        <w:pStyle w:val="NormalWeb"/>
        <w:jc w:val="both"/>
        <w:rPr>
          <w:rFonts w:asciiTheme="minorHAnsi" w:hAnsiTheme="minorHAnsi" w:cstheme="minorHAnsi"/>
          <w:b/>
          <w:bCs/>
          <w:lang w:val="es-CL"/>
        </w:rPr>
      </w:pPr>
      <w:r w:rsidRPr="001B64CB">
        <w:rPr>
          <w:rFonts w:asciiTheme="minorHAnsi" w:hAnsiTheme="minorHAnsi" w:cstheme="minorHAnsi"/>
          <w:b/>
          <w:bCs/>
          <w:lang w:val="es-CL"/>
        </w:rPr>
        <w:t>6. CONCIENCIACIÓN Y CAPACITACIÓN EN SEGURIDAD</w:t>
      </w:r>
    </w:p>
    <w:p w14:paraId="243985C8"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concienciación y capacitación en seguridad de la información son fundamentales para fortalecer la cultura organizacional y reducir los riesgos asociados a amenazas internas y externas. En el Data Center de Anaconda Web, se implementan programas de formación continua dirigidos a todos los empleados, con el objetivo de desarrollar competencias en la identificación y mitigación de vulnerabilidades de seguridad.</w:t>
      </w:r>
    </w:p>
    <w:p w14:paraId="4DCE16D5"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Las sesiones de capacitación incluyen temáticas como gestión de contraseñas seguras, identificación de intentos de phishing, protección de datos sensibles y buenas prácticas en el uso de sistemas corporativos. Además, se realizan simulaciones de ataques cibernéticos para evaluar la capacidad de respuesta del personal y detectar posibles debilidades en los procesos de seguridad.</w:t>
      </w:r>
    </w:p>
    <w:p w14:paraId="764EC6A9"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empresa también establece campañas de sensibilización mediante boletines informativos, carteles en áreas de trabajo y correos electrónicos periódicos con consejos prácticos. Estas acciones buscan reforzar el compromiso de los empleados con la seguridad y fomentar una actitud proactiva frente a posibles amenazas que puedan comprometer la confidencialidad, integridad y disponibilidad de la información.</w:t>
      </w:r>
    </w:p>
    <w:p w14:paraId="47284711"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Para medir la efectividad de la capacitación, se aplican evaluaciones periódicas y auditorías internas que permiten identificar áreas de mejora. El aprendizaje continuo y la adaptación a nuevas tendencias en seguridad cibernética aseguran que el Data Center de Anaconda Web cuente con un equipo preparado para enfrentar cualquier incidente de seguridad con rapidez y eficacia.</w:t>
      </w:r>
    </w:p>
    <w:p w14:paraId="6F3B32CF" w14:textId="77777777" w:rsidR="001B64CB" w:rsidRPr="001B64CB" w:rsidRDefault="001B64CB" w:rsidP="001B64CB">
      <w:pPr>
        <w:pStyle w:val="NormalWeb"/>
        <w:jc w:val="both"/>
        <w:rPr>
          <w:rFonts w:asciiTheme="minorHAnsi" w:hAnsiTheme="minorHAnsi" w:cstheme="minorHAnsi"/>
          <w:b/>
          <w:bCs/>
          <w:lang w:val="es-CL"/>
        </w:rPr>
      </w:pPr>
      <w:r w:rsidRPr="001B64CB">
        <w:rPr>
          <w:rFonts w:asciiTheme="minorHAnsi" w:hAnsiTheme="minorHAnsi" w:cstheme="minorHAnsi"/>
          <w:b/>
          <w:bCs/>
          <w:lang w:val="es-CL"/>
        </w:rPr>
        <w:t>7. MONITOREO Y DETECCIÓN DE AMENAZAS</w:t>
      </w:r>
    </w:p>
    <w:p w14:paraId="4D193505"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monitoreo y detección de amenazas en el Data Center de Anaconda Web es esencial para la identificación temprana de riesgos de seguridad y la mitigación de incidentes. La supervisión constante de los sistemas y redes permite detectar patrones inusuales de actividad que puedan indicar ataques o vulnerabilidades.</w:t>
      </w:r>
    </w:p>
    <w:p w14:paraId="5B13EA8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lastRenderedPageBreak/>
        <w:t>Para garantizar una protección efectiva, se implementan herramientas avanzadas de monitoreo de tráfico, detección de intrusos y análisis de comportamiento. Estas soluciones permiten identificar ataques en tiempo real y activar respuestas automáticas que minimicen el impacto en la infraestructura y los servicios.</w:t>
      </w:r>
    </w:p>
    <w:p w14:paraId="2619954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uso de inteligencia de amenazas también es un componente clave en la detección de riesgos emergentes. Se integran bases de datos de amenazas globales y se aplican técnicas de análisis predictivo para anticipar posibles ataques. La correlación de eventos de seguridad a través de SIEMs (Security Information and Event Management) permite una respuesta rápida y efectiva ante anomalías detectadas.</w:t>
      </w:r>
    </w:p>
    <w:p w14:paraId="3E80F39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Además, se llevan a cabo auditorías de seguridad periódicas para evaluar la efectividad de los controles de monitoreo y mejorar continuamente las capacidades de detección. La capacitación del personal en el uso de herramientas de monitoreo y la gestión de eventos de seguridad fortalece la capacidad de respuesta ante posibles incidentes y reduce el tiempo de detección y mitigación de amenazas.</w:t>
      </w:r>
    </w:p>
    <w:p w14:paraId="740E2BDD" w14:textId="77777777" w:rsidR="001B64CB" w:rsidRPr="001B64CB" w:rsidRDefault="001B64CB" w:rsidP="001B64CB">
      <w:pPr>
        <w:pStyle w:val="NormalWeb"/>
        <w:jc w:val="both"/>
        <w:rPr>
          <w:rFonts w:asciiTheme="minorHAnsi" w:hAnsiTheme="minorHAnsi" w:cstheme="minorHAnsi"/>
          <w:b/>
          <w:bCs/>
          <w:lang w:val="es-CL"/>
        </w:rPr>
      </w:pPr>
      <w:r w:rsidRPr="001B64CB">
        <w:rPr>
          <w:rFonts w:asciiTheme="minorHAnsi" w:hAnsiTheme="minorHAnsi" w:cstheme="minorHAnsi"/>
          <w:b/>
          <w:bCs/>
          <w:lang w:val="es-CL"/>
        </w:rPr>
        <w:t>8. GESTIÓN DE INCIDENTES Y RECUPERACIÓN</w:t>
      </w:r>
    </w:p>
    <w:p w14:paraId="5EB5C414"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La gestión de incidentes y recuperación es un proceso crítico para minimizar el impacto de ataques o fallas en la infraestructura del Data Center de Anaconda Web. Contar con un plan de respuesta estructurado permite actuar de manera rápida y eficaz en caso de un incidente de seguridad, asegurando la continuidad operativa de los servicios.</w:t>
      </w:r>
    </w:p>
    <w:p w14:paraId="7E302AC6"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proceso de gestión de incidentes sigue una metodología basada en la detección, análisis, contención, erradicación y recuperación. Se asignan roles y responsabilidades específicos para garantizar una respuesta organizada y eficiente. La documentación detallada de cada incidente permite mejorar los procesos y evitar futuras vulnerabilidades.</w:t>
      </w:r>
    </w:p>
    <w:p w14:paraId="18E5E345"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Para la recuperación de los servicios, se implementan planes de contingencia que incluyen respaldo de datos, redundancia de infraestructuras y pruebas periódicas de recuperación ante desastres. La restauración rápida de sistemas críticos es fundamental para minimizar el tiempo de inactividad y evitar pérdidas económicas o de reputación.</w:t>
      </w:r>
    </w:p>
    <w:p w14:paraId="464C92ED"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Además, se realizan simulacros de incidentes para evaluar la capacidad de respuesta del equipo de seguridad y mejorar continuamente los protocolos de actuación. La integración de herramientas de automatización en la gestión de incidentes permite agilizar la identificación y mitigación de amenazas, garantizando una respuesta más rápida y efectiva ante cualquier contingencia.</w:t>
      </w:r>
    </w:p>
    <w:p w14:paraId="02AD652B" w14:textId="77777777" w:rsidR="001B64CB" w:rsidRPr="001B64CB" w:rsidRDefault="001B64CB" w:rsidP="001B64CB">
      <w:pPr>
        <w:pStyle w:val="NormalWeb"/>
        <w:jc w:val="both"/>
        <w:rPr>
          <w:rFonts w:asciiTheme="minorHAnsi" w:hAnsiTheme="minorHAnsi" w:cstheme="minorHAnsi"/>
          <w:b/>
          <w:bCs/>
          <w:lang w:val="es-CL"/>
        </w:rPr>
      </w:pPr>
      <w:r w:rsidRPr="001B64CB">
        <w:rPr>
          <w:rFonts w:asciiTheme="minorHAnsi" w:hAnsiTheme="minorHAnsi" w:cstheme="minorHAnsi"/>
          <w:b/>
          <w:bCs/>
          <w:lang w:val="es-CL"/>
        </w:rPr>
        <w:t>9. EVALUACIÓN Y MEJORA CONTINUA</w:t>
      </w:r>
    </w:p>
    <w:p w14:paraId="510ED8A5"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 xml:space="preserve">La evaluación y mejora continua en la seguridad del Data Center de Anaconda Web es un principio fundamental para mantener la resiliencia ante amenazas emergentes. La revisión </w:t>
      </w:r>
      <w:r w:rsidRPr="001B64CB">
        <w:rPr>
          <w:rFonts w:asciiTheme="minorHAnsi" w:hAnsiTheme="minorHAnsi" w:cstheme="minorHAnsi"/>
          <w:lang w:val="es-CL"/>
        </w:rPr>
        <w:lastRenderedPageBreak/>
        <w:t>constante de los controles de seguridad y la adaptación a nuevas tendencias permiten reforzar la postura de seguridad de la organización.</w:t>
      </w:r>
    </w:p>
    <w:p w14:paraId="419A0A5C"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Para lograr una mejora continua, se establecen indicadores de desempeño que evalúan la efectividad de los procesos de seguridad. Se realizan auditorías regulares para identificar áreas de mejora y optimizar la implementación de controles. La retroalimentación obtenida de incidentes previos también se utiliza para fortalecer las estrategias de prevención.</w:t>
      </w:r>
    </w:p>
    <w:p w14:paraId="4D8C42CA" w14:textId="77777777" w:rsidR="001B64CB" w:rsidRPr="001B64CB" w:rsidRDefault="001B64CB" w:rsidP="001B64CB">
      <w:pPr>
        <w:pStyle w:val="NormalWeb"/>
        <w:jc w:val="both"/>
        <w:rPr>
          <w:rFonts w:asciiTheme="minorHAnsi" w:hAnsiTheme="minorHAnsi" w:cstheme="minorHAnsi"/>
          <w:lang w:val="es-CL"/>
        </w:rPr>
      </w:pPr>
      <w:r w:rsidRPr="001B64CB">
        <w:rPr>
          <w:rFonts w:asciiTheme="minorHAnsi" w:hAnsiTheme="minorHAnsi" w:cstheme="minorHAnsi"/>
          <w:lang w:val="es-CL"/>
        </w:rPr>
        <w:t>El análisis forense de eventos de seguridad es una herramienta clave en la identificación de fallas en los controles de protección. A través de este análisis, se pueden ajustar las estrategias de defensa y mejorar las capacidades de detección y respuesta ante nuevas amenazas.</w:t>
      </w:r>
    </w:p>
    <w:p w14:paraId="5EE8924C" w14:textId="6A818400" w:rsidR="00452E7F" w:rsidRPr="00237AFB" w:rsidRDefault="001B64CB" w:rsidP="00237AFB">
      <w:pPr>
        <w:pStyle w:val="NormalWeb"/>
        <w:jc w:val="both"/>
        <w:rPr>
          <w:rFonts w:asciiTheme="minorHAnsi" w:hAnsiTheme="minorHAnsi" w:cstheme="minorHAnsi"/>
          <w:lang w:val="es-CL"/>
        </w:rPr>
      </w:pPr>
      <w:r w:rsidRPr="001B64CB">
        <w:rPr>
          <w:rFonts w:asciiTheme="minorHAnsi" w:hAnsiTheme="minorHAnsi" w:cstheme="minorHAnsi"/>
          <w:lang w:val="es-CL"/>
        </w:rPr>
        <w:t>Asimismo, la capacitación continua del personal es esencial para garantizar que todos los actores involucrados en la seguridad del Data Center estén actualizados con las mejores prácticas y procedimientos. La colaboración con organismos internacionales y el intercambio de información sobre nuevas amenazas permite a Anaconda Web mantenerse a la vanguardia en seguridad informática.</w:t>
      </w: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0F7DD" w14:textId="77777777" w:rsidR="00BB6B93" w:rsidRPr="001B64CB" w:rsidRDefault="00BB6B93">
      <w:r w:rsidRPr="001B64CB">
        <w:separator/>
      </w:r>
    </w:p>
    <w:p w14:paraId="0631C5DC" w14:textId="77777777" w:rsidR="00BB6B93" w:rsidRPr="001B64CB" w:rsidRDefault="00BB6B93"/>
    <w:p w14:paraId="3E80440A" w14:textId="77777777" w:rsidR="00BB6B93" w:rsidRPr="001B64CB" w:rsidRDefault="00BB6B93"/>
    <w:p w14:paraId="59BF1989" w14:textId="77777777" w:rsidR="00BB6B93" w:rsidRPr="001B64CB" w:rsidRDefault="00BB6B93" w:rsidP="00C1318C"/>
  </w:endnote>
  <w:endnote w:type="continuationSeparator" w:id="0">
    <w:p w14:paraId="1E580E47" w14:textId="77777777" w:rsidR="00BB6B93" w:rsidRPr="001B64CB" w:rsidRDefault="00BB6B93">
      <w:r w:rsidRPr="001B64CB">
        <w:continuationSeparator/>
      </w:r>
    </w:p>
    <w:p w14:paraId="3328779C" w14:textId="77777777" w:rsidR="00BB6B93" w:rsidRPr="001B64CB" w:rsidRDefault="00BB6B93"/>
    <w:p w14:paraId="32816FE4" w14:textId="77777777" w:rsidR="00BB6B93" w:rsidRPr="001B64CB" w:rsidRDefault="00BB6B93"/>
    <w:p w14:paraId="2AAE5DF6" w14:textId="77777777" w:rsidR="00BB6B93" w:rsidRPr="001B64CB" w:rsidRDefault="00BB6B9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3C90C132" w:rsidR="00237AFB" w:rsidRPr="001B64CB" w:rsidRDefault="001B64CB" w:rsidP="00237AFB">
    <w:pPr>
      <w:pStyle w:val="Piedepgina"/>
      <w:jc w:val="center"/>
    </w:pPr>
    <w:r w:rsidRPr="001B64CB">
      <w:rPr>
        <w:rFonts w:asciiTheme="minorHAnsi" w:hAnsiTheme="minorHAnsi" w:cstheme="minorHAnsi"/>
        <w:b/>
        <w:bCs/>
      </w:rPr>
      <w:t>OBJETIVOS DE LA SEGURIDAD DE LA INFORMACIÓN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87D2" w14:textId="77777777" w:rsidR="00BB6B93" w:rsidRPr="001B64CB" w:rsidRDefault="00BB6B93">
      <w:r w:rsidRPr="001B64CB">
        <w:separator/>
      </w:r>
    </w:p>
    <w:p w14:paraId="6CB34CA4" w14:textId="77777777" w:rsidR="00BB6B93" w:rsidRPr="001B64CB" w:rsidRDefault="00BB6B93"/>
    <w:p w14:paraId="3590291D" w14:textId="77777777" w:rsidR="00BB6B93" w:rsidRPr="001B64CB" w:rsidRDefault="00BB6B93"/>
    <w:p w14:paraId="768608FC" w14:textId="77777777" w:rsidR="00BB6B93" w:rsidRPr="001B64CB" w:rsidRDefault="00BB6B93" w:rsidP="00C1318C"/>
  </w:footnote>
  <w:footnote w:type="continuationSeparator" w:id="0">
    <w:p w14:paraId="002F5C65" w14:textId="77777777" w:rsidR="00BB6B93" w:rsidRPr="001B64CB" w:rsidRDefault="00BB6B93">
      <w:r w:rsidRPr="001B64CB">
        <w:continuationSeparator/>
      </w:r>
    </w:p>
    <w:p w14:paraId="33F84949" w14:textId="77777777" w:rsidR="00BB6B93" w:rsidRPr="001B64CB" w:rsidRDefault="00BB6B93"/>
    <w:p w14:paraId="57205102" w14:textId="77777777" w:rsidR="00BB6B93" w:rsidRPr="001B64CB" w:rsidRDefault="00BB6B93"/>
    <w:p w14:paraId="0DD099A3" w14:textId="77777777" w:rsidR="00BB6B93" w:rsidRPr="001B64CB" w:rsidRDefault="00BB6B9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1B64CB" w:rsidRDefault="001637D6">
    <w:r w:rsidRPr="001B64C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C30B23"/>
    <w:multiLevelType w:val="multilevel"/>
    <w:tmpl w:val="F43E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8"/>
  </w:num>
  <w:num w:numId="3" w16cid:durableId="1494763561">
    <w:abstractNumId w:val="16"/>
  </w:num>
  <w:num w:numId="4" w16cid:durableId="2135100286">
    <w:abstractNumId w:val="40"/>
  </w:num>
  <w:num w:numId="5" w16cid:durableId="1000818834">
    <w:abstractNumId w:val="22"/>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4"/>
  </w:num>
  <w:num w:numId="11" w16cid:durableId="1630670735">
    <w:abstractNumId w:val="19"/>
  </w:num>
  <w:num w:numId="12" w16cid:durableId="1692032352">
    <w:abstractNumId w:val="22"/>
  </w:num>
  <w:num w:numId="13" w16cid:durableId="1393849829">
    <w:abstractNumId w:val="22"/>
  </w:num>
  <w:num w:numId="14" w16cid:durableId="815293384">
    <w:abstractNumId w:val="22"/>
  </w:num>
  <w:num w:numId="15" w16cid:durableId="1977754839">
    <w:abstractNumId w:val="51"/>
  </w:num>
  <w:num w:numId="16" w16cid:durableId="240061859">
    <w:abstractNumId w:val="24"/>
  </w:num>
  <w:num w:numId="17" w16cid:durableId="1741440573">
    <w:abstractNumId w:val="37"/>
  </w:num>
  <w:num w:numId="18" w16cid:durableId="404303887">
    <w:abstractNumId w:val="25"/>
  </w:num>
  <w:num w:numId="19" w16cid:durableId="1072853763">
    <w:abstractNumId w:val="6"/>
  </w:num>
  <w:num w:numId="20" w16cid:durableId="888345100">
    <w:abstractNumId w:val="28"/>
  </w:num>
  <w:num w:numId="21" w16cid:durableId="2083486945">
    <w:abstractNumId w:val="31"/>
  </w:num>
  <w:num w:numId="22" w16cid:durableId="1412317948">
    <w:abstractNumId w:val="0"/>
  </w:num>
  <w:num w:numId="23" w16cid:durableId="1332220685">
    <w:abstractNumId w:val="49"/>
  </w:num>
  <w:num w:numId="24" w16cid:durableId="587539902">
    <w:abstractNumId w:val="52"/>
  </w:num>
  <w:num w:numId="25" w16cid:durableId="1814641950">
    <w:abstractNumId w:val="13"/>
  </w:num>
  <w:num w:numId="26" w16cid:durableId="805513463">
    <w:abstractNumId w:val="3"/>
  </w:num>
  <w:num w:numId="27" w16cid:durableId="1555776139">
    <w:abstractNumId w:val="55"/>
  </w:num>
  <w:num w:numId="28" w16cid:durableId="2123913244">
    <w:abstractNumId w:val="15"/>
  </w:num>
  <w:num w:numId="29" w16cid:durableId="874922778">
    <w:abstractNumId w:val="26"/>
  </w:num>
  <w:num w:numId="30" w16cid:durableId="1757896361">
    <w:abstractNumId w:val="5"/>
  </w:num>
  <w:num w:numId="31" w16cid:durableId="1888297015">
    <w:abstractNumId w:val="22"/>
  </w:num>
  <w:num w:numId="32" w16cid:durableId="1875121296">
    <w:abstractNumId w:val="22"/>
  </w:num>
  <w:num w:numId="33" w16cid:durableId="711199856">
    <w:abstractNumId w:val="22"/>
  </w:num>
  <w:num w:numId="34" w16cid:durableId="1914506562">
    <w:abstractNumId w:val="22"/>
  </w:num>
  <w:num w:numId="35" w16cid:durableId="1030836293">
    <w:abstractNumId w:val="46"/>
  </w:num>
  <w:num w:numId="36" w16cid:durableId="674503644">
    <w:abstractNumId w:val="12"/>
  </w:num>
  <w:num w:numId="37" w16cid:durableId="1888105176">
    <w:abstractNumId w:val="54"/>
  </w:num>
  <w:num w:numId="38" w16cid:durableId="342171148">
    <w:abstractNumId w:val="17"/>
  </w:num>
  <w:num w:numId="39" w16cid:durableId="1308512191">
    <w:abstractNumId w:val="45"/>
  </w:num>
  <w:num w:numId="40" w16cid:durableId="751203121">
    <w:abstractNumId w:val="9"/>
  </w:num>
  <w:num w:numId="41" w16cid:durableId="1001616379">
    <w:abstractNumId w:val="48"/>
  </w:num>
  <w:num w:numId="42" w16cid:durableId="157235028">
    <w:abstractNumId w:val="32"/>
  </w:num>
  <w:num w:numId="43" w16cid:durableId="1076974531">
    <w:abstractNumId w:val="30"/>
  </w:num>
  <w:num w:numId="44" w16cid:durableId="908157133">
    <w:abstractNumId w:val="11"/>
  </w:num>
  <w:num w:numId="45" w16cid:durableId="1528714069">
    <w:abstractNumId w:val="47"/>
  </w:num>
  <w:num w:numId="46" w16cid:durableId="1350448151">
    <w:abstractNumId w:val="38"/>
  </w:num>
  <w:num w:numId="47" w16cid:durableId="134489178">
    <w:abstractNumId w:val="27"/>
  </w:num>
  <w:num w:numId="48" w16cid:durableId="904069908">
    <w:abstractNumId w:val="35"/>
  </w:num>
  <w:num w:numId="49" w16cid:durableId="876355981">
    <w:abstractNumId w:val="21"/>
  </w:num>
  <w:num w:numId="50" w16cid:durableId="1270042179">
    <w:abstractNumId w:val="39"/>
  </w:num>
  <w:num w:numId="51" w16cid:durableId="610477338">
    <w:abstractNumId w:val="10"/>
  </w:num>
  <w:num w:numId="52" w16cid:durableId="1976401646">
    <w:abstractNumId w:val="4"/>
  </w:num>
  <w:num w:numId="53" w16cid:durableId="1718821827">
    <w:abstractNumId w:val="29"/>
  </w:num>
  <w:num w:numId="54" w16cid:durableId="404844148">
    <w:abstractNumId w:val="8"/>
  </w:num>
  <w:num w:numId="55" w16cid:durableId="819855879">
    <w:abstractNumId w:val="23"/>
  </w:num>
  <w:num w:numId="56" w16cid:durableId="362633569">
    <w:abstractNumId w:val="50"/>
  </w:num>
  <w:num w:numId="57" w16cid:durableId="1293904960">
    <w:abstractNumId w:val="2"/>
  </w:num>
  <w:num w:numId="58" w16cid:durableId="2072266967">
    <w:abstractNumId w:val="43"/>
  </w:num>
  <w:num w:numId="59" w16cid:durableId="1449856183">
    <w:abstractNumId w:val="20"/>
  </w:num>
  <w:num w:numId="60" w16cid:durableId="264847693">
    <w:abstractNumId w:val="1"/>
  </w:num>
  <w:num w:numId="61" w16cid:durableId="140850691">
    <w:abstractNumId w:val="41"/>
  </w:num>
  <w:num w:numId="62" w16cid:durableId="1923098859">
    <w:abstractNumId w:val="33"/>
  </w:num>
  <w:num w:numId="63" w16cid:durableId="134205186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B64CB"/>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5F6011"/>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E71BE"/>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97C0D"/>
    <w:rsid w:val="007A2FCC"/>
    <w:rsid w:val="007A508F"/>
    <w:rsid w:val="007B361F"/>
    <w:rsid w:val="007B69DC"/>
    <w:rsid w:val="007C200F"/>
    <w:rsid w:val="007C782E"/>
    <w:rsid w:val="007C7B21"/>
    <w:rsid w:val="007D079D"/>
    <w:rsid w:val="007D1391"/>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47DAE"/>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6B93"/>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1CAC"/>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64763901">
      <w:bodyDiv w:val="1"/>
      <w:marLeft w:val="0"/>
      <w:marRight w:val="0"/>
      <w:marTop w:val="0"/>
      <w:marBottom w:val="0"/>
      <w:divBdr>
        <w:top w:val="none" w:sz="0" w:space="0" w:color="auto"/>
        <w:left w:val="none" w:sz="0" w:space="0" w:color="auto"/>
        <w:bottom w:val="none" w:sz="0" w:space="0" w:color="auto"/>
        <w:right w:val="none" w:sz="0" w:space="0" w:color="auto"/>
      </w:divBdr>
    </w:div>
    <w:div w:id="9733945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1F3B0D"/>
    <w:rsid w:val="00263F00"/>
    <w:rsid w:val="00363C37"/>
    <w:rsid w:val="00383C66"/>
    <w:rsid w:val="00383C88"/>
    <w:rsid w:val="00390CD5"/>
    <w:rsid w:val="00483F4E"/>
    <w:rsid w:val="004F1616"/>
    <w:rsid w:val="00503E58"/>
    <w:rsid w:val="00522502"/>
    <w:rsid w:val="005910A7"/>
    <w:rsid w:val="005F6011"/>
    <w:rsid w:val="00611E4E"/>
    <w:rsid w:val="006B0FBB"/>
    <w:rsid w:val="006C7BDF"/>
    <w:rsid w:val="006E71BE"/>
    <w:rsid w:val="00737BAE"/>
    <w:rsid w:val="00871B28"/>
    <w:rsid w:val="00912671"/>
    <w:rsid w:val="00930D52"/>
    <w:rsid w:val="009C1F3E"/>
    <w:rsid w:val="00B63AF7"/>
    <w:rsid w:val="00B92933"/>
    <w:rsid w:val="00C81A8B"/>
    <w:rsid w:val="00CB26E6"/>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2422</Words>
  <Characters>13321</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15712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2025-02-25T17:54:00Z</dcterms:created>
  <dcterms:modified xsi:type="dcterms:W3CDTF">2025-03-31T02:55:00Z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