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C0A35" w:rsidRDefault="00657883" w:rsidP="008C0A35">
      <w:pPr>
        <w:jc w:val="both"/>
        <w:rPr>
          <w:rFonts w:asciiTheme="minorHAnsi" w:hAnsiTheme="minorHAnsi" w:cstheme="minorHAnsi"/>
          <w:szCs w:val="22"/>
        </w:rPr>
      </w:pPr>
    </w:p>
    <w:p w14:paraId="7415A3EE" w14:textId="77777777" w:rsidR="001705EC" w:rsidRPr="008C0A35" w:rsidRDefault="001705EC" w:rsidP="008C0A35">
      <w:pPr>
        <w:jc w:val="both"/>
        <w:rPr>
          <w:rFonts w:asciiTheme="minorHAnsi" w:hAnsiTheme="minorHAnsi" w:cstheme="minorHAnsi"/>
          <w:szCs w:val="22"/>
        </w:rPr>
      </w:pPr>
    </w:p>
    <w:p w14:paraId="7D3EE362" w14:textId="77777777" w:rsidR="001705EC" w:rsidRPr="008C0A35" w:rsidRDefault="001705EC" w:rsidP="008C0A35">
      <w:pPr>
        <w:jc w:val="both"/>
        <w:rPr>
          <w:rFonts w:asciiTheme="minorHAnsi" w:hAnsiTheme="minorHAnsi" w:cstheme="minorHAnsi"/>
          <w:szCs w:val="22"/>
        </w:rPr>
      </w:pPr>
    </w:p>
    <w:p w14:paraId="0AC9AFE7" w14:textId="703A2746" w:rsidR="00452E7F" w:rsidRPr="008C0A35" w:rsidRDefault="00452E7F" w:rsidP="008C0A35">
      <w:pPr>
        <w:jc w:val="center"/>
        <w:rPr>
          <w:rFonts w:ascii="Calibri" w:hAnsi="Calibri" w:cs="Calibri"/>
          <w:color w:val="000000"/>
          <w:szCs w:val="22"/>
          <w:lang w:eastAsia="es-CL"/>
        </w:rPr>
      </w:pPr>
      <w:r w:rsidRPr="008C0A35">
        <w:rPr>
          <w:rFonts w:asciiTheme="minorHAnsi" w:hAnsiTheme="minorHAnsi" w:cstheme="minorHAnsi"/>
          <w:szCs w:val="22"/>
        </w:rPr>
        <w:t>Anexo A.</w:t>
      </w:r>
      <w:r w:rsidR="008C0A35" w:rsidRPr="008C0A35">
        <w:rPr>
          <w:rFonts w:asciiTheme="minorHAnsi" w:hAnsiTheme="minorHAnsi" w:cstheme="minorHAnsi"/>
          <w:szCs w:val="22"/>
        </w:rPr>
        <w:t>10</w:t>
      </w:r>
      <w:r w:rsidRPr="008C0A35">
        <w:rPr>
          <w:rFonts w:asciiTheme="minorHAnsi" w:hAnsiTheme="minorHAnsi" w:cstheme="minorHAnsi"/>
          <w:szCs w:val="22"/>
        </w:rPr>
        <w:t>.</w:t>
      </w:r>
      <w:r w:rsidR="008C0A35" w:rsidRPr="008C0A35">
        <w:rPr>
          <w:rFonts w:asciiTheme="minorHAnsi" w:hAnsiTheme="minorHAnsi" w:cstheme="minorHAnsi"/>
          <w:szCs w:val="22"/>
        </w:rPr>
        <w:t>2</w:t>
      </w:r>
      <w:r w:rsidRPr="008C0A35">
        <w:rPr>
          <w:rFonts w:asciiTheme="minorHAnsi" w:hAnsiTheme="minorHAnsi" w:cstheme="minorHAnsi"/>
          <w:szCs w:val="22"/>
        </w:rPr>
        <w:t xml:space="preserve">   </w:t>
      </w:r>
      <w:r w:rsidR="008C0A35" w:rsidRPr="008C0A35">
        <w:rPr>
          <w:rFonts w:ascii="Calibri" w:hAnsi="Calibri" w:cs="Calibri"/>
          <w:color w:val="000000"/>
          <w:szCs w:val="22"/>
          <w:lang w:eastAsia="es-CL"/>
        </w:rPr>
        <w:t>PROCEDIMIENTO DE MEJORA CONTINUA DEL SGSI</w:t>
      </w:r>
    </w:p>
    <w:p w14:paraId="30FD80A7" w14:textId="77777777" w:rsidR="006533BC" w:rsidRPr="008C0A35" w:rsidRDefault="006533BC" w:rsidP="008C0A35">
      <w:pPr>
        <w:spacing w:after="0"/>
        <w:ind w:left="1900" w:firstLine="380"/>
        <w:jc w:val="both"/>
        <w:rPr>
          <w:rFonts w:asciiTheme="minorHAnsi" w:hAnsiTheme="minorHAnsi" w:cstheme="minorHAnsi"/>
          <w:b/>
          <w:bCs/>
          <w:szCs w:val="22"/>
        </w:rPr>
      </w:pPr>
    </w:p>
    <w:tbl>
      <w:tblPr>
        <w:tblStyle w:val="Tablaconcuadrcula"/>
        <w:tblW w:w="10368" w:type="dxa"/>
        <w:tblInd w:w="-342" w:type="dxa"/>
        <w:tblLook w:val="04A0" w:firstRow="1" w:lastRow="0" w:firstColumn="1" w:lastColumn="0" w:noHBand="0" w:noVBand="1"/>
      </w:tblPr>
      <w:tblGrid>
        <w:gridCol w:w="1810"/>
        <w:gridCol w:w="1501"/>
        <w:gridCol w:w="1704"/>
        <w:gridCol w:w="2196"/>
        <w:gridCol w:w="979"/>
        <w:gridCol w:w="2178"/>
      </w:tblGrid>
      <w:tr w:rsidR="00452E7F" w:rsidRPr="008C0A35" w14:paraId="273B0C4B" w14:textId="77777777" w:rsidTr="00D02A7F">
        <w:tc>
          <w:tcPr>
            <w:tcW w:w="1908" w:type="dxa"/>
            <w:shd w:val="clear" w:color="auto" w:fill="D9D9D9" w:themeFill="background1" w:themeFillShade="D9"/>
          </w:tcPr>
          <w:p w14:paraId="083D5C51" w14:textId="77777777" w:rsidR="001705EC" w:rsidRPr="008C0A35" w:rsidRDefault="001705EC" w:rsidP="008C0A35">
            <w:pPr>
              <w:jc w:val="both"/>
              <w:rPr>
                <w:rFonts w:asciiTheme="minorHAnsi" w:hAnsiTheme="minorHAnsi" w:cstheme="minorHAnsi"/>
                <w:b/>
                <w:bCs/>
                <w:szCs w:val="22"/>
              </w:rPr>
            </w:pPr>
            <w:r w:rsidRPr="008C0A35">
              <w:rPr>
                <w:rFonts w:asciiTheme="minorHAnsi" w:hAnsiTheme="minorHAnsi" w:cstheme="minorHAnsi"/>
                <w:b/>
                <w:bCs/>
                <w:szCs w:val="22"/>
              </w:rPr>
              <w:t>Versión</w:t>
            </w:r>
          </w:p>
        </w:tc>
        <w:tc>
          <w:tcPr>
            <w:tcW w:w="1570" w:type="dxa"/>
            <w:shd w:val="clear" w:color="auto" w:fill="D9D9D9" w:themeFill="background1" w:themeFillShade="D9"/>
          </w:tcPr>
          <w:p w14:paraId="350B3424" w14:textId="77777777" w:rsidR="001705EC" w:rsidRPr="008C0A35" w:rsidRDefault="001705EC" w:rsidP="008C0A35">
            <w:pPr>
              <w:jc w:val="both"/>
              <w:rPr>
                <w:rFonts w:asciiTheme="minorHAnsi" w:hAnsiTheme="minorHAnsi" w:cstheme="minorHAnsi"/>
                <w:b/>
                <w:bCs/>
                <w:szCs w:val="22"/>
              </w:rPr>
            </w:pPr>
            <w:r w:rsidRPr="008C0A35">
              <w:rPr>
                <w:rFonts w:asciiTheme="minorHAnsi" w:hAnsiTheme="minorHAnsi" w:cstheme="minorHAnsi"/>
                <w:b/>
                <w:bCs/>
                <w:szCs w:val="22"/>
              </w:rPr>
              <w:t>Autor</w:t>
            </w:r>
          </w:p>
        </w:tc>
        <w:tc>
          <w:tcPr>
            <w:tcW w:w="1810" w:type="dxa"/>
            <w:shd w:val="clear" w:color="auto" w:fill="D9D9D9" w:themeFill="background1" w:themeFillShade="D9"/>
          </w:tcPr>
          <w:p w14:paraId="09DC2312" w14:textId="77777777" w:rsidR="001705EC" w:rsidRPr="008C0A35" w:rsidRDefault="001705EC" w:rsidP="008C0A35">
            <w:pPr>
              <w:jc w:val="both"/>
              <w:rPr>
                <w:rFonts w:asciiTheme="minorHAnsi" w:hAnsiTheme="minorHAnsi" w:cstheme="minorHAnsi"/>
                <w:b/>
                <w:bCs/>
                <w:szCs w:val="22"/>
              </w:rPr>
            </w:pPr>
            <w:r w:rsidRPr="008C0A35">
              <w:rPr>
                <w:rFonts w:asciiTheme="minorHAnsi" w:hAnsiTheme="minorHAnsi" w:cstheme="minorHAnsi"/>
                <w:b/>
                <w:bCs/>
                <w:szCs w:val="22"/>
              </w:rPr>
              <w:t>Revisado por</w:t>
            </w:r>
          </w:p>
        </w:tc>
        <w:tc>
          <w:tcPr>
            <w:tcW w:w="1811" w:type="dxa"/>
            <w:shd w:val="clear" w:color="auto" w:fill="D9D9D9" w:themeFill="background1" w:themeFillShade="D9"/>
          </w:tcPr>
          <w:p w14:paraId="5D3A22C8" w14:textId="77777777" w:rsidR="001705EC" w:rsidRPr="008C0A35" w:rsidRDefault="001705EC" w:rsidP="008C0A35">
            <w:pPr>
              <w:jc w:val="both"/>
              <w:rPr>
                <w:rFonts w:asciiTheme="minorHAnsi" w:hAnsiTheme="minorHAnsi" w:cstheme="minorHAnsi"/>
                <w:b/>
                <w:bCs/>
                <w:szCs w:val="22"/>
              </w:rPr>
            </w:pPr>
            <w:r w:rsidRPr="008C0A35">
              <w:rPr>
                <w:rFonts w:asciiTheme="minorHAnsi" w:hAnsiTheme="minorHAnsi" w:cstheme="minorHAnsi"/>
                <w:b/>
                <w:bCs/>
                <w:szCs w:val="22"/>
              </w:rPr>
              <w:t>Aprobado por</w:t>
            </w:r>
          </w:p>
        </w:tc>
        <w:tc>
          <w:tcPr>
            <w:tcW w:w="1019" w:type="dxa"/>
            <w:shd w:val="clear" w:color="auto" w:fill="D9D9D9" w:themeFill="background1" w:themeFillShade="D9"/>
          </w:tcPr>
          <w:p w14:paraId="1A554A2B" w14:textId="77777777" w:rsidR="001705EC" w:rsidRPr="008C0A35" w:rsidRDefault="001705EC" w:rsidP="008C0A35">
            <w:pPr>
              <w:jc w:val="both"/>
              <w:rPr>
                <w:rFonts w:asciiTheme="minorHAnsi" w:hAnsiTheme="minorHAnsi" w:cstheme="minorHAnsi"/>
                <w:b/>
                <w:bCs/>
                <w:szCs w:val="22"/>
              </w:rPr>
            </w:pPr>
            <w:r w:rsidRPr="008C0A35">
              <w:rPr>
                <w:rFonts w:asciiTheme="minorHAnsi" w:hAnsiTheme="minorHAnsi" w:cstheme="minorHAnsi"/>
                <w:b/>
                <w:bCs/>
                <w:szCs w:val="22"/>
              </w:rPr>
              <w:t>Fecha</w:t>
            </w:r>
          </w:p>
        </w:tc>
        <w:tc>
          <w:tcPr>
            <w:tcW w:w="2250" w:type="dxa"/>
            <w:shd w:val="clear" w:color="auto" w:fill="D9D9D9" w:themeFill="background1" w:themeFillShade="D9"/>
          </w:tcPr>
          <w:p w14:paraId="550B2298" w14:textId="77777777" w:rsidR="001705EC" w:rsidRPr="008C0A35" w:rsidRDefault="001705EC" w:rsidP="008C0A35">
            <w:pPr>
              <w:jc w:val="both"/>
              <w:rPr>
                <w:rFonts w:asciiTheme="minorHAnsi" w:hAnsiTheme="minorHAnsi" w:cstheme="minorHAnsi"/>
                <w:b/>
                <w:bCs/>
                <w:szCs w:val="22"/>
              </w:rPr>
            </w:pPr>
            <w:r w:rsidRPr="008C0A35">
              <w:rPr>
                <w:rFonts w:asciiTheme="minorHAnsi" w:hAnsiTheme="minorHAnsi" w:cstheme="minorHAnsi"/>
                <w:b/>
                <w:bCs/>
                <w:szCs w:val="22"/>
              </w:rPr>
              <w:t>Descripción</w:t>
            </w:r>
          </w:p>
        </w:tc>
      </w:tr>
      <w:tr w:rsidR="00452E7F" w:rsidRPr="008C0A35" w14:paraId="23D5C307" w14:textId="77777777" w:rsidTr="00D02A7F">
        <w:tc>
          <w:tcPr>
            <w:tcW w:w="1908" w:type="dxa"/>
          </w:tcPr>
          <w:p w14:paraId="1F536261" w14:textId="77777777" w:rsidR="001705EC" w:rsidRPr="008C0A35" w:rsidRDefault="001705EC" w:rsidP="008C0A35">
            <w:pPr>
              <w:jc w:val="both"/>
              <w:rPr>
                <w:rFonts w:asciiTheme="minorHAnsi" w:hAnsiTheme="minorHAnsi" w:cstheme="minorHAnsi"/>
                <w:szCs w:val="22"/>
              </w:rPr>
            </w:pPr>
            <w:bookmarkStart w:id="0" w:name="_Hlk187601937"/>
            <w:r w:rsidRPr="008C0A35">
              <w:rPr>
                <w:rFonts w:asciiTheme="minorHAnsi" w:hAnsiTheme="minorHAnsi" w:cstheme="minorHAnsi"/>
                <w:szCs w:val="22"/>
              </w:rPr>
              <w:t>V1.0</w:t>
            </w:r>
          </w:p>
        </w:tc>
        <w:tc>
          <w:tcPr>
            <w:tcW w:w="1570" w:type="dxa"/>
          </w:tcPr>
          <w:p w14:paraId="5CF1E181" w14:textId="23D50EDA" w:rsidR="001705EC" w:rsidRPr="008C0A35" w:rsidRDefault="001637D6" w:rsidP="008C0A35">
            <w:pPr>
              <w:jc w:val="both"/>
              <w:rPr>
                <w:rFonts w:asciiTheme="minorHAnsi" w:hAnsiTheme="minorHAnsi" w:cstheme="minorHAnsi"/>
                <w:szCs w:val="22"/>
              </w:rPr>
            </w:pPr>
            <w:r w:rsidRPr="008C0A35">
              <w:rPr>
                <w:rFonts w:asciiTheme="minorHAnsi" w:hAnsiTheme="minorHAnsi" w:cstheme="minorHAnsi"/>
                <w:szCs w:val="22"/>
              </w:rPr>
              <w:t>Auditorex Chile</w:t>
            </w:r>
          </w:p>
        </w:tc>
        <w:tc>
          <w:tcPr>
            <w:tcW w:w="1810" w:type="dxa"/>
          </w:tcPr>
          <w:p w14:paraId="48DCB9A0" w14:textId="77777777" w:rsidR="001637D6" w:rsidRPr="008C0A35" w:rsidRDefault="001637D6" w:rsidP="008C0A35">
            <w:pPr>
              <w:jc w:val="both"/>
              <w:rPr>
                <w:rFonts w:asciiTheme="minorHAnsi" w:hAnsiTheme="minorHAnsi" w:cstheme="minorHAnsi"/>
                <w:szCs w:val="22"/>
              </w:rPr>
            </w:pPr>
            <w:r w:rsidRPr="008C0A35">
              <w:rPr>
                <w:rFonts w:asciiTheme="minorHAnsi" w:hAnsiTheme="minorHAnsi" w:cstheme="minorHAnsi"/>
                <w:szCs w:val="22"/>
              </w:rPr>
              <w:t>Mauricio Antonio Colomera Villarroel</w:t>
            </w:r>
          </w:p>
          <w:p w14:paraId="4664E988" w14:textId="77777777" w:rsidR="001705EC" w:rsidRPr="008C0A35" w:rsidRDefault="001705EC" w:rsidP="008C0A35">
            <w:pPr>
              <w:jc w:val="both"/>
              <w:rPr>
                <w:rFonts w:asciiTheme="minorHAnsi" w:hAnsiTheme="minorHAnsi" w:cstheme="minorHAnsi"/>
                <w:szCs w:val="22"/>
              </w:rPr>
            </w:pPr>
          </w:p>
        </w:tc>
        <w:tc>
          <w:tcPr>
            <w:tcW w:w="1811" w:type="dxa"/>
          </w:tcPr>
          <w:p w14:paraId="285FCDD1" w14:textId="0FAEB9DF" w:rsidR="001705EC" w:rsidRPr="008C0A35" w:rsidRDefault="00452E7F" w:rsidP="008C0A35">
            <w:pPr>
              <w:jc w:val="both"/>
              <w:rPr>
                <w:rFonts w:asciiTheme="minorHAnsi" w:hAnsiTheme="minorHAnsi" w:cstheme="minorHAnsi"/>
                <w:szCs w:val="22"/>
              </w:rPr>
            </w:pPr>
            <w:r w:rsidRPr="008C0A35">
              <w:rPr>
                <w:rFonts w:asciiTheme="minorHAnsi" w:hAnsiTheme="minorHAnsi" w:cstheme="minorHAnsi"/>
                <w:noProof/>
                <w:szCs w:val="22"/>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C0A35" w:rsidRDefault="00D02999" w:rsidP="008C0A35">
            <w:pPr>
              <w:jc w:val="both"/>
              <w:rPr>
                <w:rFonts w:asciiTheme="minorHAnsi" w:hAnsiTheme="minorHAnsi" w:cstheme="minorHAnsi"/>
                <w:szCs w:val="22"/>
              </w:rPr>
            </w:pPr>
            <w:r w:rsidRPr="008C0A35">
              <w:rPr>
                <w:rFonts w:asciiTheme="minorHAnsi" w:hAnsiTheme="minorHAnsi" w:cstheme="minorHAnsi"/>
                <w:szCs w:val="22"/>
              </w:rPr>
              <w:t>12-01-2024</w:t>
            </w:r>
          </w:p>
        </w:tc>
        <w:tc>
          <w:tcPr>
            <w:tcW w:w="2250" w:type="dxa"/>
          </w:tcPr>
          <w:p w14:paraId="32C2C954" w14:textId="77777777" w:rsidR="008C0A35" w:rsidRPr="008C0A35" w:rsidRDefault="008C0A35" w:rsidP="008C0A35">
            <w:pPr>
              <w:jc w:val="both"/>
              <w:rPr>
                <w:rFonts w:ascii="Calibri" w:hAnsi="Calibri" w:cs="Calibri"/>
                <w:color w:val="000000"/>
                <w:szCs w:val="22"/>
              </w:rPr>
            </w:pPr>
            <w:r w:rsidRPr="008C0A35">
              <w:rPr>
                <w:rFonts w:ascii="Calibri" w:hAnsi="Calibri" w:cs="Calibri"/>
                <w:color w:val="000000"/>
                <w:szCs w:val="22"/>
              </w:rPr>
              <w:t>PROCEDIMIENTO DE MEJORA CONTINUA DEL SGSI</w:t>
            </w:r>
          </w:p>
          <w:p w14:paraId="6401603C" w14:textId="6E77CC89" w:rsidR="001705EC" w:rsidRPr="008C0A35" w:rsidRDefault="001705EC" w:rsidP="008C0A35">
            <w:pPr>
              <w:pStyle w:val="NormalWeb"/>
              <w:jc w:val="both"/>
              <w:rPr>
                <w:rFonts w:asciiTheme="minorHAnsi" w:hAnsiTheme="minorHAnsi" w:cstheme="minorHAnsi"/>
                <w:sz w:val="22"/>
                <w:szCs w:val="22"/>
                <w:lang w:val="es-CL"/>
              </w:rPr>
            </w:pPr>
          </w:p>
        </w:tc>
      </w:tr>
      <w:bookmarkEnd w:id="0"/>
      <w:tr w:rsidR="00452E7F" w:rsidRPr="008C0A35" w14:paraId="2A38A0FB" w14:textId="77777777" w:rsidTr="00D02A7F">
        <w:tc>
          <w:tcPr>
            <w:tcW w:w="1908" w:type="dxa"/>
          </w:tcPr>
          <w:p w14:paraId="5AA7A63A" w14:textId="77777777" w:rsidR="001705EC" w:rsidRPr="008C0A35" w:rsidRDefault="001705EC" w:rsidP="008C0A35">
            <w:pPr>
              <w:jc w:val="both"/>
              <w:rPr>
                <w:rFonts w:asciiTheme="minorHAnsi" w:hAnsiTheme="minorHAnsi" w:cstheme="minorHAnsi"/>
                <w:szCs w:val="22"/>
              </w:rPr>
            </w:pPr>
          </w:p>
        </w:tc>
        <w:tc>
          <w:tcPr>
            <w:tcW w:w="1570" w:type="dxa"/>
          </w:tcPr>
          <w:p w14:paraId="6CA0F23C" w14:textId="77777777" w:rsidR="001705EC" w:rsidRPr="008C0A35" w:rsidRDefault="001705EC" w:rsidP="008C0A35">
            <w:pPr>
              <w:jc w:val="both"/>
              <w:rPr>
                <w:rFonts w:asciiTheme="minorHAnsi" w:hAnsiTheme="minorHAnsi" w:cstheme="minorHAnsi"/>
                <w:szCs w:val="22"/>
              </w:rPr>
            </w:pPr>
          </w:p>
        </w:tc>
        <w:tc>
          <w:tcPr>
            <w:tcW w:w="1810" w:type="dxa"/>
          </w:tcPr>
          <w:p w14:paraId="7579C89A" w14:textId="77777777" w:rsidR="001705EC" w:rsidRPr="008C0A35" w:rsidRDefault="001705EC" w:rsidP="008C0A35">
            <w:pPr>
              <w:jc w:val="both"/>
              <w:rPr>
                <w:rFonts w:asciiTheme="minorHAnsi" w:hAnsiTheme="minorHAnsi" w:cstheme="minorHAnsi"/>
                <w:szCs w:val="22"/>
              </w:rPr>
            </w:pPr>
          </w:p>
        </w:tc>
        <w:tc>
          <w:tcPr>
            <w:tcW w:w="1811" w:type="dxa"/>
          </w:tcPr>
          <w:p w14:paraId="5C11AFDC" w14:textId="77777777" w:rsidR="001705EC" w:rsidRPr="008C0A35" w:rsidRDefault="001705EC" w:rsidP="008C0A35">
            <w:pPr>
              <w:jc w:val="both"/>
              <w:rPr>
                <w:rFonts w:asciiTheme="minorHAnsi" w:hAnsiTheme="minorHAnsi" w:cstheme="minorHAnsi"/>
                <w:szCs w:val="22"/>
              </w:rPr>
            </w:pPr>
          </w:p>
        </w:tc>
        <w:tc>
          <w:tcPr>
            <w:tcW w:w="1019" w:type="dxa"/>
          </w:tcPr>
          <w:p w14:paraId="2D9464C3" w14:textId="77777777" w:rsidR="001705EC" w:rsidRPr="008C0A35" w:rsidRDefault="001705EC" w:rsidP="008C0A35">
            <w:pPr>
              <w:jc w:val="both"/>
              <w:rPr>
                <w:rFonts w:asciiTheme="minorHAnsi" w:hAnsiTheme="minorHAnsi" w:cstheme="minorHAnsi"/>
                <w:szCs w:val="22"/>
              </w:rPr>
            </w:pPr>
          </w:p>
        </w:tc>
        <w:tc>
          <w:tcPr>
            <w:tcW w:w="2250" w:type="dxa"/>
          </w:tcPr>
          <w:p w14:paraId="30EA5E83" w14:textId="77777777" w:rsidR="001705EC" w:rsidRPr="008C0A35" w:rsidRDefault="001705EC" w:rsidP="008C0A35">
            <w:pPr>
              <w:jc w:val="both"/>
              <w:rPr>
                <w:rFonts w:asciiTheme="minorHAnsi" w:hAnsiTheme="minorHAnsi" w:cstheme="minorHAnsi"/>
                <w:szCs w:val="22"/>
              </w:rPr>
            </w:pPr>
          </w:p>
        </w:tc>
      </w:tr>
      <w:tr w:rsidR="00452E7F" w:rsidRPr="008C0A35" w14:paraId="5D084FF7" w14:textId="77777777" w:rsidTr="00D02A7F">
        <w:tc>
          <w:tcPr>
            <w:tcW w:w="1908" w:type="dxa"/>
          </w:tcPr>
          <w:p w14:paraId="59848B68" w14:textId="77777777" w:rsidR="001705EC" w:rsidRPr="008C0A35" w:rsidRDefault="001705EC" w:rsidP="008C0A35">
            <w:pPr>
              <w:jc w:val="both"/>
              <w:rPr>
                <w:rFonts w:asciiTheme="minorHAnsi" w:hAnsiTheme="minorHAnsi" w:cstheme="minorHAnsi"/>
                <w:szCs w:val="22"/>
              </w:rPr>
            </w:pPr>
          </w:p>
        </w:tc>
        <w:tc>
          <w:tcPr>
            <w:tcW w:w="1570" w:type="dxa"/>
          </w:tcPr>
          <w:p w14:paraId="4CE506E6" w14:textId="77777777" w:rsidR="001705EC" w:rsidRPr="008C0A35" w:rsidRDefault="001705EC" w:rsidP="008C0A35">
            <w:pPr>
              <w:jc w:val="both"/>
              <w:rPr>
                <w:rFonts w:asciiTheme="minorHAnsi" w:hAnsiTheme="minorHAnsi" w:cstheme="minorHAnsi"/>
                <w:szCs w:val="22"/>
              </w:rPr>
            </w:pPr>
          </w:p>
        </w:tc>
        <w:tc>
          <w:tcPr>
            <w:tcW w:w="1810" w:type="dxa"/>
          </w:tcPr>
          <w:p w14:paraId="09467189" w14:textId="77777777" w:rsidR="001705EC" w:rsidRPr="008C0A35" w:rsidRDefault="001705EC" w:rsidP="008C0A35">
            <w:pPr>
              <w:jc w:val="both"/>
              <w:rPr>
                <w:rFonts w:asciiTheme="minorHAnsi" w:hAnsiTheme="minorHAnsi" w:cstheme="minorHAnsi"/>
                <w:szCs w:val="22"/>
              </w:rPr>
            </w:pPr>
          </w:p>
        </w:tc>
        <w:tc>
          <w:tcPr>
            <w:tcW w:w="1811" w:type="dxa"/>
          </w:tcPr>
          <w:p w14:paraId="6E7E4F49" w14:textId="77777777" w:rsidR="001705EC" w:rsidRPr="008C0A35" w:rsidRDefault="001705EC" w:rsidP="008C0A35">
            <w:pPr>
              <w:jc w:val="both"/>
              <w:rPr>
                <w:rFonts w:asciiTheme="minorHAnsi" w:hAnsiTheme="minorHAnsi" w:cstheme="minorHAnsi"/>
                <w:szCs w:val="22"/>
              </w:rPr>
            </w:pPr>
          </w:p>
        </w:tc>
        <w:tc>
          <w:tcPr>
            <w:tcW w:w="1019" w:type="dxa"/>
          </w:tcPr>
          <w:p w14:paraId="7EB49E66" w14:textId="77777777" w:rsidR="001705EC" w:rsidRPr="008C0A35" w:rsidRDefault="001705EC" w:rsidP="008C0A35">
            <w:pPr>
              <w:jc w:val="both"/>
              <w:rPr>
                <w:rFonts w:asciiTheme="minorHAnsi" w:hAnsiTheme="minorHAnsi" w:cstheme="minorHAnsi"/>
                <w:szCs w:val="22"/>
              </w:rPr>
            </w:pPr>
          </w:p>
        </w:tc>
        <w:tc>
          <w:tcPr>
            <w:tcW w:w="2250" w:type="dxa"/>
          </w:tcPr>
          <w:p w14:paraId="722DAB0F" w14:textId="77777777" w:rsidR="001705EC" w:rsidRPr="008C0A35" w:rsidRDefault="001705EC" w:rsidP="008C0A35">
            <w:pPr>
              <w:jc w:val="both"/>
              <w:rPr>
                <w:rFonts w:asciiTheme="minorHAnsi" w:hAnsiTheme="minorHAnsi" w:cstheme="minorHAnsi"/>
                <w:szCs w:val="22"/>
              </w:rPr>
            </w:pPr>
          </w:p>
        </w:tc>
      </w:tr>
      <w:tr w:rsidR="001705EC" w:rsidRPr="008C0A35" w14:paraId="7875EE64" w14:textId="77777777" w:rsidTr="00D02A7F">
        <w:tc>
          <w:tcPr>
            <w:tcW w:w="1908" w:type="dxa"/>
            <w:shd w:val="clear" w:color="auto" w:fill="D9D9D9" w:themeFill="background1" w:themeFillShade="D9"/>
          </w:tcPr>
          <w:p w14:paraId="22F097C4" w14:textId="77777777" w:rsidR="001705EC" w:rsidRPr="008C0A35" w:rsidRDefault="001705EC" w:rsidP="008C0A35">
            <w:pPr>
              <w:jc w:val="both"/>
              <w:rPr>
                <w:rFonts w:asciiTheme="minorHAnsi" w:hAnsiTheme="minorHAnsi" w:cstheme="minorHAnsi"/>
                <w:szCs w:val="22"/>
              </w:rPr>
            </w:pPr>
            <w:r w:rsidRPr="008C0A35">
              <w:rPr>
                <w:rFonts w:asciiTheme="minorHAnsi" w:hAnsiTheme="minorHAnsi" w:cstheme="minorHAnsi"/>
                <w:szCs w:val="22"/>
              </w:rPr>
              <w:t>Número de referencia del documento</w:t>
            </w:r>
          </w:p>
        </w:tc>
        <w:tc>
          <w:tcPr>
            <w:tcW w:w="3380" w:type="dxa"/>
            <w:gridSpan w:val="2"/>
          </w:tcPr>
          <w:p w14:paraId="02FAF64D" w14:textId="4CC2C746" w:rsidR="001705EC" w:rsidRPr="008C0A35" w:rsidRDefault="008C0A35" w:rsidP="008C0A35">
            <w:pPr>
              <w:jc w:val="both"/>
              <w:rPr>
                <w:rFonts w:asciiTheme="minorHAnsi" w:hAnsiTheme="minorHAnsi" w:cstheme="minorHAnsi"/>
                <w:szCs w:val="22"/>
              </w:rPr>
            </w:pPr>
            <w:r w:rsidRPr="008C0A35">
              <w:rPr>
                <w:rFonts w:asciiTheme="minorHAnsi" w:hAnsiTheme="minorHAnsi" w:cstheme="minorHAnsi"/>
                <w:szCs w:val="22"/>
              </w:rPr>
              <w:t>A.10.2</w:t>
            </w:r>
          </w:p>
        </w:tc>
        <w:tc>
          <w:tcPr>
            <w:tcW w:w="2830" w:type="dxa"/>
            <w:gridSpan w:val="2"/>
            <w:shd w:val="clear" w:color="auto" w:fill="D9D9D9" w:themeFill="background1" w:themeFillShade="D9"/>
          </w:tcPr>
          <w:p w14:paraId="70C78F02" w14:textId="77777777" w:rsidR="001705EC" w:rsidRPr="008C0A35" w:rsidRDefault="001705EC" w:rsidP="008C0A35">
            <w:pPr>
              <w:jc w:val="both"/>
              <w:rPr>
                <w:rFonts w:asciiTheme="minorHAnsi" w:hAnsiTheme="minorHAnsi" w:cstheme="minorHAnsi"/>
                <w:szCs w:val="22"/>
              </w:rPr>
            </w:pPr>
            <w:r w:rsidRPr="008C0A35">
              <w:rPr>
                <w:rFonts w:asciiTheme="minorHAnsi" w:hAnsiTheme="minorHAnsi" w:cstheme="minorHAnsi"/>
                <w:szCs w:val="22"/>
              </w:rPr>
              <w:t>Nivel de clasificación</w:t>
            </w:r>
          </w:p>
        </w:tc>
        <w:sdt>
          <w:sdtPr>
            <w:rPr>
              <w:rFonts w:asciiTheme="minorHAnsi" w:hAnsiTheme="minorHAnsi" w:cstheme="minorHAnsi"/>
              <w:szCs w:val="22"/>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C0A35" w:rsidRDefault="001705EC" w:rsidP="008C0A35">
                <w:pPr>
                  <w:jc w:val="both"/>
                  <w:rPr>
                    <w:rFonts w:asciiTheme="minorHAnsi" w:hAnsiTheme="minorHAnsi" w:cstheme="minorHAnsi"/>
                    <w:szCs w:val="22"/>
                  </w:rPr>
                </w:pPr>
                <w:r w:rsidRPr="008C0A35">
                  <w:rPr>
                    <w:rFonts w:asciiTheme="minorHAnsi" w:hAnsiTheme="minorHAnsi" w:cstheme="minorHAnsi"/>
                    <w:szCs w:val="22"/>
                  </w:rPr>
                  <w:t>Confidencial</w:t>
                </w:r>
              </w:p>
            </w:tc>
          </w:sdtContent>
        </w:sdt>
      </w:tr>
    </w:tbl>
    <w:p w14:paraId="5F47735A" w14:textId="77777777" w:rsidR="001705EC" w:rsidRPr="008C0A35" w:rsidRDefault="001705EC" w:rsidP="008C0A35">
      <w:pPr>
        <w:jc w:val="both"/>
        <w:rPr>
          <w:rFonts w:asciiTheme="minorHAnsi" w:hAnsiTheme="minorHAnsi" w:cstheme="minorHAnsi"/>
          <w:szCs w:val="22"/>
        </w:rPr>
      </w:pPr>
    </w:p>
    <w:p w14:paraId="5EE8924C" w14:textId="4A6D08E8" w:rsidR="00452E7F" w:rsidRPr="008C0A35" w:rsidRDefault="004F70F1" w:rsidP="008C0A35">
      <w:pPr>
        <w:pStyle w:val="NormalWeb"/>
        <w:jc w:val="both"/>
        <w:rPr>
          <w:rFonts w:asciiTheme="minorHAnsi" w:hAnsiTheme="minorHAnsi" w:cstheme="minorHAnsi"/>
          <w:sz w:val="22"/>
          <w:szCs w:val="22"/>
          <w:lang w:val="es-CL"/>
        </w:rPr>
      </w:pPr>
      <w:r>
        <w:rPr>
          <w:rFonts w:asciiTheme="minorHAnsi" w:hAnsiTheme="minorHAnsi" w:cstheme="minorHAnsi"/>
          <w:noProof/>
          <w:sz w:val="22"/>
          <w:szCs w:val="22"/>
          <w:lang w:val="es-CL"/>
        </w:rPr>
        <w:drawing>
          <wp:inline distT="0" distB="0" distL="0" distR="0" wp14:anchorId="53FB7FC0" wp14:editId="319962FF">
            <wp:extent cx="3124636" cy="1743318"/>
            <wp:effectExtent l="0" t="0" r="0" b="9525"/>
            <wp:docPr id="119890450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450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8C0A35">
        <w:rPr>
          <w:rFonts w:asciiTheme="minorHAnsi" w:hAnsiTheme="minorHAnsi" w:cstheme="minorHAnsi"/>
          <w:sz w:val="22"/>
          <w:szCs w:val="22"/>
          <w:lang w:val="es-CL"/>
        </w:rPr>
        <w:br w:type="page"/>
      </w:r>
    </w:p>
    <w:p w14:paraId="22EA32E5"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3519D59C" w14:textId="77777777" w:rsidR="008C0A35" w:rsidRPr="008C0A35" w:rsidRDefault="008C0A35" w:rsidP="008C0A35">
      <w:pPr>
        <w:pStyle w:val="NormalWeb"/>
        <w:numPr>
          <w:ilvl w:val="0"/>
          <w:numId w:val="4"/>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ÍNDICE</w:t>
      </w:r>
    </w:p>
    <w:p w14:paraId="3B249751"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Objetivo del Procedimiento</w:t>
      </w:r>
    </w:p>
    <w:p w14:paraId="05CDC982"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Alcance</w:t>
      </w:r>
    </w:p>
    <w:p w14:paraId="42B833DA"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Responsabilidades</w:t>
      </w:r>
    </w:p>
    <w:p w14:paraId="2FAA11CE"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Ciclo de Mejora Continua</w:t>
      </w:r>
    </w:p>
    <w:p w14:paraId="2A79DCFC"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Evaluación de Resultados y Acciones Correctivas</w:t>
      </w:r>
    </w:p>
    <w:p w14:paraId="201F7E86"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Documentación y Seguimiento</w:t>
      </w:r>
    </w:p>
    <w:p w14:paraId="73459F63" w14:textId="77777777" w:rsidR="008C0A35" w:rsidRPr="008C0A35" w:rsidRDefault="008C0A35" w:rsidP="008C0A35">
      <w:pPr>
        <w:pStyle w:val="NormalWeb"/>
        <w:numPr>
          <w:ilvl w:val="0"/>
          <w:numId w:val="60"/>
        </w:numPr>
        <w:jc w:val="both"/>
        <w:rPr>
          <w:rFonts w:asciiTheme="minorHAnsi" w:hAnsiTheme="minorHAnsi" w:cstheme="minorHAnsi"/>
          <w:b/>
          <w:bCs/>
          <w:szCs w:val="22"/>
          <w:lang w:val="es-CL"/>
        </w:rPr>
      </w:pPr>
      <w:r w:rsidRPr="008C0A35">
        <w:rPr>
          <w:rFonts w:asciiTheme="minorHAnsi" w:hAnsiTheme="minorHAnsi" w:cstheme="minorHAnsi"/>
          <w:b/>
          <w:bCs/>
          <w:szCs w:val="22"/>
          <w:lang w:val="es-CL"/>
        </w:rPr>
        <w:t>Anexo A: Control de Mejora Continua en la Norma ISO 27001:2022</w:t>
      </w:r>
    </w:p>
    <w:p w14:paraId="51008875" w14:textId="08CA3F03" w:rsidR="008C0A35" w:rsidRPr="008C0A35" w:rsidRDefault="008C0A35" w:rsidP="008C0A35">
      <w:pPr>
        <w:pStyle w:val="NormalWeb"/>
        <w:ind w:left="432"/>
        <w:jc w:val="both"/>
        <w:rPr>
          <w:rFonts w:asciiTheme="minorHAnsi" w:hAnsiTheme="minorHAnsi" w:cstheme="minorHAnsi"/>
          <w:b/>
          <w:bCs/>
          <w:szCs w:val="22"/>
          <w:lang w:val="es-CL"/>
        </w:rPr>
      </w:pPr>
    </w:p>
    <w:p w14:paraId="191C0B11"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57AE0A7B"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64B48E2B"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23966718"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33D09824"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3C51AF10"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6C59B99E"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3C496C70"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7B43FC57"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4AF73F77"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6A7F0673"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4E78F21E"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79DE160D"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37CE3E58"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2752ADE2"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630DEC3A"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47CB51BF" w14:textId="77777777" w:rsidR="008C0A35" w:rsidRPr="008C0A35" w:rsidRDefault="008C0A35" w:rsidP="008C0A35">
      <w:pPr>
        <w:pStyle w:val="NormalWeb"/>
        <w:ind w:left="432"/>
        <w:jc w:val="both"/>
        <w:rPr>
          <w:rFonts w:asciiTheme="minorHAnsi" w:hAnsiTheme="minorHAnsi" w:cstheme="minorHAnsi"/>
          <w:b/>
          <w:bCs/>
          <w:sz w:val="22"/>
          <w:szCs w:val="22"/>
          <w:lang w:val="es-CL"/>
        </w:rPr>
      </w:pPr>
    </w:p>
    <w:p w14:paraId="7954FE78" w14:textId="0963C530" w:rsidR="008C0A35" w:rsidRPr="008C0A35" w:rsidRDefault="008C0A35" w:rsidP="008C0A35">
      <w:pPr>
        <w:pStyle w:val="NormalWeb"/>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lastRenderedPageBreak/>
        <w:t>1. OBJETIVO DEL PROCEDIMIENTO</w:t>
      </w:r>
    </w:p>
    <w:p w14:paraId="4CB34B89"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Este procedimiento tiene como objetivo establecer los lineamientos para garantizar la mejora continua del Sistema de Gestión de Seguridad de la Información (SGSI) en Anacondaweb. Esto se logra a través de la identificación, evaluación e implementación de acciones correctivas y preventivas. Un ejemplo de acción correctiva implementada anteriormente es la actualización de controles de acceso después de identificar accesos no autorizados a información confidencial. En cuanto a acciones preventivas, se han llevado a cabo simulaciones periódicas de incidentes de seguridad, lo que ha permitido detectar posibles fallos en los sistemas y corregirlos antes de que ocurra una brecha real. basadas en los resultados de auditorías, revisiones de la dirección, monitoreos y retroalimentación de partes interesadas.</w:t>
      </w:r>
    </w:p>
    <w:p w14:paraId="1565B00C"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La mejora continua permite mantener los procesos de seguridad actualizados frente a cambios en las normativas, tecnologías o amenazas emergentes. Un ejemplo relevante es la actualización de procedimientos tras la implementación de la normativa GDPR, que obligó a modificar políticas de privacidad y gestión de datos personales. También, avances en tecnologías de cifrado llevaron a ajustes en los protocolos de seguridad para proteger mejor las comunicaciones internas. Esto asegura una respuesta efectiva ante nuevos desafíos de seguridad y fortalece la capacidad de adaptación de la organización.</w:t>
      </w:r>
    </w:p>
    <w:p w14:paraId="791F77B3"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Asimismo, el procedimiento busca fomentar una cultura organizacional orientada a la mejora constante, involucrando a todos los departamentos y áreas clave. Cada miembro del equipo debe estar comprometido con la identificación de oportunidades de mejora y la ejecución de medidas correctivas.</w:t>
      </w:r>
    </w:p>
    <w:p w14:paraId="474008D6"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El cumplimiento de este procedimiento está alineado con los objetivos estratégicos de la organización, tales como el fortalecimiento de la seguridad de la información, la reducción de riesgos operativos, el cumplimiento de normativas legales y contractuales, y la mejora de la eficiencia en los procesos relacionados con la gestión de activos de información. garantizando que las mejoras implementadas contribuyan al desarrollo sostenible y a la protección integral de los activos de información.</w:t>
      </w:r>
    </w:p>
    <w:p w14:paraId="7E9FC87D"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Este procedimiento tiene como objetivo establecer los lineamientos para garantizar la mejora continua del Sistema de Gestión de Seguridad de la Información (SGSI) en Anacondaweb. Esto se logra a través de la identificación, evaluación e implementación de acciones correctivas y preventivas basadas en los resultados de auditorías, revisiones de la dirección, monitoreos y retroalimentación de partes interesadas.</w:t>
      </w:r>
    </w:p>
    <w:p w14:paraId="52DB5FF1" w14:textId="77777777" w:rsidR="008C0A35" w:rsidRPr="008C0A35" w:rsidRDefault="008C0A35" w:rsidP="008C0A35">
      <w:pPr>
        <w:pStyle w:val="NormalWeb"/>
        <w:ind w:left="432"/>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t>2. ALCANCE</w:t>
      </w:r>
    </w:p>
    <w:p w14:paraId="44FC7632"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El procedimiento es aplicable a todos los procesos, áreas y activos de información gestionados dentro del SGSI. Un activo de información se define como cualquier recurso que contenga, procese o soporte datos importantes para la organización, incluyendo bases de datos, archivos, sistemas de gestión documental, y equipos físicos como servidores o estaciones de trabajo. Incluye las actividades de auditoría interna y externa, revisiones periódicas por la alta dirección, con una frecuencia estándar recomendada de al menos una vez al año para auditorías internas y semestralmente para las revisiones de la dirección. análisis de indicadores de rendimiento (</w:t>
      </w:r>
      <w:proofErr w:type="spellStart"/>
      <w:r w:rsidRPr="008C0A35">
        <w:rPr>
          <w:rFonts w:asciiTheme="minorHAnsi" w:hAnsiTheme="minorHAnsi" w:cstheme="minorHAnsi"/>
          <w:sz w:val="22"/>
          <w:szCs w:val="22"/>
          <w:lang w:val="es-CL"/>
        </w:rPr>
        <w:t>KPIs</w:t>
      </w:r>
      <w:proofErr w:type="spellEnd"/>
      <w:r w:rsidRPr="008C0A35">
        <w:rPr>
          <w:rFonts w:asciiTheme="minorHAnsi" w:hAnsiTheme="minorHAnsi" w:cstheme="minorHAnsi"/>
          <w:sz w:val="22"/>
          <w:szCs w:val="22"/>
          <w:lang w:val="es-CL"/>
        </w:rPr>
        <w:t>) y evaluación de riesgos. También abarca todas las mejoras derivadas de incidentes de seguridad y no conformidades detectadas.</w:t>
      </w:r>
    </w:p>
    <w:p w14:paraId="244F273F"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lastRenderedPageBreak/>
        <w:t>Las áreas operativas que manejan información sensible, como tecnología, administración y operaciones, están especialmente priorizadas dentro de este alcance. Sin embargo, las áreas de soporte, aunque no directamente relacionadas con la gestión de activos críticos, también participan en la mejora continua para asegurar un enfoque integrado.</w:t>
      </w:r>
    </w:p>
    <w:p w14:paraId="0BA14F84"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Este procedimiento abarca tanto los procesos internos de mejora como las obligaciones contractuales con clientes y terceros, tales como cumplir con acuerdos de nivel de servicio (</w:t>
      </w:r>
      <w:proofErr w:type="spellStart"/>
      <w:r w:rsidRPr="008C0A35">
        <w:rPr>
          <w:rFonts w:asciiTheme="minorHAnsi" w:hAnsiTheme="minorHAnsi" w:cstheme="minorHAnsi"/>
          <w:sz w:val="22"/>
          <w:szCs w:val="22"/>
          <w:lang w:val="es-CL"/>
        </w:rPr>
        <w:t>SLAs</w:t>
      </w:r>
      <w:proofErr w:type="spellEnd"/>
      <w:r w:rsidRPr="008C0A35">
        <w:rPr>
          <w:rFonts w:asciiTheme="minorHAnsi" w:hAnsiTheme="minorHAnsi" w:cstheme="minorHAnsi"/>
          <w:sz w:val="22"/>
          <w:szCs w:val="22"/>
          <w:lang w:val="es-CL"/>
        </w:rPr>
        <w:t>), proteger la confidencialidad de la información mediante contratos de no divulgación (</w:t>
      </w:r>
      <w:proofErr w:type="spellStart"/>
      <w:r w:rsidRPr="008C0A35">
        <w:rPr>
          <w:rFonts w:asciiTheme="minorHAnsi" w:hAnsiTheme="minorHAnsi" w:cstheme="minorHAnsi"/>
          <w:sz w:val="22"/>
          <w:szCs w:val="22"/>
          <w:lang w:val="es-CL"/>
        </w:rPr>
        <w:t>NDAs</w:t>
      </w:r>
      <w:proofErr w:type="spellEnd"/>
      <w:r w:rsidRPr="008C0A35">
        <w:rPr>
          <w:rFonts w:asciiTheme="minorHAnsi" w:hAnsiTheme="minorHAnsi" w:cstheme="minorHAnsi"/>
          <w:sz w:val="22"/>
          <w:szCs w:val="22"/>
          <w:lang w:val="es-CL"/>
        </w:rPr>
        <w:t>), y garantizar la conformidad con normativas de seguridad impuestas por regulaciones o auditorías externas., asegurando que todas las partes interesadas estén alineadas con las directrices del SGSI.</w:t>
      </w:r>
    </w:p>
    <w:p w14:paraId="46743433"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Finalmente, el alcance incluye mecanismos de comunicación interna para la difusión de resultados y recomendaciones de mejora, lo que garantiza la coordinación efectiva entre diferentes departamentos y niveles de responsabilidad.</w:t>
      </w:r>
    </w:p>
    <w:p w14:paraId="730359AC"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El procedimiento es aplicable a todos los procesos, áreas y activos de información gestionados dentro del SGSI. Incluye las actividades de auditoría interna y externa, revisiones periódicas por la alta dirección, análisis de indicadores de rendimiento (</w:t>
      </w:r>
      <w:proofErr w:type="spellStart"/>
      <w:r w:rsidRPr="008C0A35">
        <w:rPr>
          <w:rFonts w:asciiTheme="minorHAnsi" w:hAnsiTheme="minorHAnsi" w:cstheme="minorHAnsi"/>
          <w:sz w:val="22"/>
          <w:szCs w:val="22"/>
          <w:lang w:val="es-CL"/>
        </w:rPr>
        <w:t>KPIs</w:t>
      </w:r>
      <w:proofErr w:type="spellEnd"/>
      <w:r w:rsidRPr="008C0A35">
        <w:rPr>
          <w:rFonts w:asciiTheme="minorHAnsi" w:hAnsiTheme="minorHAnsi" w:cstheme="minorHAnsi"/>
          <w:sz w:val="22"/>
          <w:szCs w:val="22"/>
          <w:lang w:val="es-CL"/>
        </w:rPr>
        <w:t>) y evaluación de riesgos. También abarca todas las mejoras derivadas de incidentes de seguridad y no conformidades detectadas.</w:t>
      </w:r>
    </w:p>
    <w:p w14:paraId="629410D2" w14:textId="77777777" w:rsidR="008C0A35" w:rsidRPr="008C0A35" w:rsidRDefault="008C0A35" w:rsidP="008C0A35">
      <w:pPr>
        <w:pStyle w:val="NormalWeb"/>
        <w:ind w:left="432"/>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t>3. RESPONSABILIDADES</w:t>
      </w:r>
    </w:p>
    <w:p w14:paraId="65563382" w14:textId="77777777" w:rsidR="008C0A35" w:rsidRPr="008C0A35" w:rsidRDefault="008C0A35" w:rsidP="008C0A35">
      <w:pPr>
        <w:pStyle w:val="NormalWeb"/>
        <w:numPr>
          <w:ilvl w:val="0"/>
          <w:numId w:val="57"/>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Gerente de SGSI:</w:t>
      </w:r>
      <w:r w:rsidRPr="008C0A35">
        <w:rPr>
          <w:rFonts w:asciiTheme="minorHAnsi" w:hAnsiTheme="minorHAnsi" w:cstheme="minorHAnsi"/>
          <w:sz w:val="22"/>
          <w:szCs w:val="22"/>
          <w:lang w:val="es-CL"/>
        </w:rPr>
        <w:t xml:space="preserve"> Responsable de coordinar la ejecución del proceso de mejora continua, incluyendo actividades como la revisión de informes de auditoría, la supervisión de la implementación de planes de acción, la realización de reuniones con los responsables de procesos para evaluar el avance de las mejoras, y la preparación de reportes periódicos para la dirección general. Revisando los resultados de auditorías y supervisando la implementación de acciones correctivas y preventivas. También se encarga de informar a la dirección general sobre el estado de las mejoras.</w:t>
      </w:r>
    </w:p>
    <w:p w14:paraId="3702FFA8" w14:textId="77777777" w:rsidR="008C0A35" w:rsidRPr="008C0A35" w:rsidRDefault="008C0A35" w:rsidP="008C0A35">
      <w:pPr>
        <w:pStyle w:val="NormalWeb"/>
        <w:numPr>
          <w:ilvl w:val="0"/>
          <w:numId w:val="57"/>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Auditores Internos:</w:t>
      </w:r>
      <w:r w:rsidRPr="008C0A35">
        <w:rPr>
          <w:rFonts w:asciiTheme="minorHAnsi" w:hAnsiTheme="minorHAnsi" w:cstheme="minorHAnsi"/>
          <w:sz w:val="22"/>
          <w:szCs w:val="22"/>
          <w:lang w:val="es-CL"/>
        </w:rPr>
        <w:t xml:space="preserve"> Encargados de identificar no conformidades y oportunidades de mejora durante las auditorías periódicas. Utilizan herramientas como listas de verificación basadas en la norma ISO 27001, software de gestión de auditorías y metodologías como el análisis de causa raíz (RCA) para evaluar la efectividad de los controles implementados. Estas técnicas permiten identificar deficiencias de manera sistemática y priorizar las acciones correctivas necesarias. Deben elaborar informes detallados con hallazgos y recomendaciones para su posterior seguimiento.</w:t>
      </w:r>
    </w:p>
    <w:p w14:paraId="0916AC6C" w14:textId="77777777" w:rsidR="008C0A35" w:rsidRPr="008C0A35" w:rsidRDefault="008C0A35" w:rsidP="008C0A35">
      <w:pPr>
        <w:pStyle w:val="NormalWeb"/>
        <w:numPr>
          <w:ilvl w:val="0"/>
          <w:numId w:val="57"/>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Auditores Externos:</w:t>
      </w:r>
      <w:r w:rsidRPr="008C0A35">
        <w:rPr>
          <w:rFonts w:asciiTheme="minorHAnsi" w:hAnsiTheme="minorHAnsi" w:cstheme="minorHAnsi"/>
          <w:sz w:val="22"/>
          <w:szCs w:val="22"/>
          <w:lang w:val="es-CL"/>
        </w:rPr>
        <w:t xml:space="preserve"> Responsables de evaluar de forma independiente el cumplimiento del SGSI con los requisitos de la norma ISO 27001:2022. Realizan auditorías en fechas previamente acordadas y presentan un informe con hallazgos y recomendaciones, lo que contribuye a asegurar que las prácticas de seguridad sean consistentes con los estándares internacionales.</w:t>
      </w:r>
    </w:p>
    <w:p w14:paraId="45E15D49" w14:textId="77777777" w:rsidR="008C0A35" w:rsidRPr="008C0A35" w:rsidRDefault="008C0A35" w:rsidP="008C0A35">
      <w:pPr>
        <w:pStyle w:val="NormalWeb"/>
        <w:numPr>
          <w:ilvl w:val="0"/>
          <w:numId w:val="57"/>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Propietarios de Procesos:</w:t>
      </w:r>
      <w:r w:rsidRPr="008C0A35">
        <w:rPr>
          <w:rFonts w:asciiTheme="minorHAnsi" w:hAnsiTheme="minorHAnsi" w:cstheme="minorHAnsi"/>
          <w:sz w:val="22"/>
          <w:szCs w:val="22"/>
          <w:lang w:val="es-CL"/>
        </w:rPr>
        <w:t xml:space="preserve"> Responsables de ejecutar las acciones correctivas en sus áreas respectivas. También deben monitorear el impacto de estas acciones y reportar su efectividad al Gerente de SGSI.</w:t>
      </w:r>
    </w:p>
    <w:p w14:paraId="71C4A03E" w14:textId="77777777" w:rsidR="008C0A35" w:rsidRPr="008C0A35" w:rsidRDefault="008C0A35" w:rsidP="008C0A35">
      <w:pPr>
        <w:pStyle w:val="NormalWeb"/>
        <w:numPr>
          <w:ilvl w:val="0"/>
          <w:numId w:val="57"/>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Dirección General:</w:t>
      </w:r>
      <w:r w:rsidRPr="008C0A35">
        <w:rPr>
          <w:rFonts w:asciiTheme="minorHAnsi" w:hAnsiTheme="minorHAnsi" w:cstheme="minorHAnsi"/>
          <w:sz w:val="22"/>
          <w:szCs w:val="22"/>
          <w:lang w:val="es-CL"/>
        </w:rPr>
        <w:t xml:space="preserve"> Proporciona los recursos necesarios para la mejora continua y revisa periódicamente los avances en el SGSI. Además, se encarga de validar las prioridades estratégicas asociadas a las acciones de mejora.</w:t>
      </w:r>
    </w:p>
    <w:p w14:paraId="1F446BDA" w14:textId="77777777" w:rsidR="008C0A35" w:rsidRPr="008C0A35" w:rsidRDefault="008C0A35" w:rsidP="008C0A35">
      <w:pPr>
        <w:pStyle w:val="NormalWeb"/>
        <w:ind w:left="432"/>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t>4. CICLO DE MEJORA CONTINUA</w:t>
      </w:r>
    </w:p>
    <w:p w14:paraId="1EEA5174"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lastRenderedPageBreak/>
        <w:t>El ciclo de mejora continua se estructura en las siguientes etapas:</w:t>
      </w:r>
    </w:p>
    <w:p w14:paraId="1E439F04" w14:textId="77777777" w:rsidR="008C0A35" w:rsidRPr="008C0A35" w:rsidRDefault="008C0A35" w:rsidP="008C0A35">
      <w:pPr>
        <w:pStyle w:val="NormalWeb"/>
        <w:numPr>
          <w:ilvl w:val="0"/>
          <w:numId w:val="58"/>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Planificación:</w:t>
      </w:r>
      <w:r w:rsidRPr="008C0A35">
        <w:rPr>
          <w:rFonts w:asciiTheme="minorHAnsi" w:hAnsiTheme="minorHAnsi" w:cstheme="minorHAnsi"/>
          <w:sz w:val="22"/>
          <w:szCs w:val="22"/>
          <w:lang w:val="es-CL"/>
        </w:rPr>
        <w:t xml:space="preserve"> Identificación de áreas de mejora a través de auditorías, revisiones y análisis de incidentes. Definición de objetivos y metas alineados con los riesgos y oportunidades detectados. Se asignan recursos y plazos para cada acción planificada.</w:t>
      </w:r>
    </w:p>
    <w:p w14:paraId="2338280F" w14:textId="77777777" w:rsidR="008C0A35" w:rsidRPr="008C0A35" w:rsidRDefault="008C0A35" w:rsidP="008C0A35">
      <w:pPr>
        <w:pStyle w:val="NormalWeb"/>
        <w:numPr>
          <w:ilvl w:val="0"/>
          <w:numId w:val="58"/>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Ejecución:</w:t>
      </w:r>
      <w:r w:rsidRPr="008C0A35">
        <w:rPr>
          <w:rFonts w:asciiTheme="minorHAnsi" w:hAnsiTheme="minorHAnsi" w:cstheme="minorHAnsi"/>
          <w:sz w:val="22"/>
          <w:szCs w:val="22"/>
          <w:lang w:val="es-CL"/>
        </w:rPr>
        <w:t xml:space="preserve"> Implementación de las acciones correctivas y preventivas planificadas. El Gerente de SGSI es el responsable de documentar cada acción y su progreso, asegurando que se cumplan los plazos establecidos y que las evidencias correspondientes se registren en el sistema de gestión documental. Los responsables asignados deben garantizar la adecuada ejecución de las medidas, siguiendo los protocolos establecidos en el SGSI.</w:t>
      </w:r>
    </w:p>
    <w:p w14:paraId="3C65857E" w14:textId="77777777" w:rsidR="008C0A35" w:rsidRPr="008C0A35" w:rsidRDefault="008C0A35" w:rsidP="008C0A35">
      <w:pPr>
        <w:pStyle w:val="NormalWeb"/>
        <w:numPr>
          <w:ilvl w:val="0"/>
          <w:numId w:val="58"/>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Verificación:</w:t>
      </w:r>
      <w:r w:rsidRPr="008C0A35">
        <w:rPr>
          <w:rFonts w:asciiTheme="minorHAnsi" w:hAnsiTheme="minorHAnsi" w:cstheme="minorHAnsi"/>
          <w:sz w:val="22"/>
          <w:szCs w:val="22"/>
          <w:lang w:val="es-CL"/>
        </w:rPr>
        <w:t xml:space="preserve"> Evaluación de la efectividad de las acciones implementadas mediante auditorías de seguimiento. Los indicadores clave utilizados para esta evaluación incluyen la reducción en la frecuencia de incidentes de seguridad, el tiempo promedio de respuesta a incidentes, la cantidad de no conformidades recurrentes detectadas y la mejora en la satisfacción de las partes interesadas. y revisión de indicadores clave. Este proceso incluye la recopilación de evidencias para validar los resultados obtenidos.</w:t>
      </w:r>
    </w:p>
    <w:p w14:paraId="1DBEF589" w14:textId="77777777" w:rsidR="008C0A35" w:rsidRPr="008C0A35" w:rsidRDefault="008C0A35" w:rsidP="008C0A35">
      <w:pPr>
        <w:pStyle w:val="NormalWeb"/>
        <w:numPr>
          <w:ilvl w:val="0"/>
          <w:numId w:val="58"/>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Actuación:</w:t>
      </w:r>
      <w:r w:rsidRPr="008C0A35">
        <w:rPr>
          <w:rFonts w:asciiTheme="minorHAnsi" w:hAnsiTheme="minorHAnsi" w:cstheme="minorHAnsi"/>
          <w:sz w:val="22"/>
          <w:szCs w:val="22"/>
          <w:lang w:val="es-CL"/>
        </w:rPr>
        <w:t xml:space="preserve"> Ajuste de procesos y políticas según los resultados obtenidos, asegurando una mejora continua y sostenible. Los aprendizajes derivados se documentan para reforzar futuras acciones.</w:t>
      </w:r>
    </w:p>
    <w:p w14:paraId="41DE5C8A" w14:textId="77777777" w:rsidR="008C0A35" w:rsidRPr="008C0A35" w:rsidRDefault="008C0A35" w:rsidP="008C0A35">
      <w:pPr>
        <w:pStyle w:val="NormalWeb"/>
        <w:numPr>
          <w:ilvl w:val="0"/>
          <w:numId w:val="58"/>
        </w:numPr>
        <w:jc w:val="both"/>
        <w:rPr>
          <w:rFonts w:asciiTheme="minorHAnsi" w:hAnsiTheme="minorHAnsi" w:cstheme="minorHAnsi"/>
          <w:sz w:val="22"/>
          <w:szCs w:val="22"/>
          <w:lang w:val="es-CL"/>
        </w:rPr>
      </w:pPr>
    </w:p>
    <w:p w14:paraId="0A90F6D3" w14:textId="77777777" w:rsidR="008C0A35" w:rsidRPr="008C0A35" w:rsidRDefault="008C0A35" w:rsidP="008C0A35">
      <w:pPr>
        <w:pStyle w:val="NormalWeb"/>
        <w:ind w:left="432"/>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t>5. EVALUACIÓN DE RESULTADOS Y ACCIONES CORRECTIVAS</w:t>
      </w:r>
    </w:p>
    <w:p w14:paraId="7659A436"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Los resultados de auditorías, revisiones por la dirección y monitoreo de indicadores son evaluados para identificar áreas de mejora. Las acciones se priorizan basándose en la criticidad de los riesgos asociados. Por ejemplo, las no conformidades que afectan directamente la confidencialidad, integridad o disponibilidad de la información reciben una atención inmediata, mientras que las oportunidades de mejora menos críticas se abordan en planes de acción a mediano plazo. Esta evaluación permite asignar recursos de manera eficiente, garantizando que las mejoras implementadas tengan un impacto significativo en la seguridad del SGSI. de manera sistemática para identificar fortalezas, debilidades y oportunidades de mejora. Este proceso permite priorizar aquellas áreas que representan un mayor riesgo para la seguridad de la información, asegurando que se tomen medidas correctivas y preventivas apropiadas.</w:t>
      </w:r>
    </w:p>
    <w:p w14:paraId="67FDA839"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Las acciones correctivas se implementan en respuesta a no conformidades o incidentes detectados, buscando eliminar sus causas raíz. Un ejemplo típico es la actualización de los controles de acceso tras detectar accesos no autorizados en sistemas críticos. Otros ejemplos incluyen la implementación de autenticación multifactorial para servicios críticos, la actualización de software desactualizado para corregir vulnerabilidades conocidas, y la reestructuración de políticas de seguridad tras auditorías que revelen debilidades en la protección de datos. Por otro lado, las acciones preventivas se enfocan en anticipar y mitigar riesgos antes de que ocurran problemas.</w:t>
      </w:r>
    </w:p>
    <w:p w14:paraId="092B6F3F"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Una vez implementadas las acciones, se realiza un seguimiento para evaluar su efectividad. Esto incluye la revisión de indicadores clave, auditorías de seguimiento y la recopilación de evidencias que confirmen la resolución del problema. Si los resultados no son satisfactorios, se adoptan medidas adicionales.</w:t>
      </w:r>
    </w:p>
    <w:p w14:paraId="625783E0"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 xml:space="preserve">La documentación de este proceso es fundamental. Los tipos de documentos más críticos para auditorías futuras incluyen los registros de no conformidades, informes de auditoría, planes de acción, </w:t>
      </w:r>
      <w:r w:rsidRPr="008C0A35">
        <w:rPr>
          <w:rFonts w:asciiTheme="minorHAnsi" w:hAnsiTheme="minorHAnsi" w:cstheme="minorHAnsi"/>
          <w:sz w:val="22"/>
          <w:szCs w:val="22"/>
          <w:lang w:val="es-CL"/>
        </w:rPr>
        <w:lastRenderedPageBreak/>
        <w:t>y evaluaciones de riesgos. Estos documentos permiten evaluar la efectividad de las acciones implementadas y garantizan la trazabilidad de las mejoras realizadas en el SGSI. Se registra cada acción implementada, detallando el responsable, el plazo de ejecución y los resultados obtenidos. Estos registros sirven como base para auditorías futuras y para la mejora continua del SGSI.</w:t>
      </w:r>
    </w:p>
    <w:p w14:paraId="526B06DC"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Los resultados de auditorías, revisiones por la dirección y monitoreo de indicadores son evaluados para determinar su impacto en la seguridad de la información. Las acciones correctivas se priorizan en función de la criticidad de las no conformidades detectadas. Ejemplos incluyen la actualización de controles de acceso, mejoras en la gestión de incidentes y la capacitación del personal.</w:t>
      </w:r>
    </w:p>
    <w:p w14:paraId="6EF301A2"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Las acciones correctivas y preventivas son documentadas en un registro oficial, que incluye detalles como el responsable, el plazo de ejecución y los resultados obtenidos.</w:t>
      </w:r>
    </w:p>
    <w:p w14:paraId="7B928A46" w14:textId="77777777" w:rsidR="008C0A35" w:rsidRPr="008C0A35" w:rsidRDefault="008C0A35" w:rsidP="008C0A35">
      <w:pPr>
        <w:pStyle w:val="NormalWeb"/>
        <w:ind w:left="432"/>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t>6. DOCUMENTACIÓN Y SEGUIMIENTO</w:t>
      </w:r>
    </w:p>
    <w:p w14:paraId="3FCFAB52"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Toda la documentación relacionada con el proceso de mejora continua, incluyendo informes de auditoría, planes de acción, registros de no conformidades y evaluaciones de efectividad, es gestionada de forma centralizada en el sistema de gestión documental del SGSI. Esto garantiza que los documentos estén actualizados, sean accesibles y se encuentren protegidos contra accesos no autorizados mediante tecnologías como el cifrado de datos, autenticación multifactorial y sistemas de control de acceso basados en roles. Además, herramientas de monitoreo en tiempo real registran todas las actividades para permitir auditorías completas y asegurar la integridad de los registros.</w:t>
      </w:r>
    </w:p>
    <w:p w14:paraId="1CEC476D"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El sistema de gestión documental implementa controles de seguridad, como permisos de acceso basados en roles. Por ejemplo, en el SGSI de Anacondaweb, los usuarios con funciones administrativas tienen acceso a todos los documentos, mientras que los responsables de procesos específicos solo pueden visualizar y editar los documentos relacionados con sus áreas. Los roles se asignan mediante el sistema de gestión centralizado, asegurando que cada usuario tenga permisos acordes a sus responsabilidades. y monitoreo de actividades. Estas medidas aseguran la integridad de los registros y permiten realizar auditorías internas con una trazabilidad completa de cada acción realizada.</w:t>
      </w:r>
    </w:p>
    <w:p w14:paraId="2F7CE3E2"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El seguimiento de las acciones correctivas es supervisado por el Gerente de SGSI, quien coordina reuniones periódicas con los responsables de procesos para evaluar el estado de las mejoras. Los resultados de estas evaluaciones se presentan en informes de seguimiento que son revisados por la dirección general.</w:t>
      </w:r>
    </w:p>
    <w:p w14:paraId="653F3349"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Adicionalmente, se establece un calendario de revisiones periódicas para asegurar que los documentos reflejen los cambios en normativas, procesos o tecnologías. La frecuencia recomendada es de al menos una vez al año para documentos críticos, mientras que otros documentos operativos pueden revisarse en ciclos de entre uno y tres años, dependiendo de la relevancia de los cambios detectados. Este enfoque proactivo contribuye a mantener la mejora continua del sistema y a cumplir con los requisitos establecidos por la norma ISO 27001:2022.</w:t>
      </w:r>
    </w:p>
    <w:p w14:paraId="449F5DB9"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Toda la documentación relacionada con el proceso de mejora continua, incluyendo informes de auditoría, planes de acción y registros de no conformidades, es gestionada y almacenada en el sistema de gestión documental del SGSI. Se establecen revisiones periódicas para garantizar que los registros sean precisos y estén actualizados.</w:t>
      </w:r>
    </w:p>
    <w:p w14:paraId="30DB52C2"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lastRenderedPageBreak/>
        <w:t>El seguimiento de las acciones correctivas es supervisado por el Gerente de SGSI, quien reporta los avances a la dirección general. Las auditorías internas aseguran que se cumpla con este procedimiento, promoviendo así la mejora continua en toda la organización.</w:t>
      </w:r>
    </w:p>
    <w:p w14:paraId="69029A11" w14:textId="77777777" w:rsidR="008C0A35" w:rsidRPr="008C0A35" w:rsidRDefault="008C0A35" w:rsidP="008C0A35">
      <w:pPr>
        <w:pStyle w:val="NormalWeb"/>
        <w:ind w:left="432"/>
        <w:jc w:val="both"/>
        <w:rPr>
          <w:rFonts w:asciiTheme="minorHAnsi" w:hAnsiTheme="minorHAnsi" w:cstheme="minorHAnsi"/>
          <w:b/>
          <w:bCs/>
          <w:sz w:val="22"/>
          <w:szCs w:val="22"/>
          <w:lang w:val="es-CL"/>
        </w:rPr>
      </w:pPr>
      <w:r w:rsidRPr="008C0A35">
        <w:rPr>
          <w:rFonts w:asciiTheme="minorHAnsi" w:hAnsiTheme="minorHAnsi" w:cstheme="minorHAnsi"/>
          <w:b/>
          <w:bCs/>
          <w:sz w:val="22"/>
          <w:szCs w:val="22"/>
          <w:lang w:val="es-CL"/>
        </w:rPr>
        <w:t>7. ANEXO A: CONTROL DE MEJORA CONTINUA EN LA NORMA ISO 27001:2022</w:t>
      </w:r>
    </w:p>
    <w:p w14:paraId="23DD63DB"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 xml:space="preserve">Este anexo hace referencia al control </w:t>
      </w:r>
      <w:r w:rsidRPr="008C0A35">
        <w:rPr>
          <w:rFonts w:asciiTheme="minorHAnsi" w:hAnsiTheme="minorHAnsi" w:cstheme="minorHAnsi"/>
          <w:b/>
          <w:bCs/>
          <w:sz w:val="22"/>
          <w:szCs w:val="22"/>
          <w:lang w:val="es-CL"/>
        </w:rPr>
        <w:t>A.10.2 Mejora Continua</w:t>
      </w:r>
      <w:r w:rsidRPr="008C0A35">
        <w:rPr>
          <w:rFonts w:asciiTheme="minorHAnsi" w:hAnsiTheme="minorHAnsi" w:cstheme="minorHAnsi"/>
          <w:sz w:val="22"/>
          <w:szCs w:val="22"/>
          <w:lang w:val="es-CL"/>
        </w:rPr>
        <w:t xml:space="preserve"> de la norma ISO 27001:2022, que establece la necesidad de mantener un ciclo de mejora constante en todos los procesos del SGSI. Este control exige que se realicen revisiones sistemáticas basadas en los resultados de auditorías internas, revisiones de la dirección, análisis de incidentes y medición de indicadores de rendimiento.</w:t>
      </w:r>
    </w:p>
    <w:p w14:paraId="7F4C8EB0"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Las actividades bajo este control incluyen: Estas actividades se coordinan mediante reuniones interdepartamentales en las que participan representantes de las áreas involucradas. El Gerente de SGSI lidera estas reuniones para definir prioridades, asignar responsables y establecer plazos. Además, se utilizan herramientas colaborativas de gestión de proyectos para garantizar el seguimiento de cada acción, así como la comunicación efectiva entre los distintos equipos.</w:t>
      </w:r>
    </w:p>
    <w:p w14:paraId="370AF6BD" w14:textId="77777777" w:rsidR="008C0A35" w:rsidRPr="008C0A35" w:rsidRDefault="008C0A35" w:rsidP="008C0A35">
      <w:pPr>
        <w:pStyle w:val="NormalWeb"/>
        <w:numPr>
          <w:ilvl w:val="0"/>
          <w:numId w:val="59"/>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Identificación de Oportunidades de Mejora:</w:t>
      </w:r>
      <w:r w:rsidRPr="008C0A35">
        <w:rPr>
          <w:rFonts w:asciiTheme="minorHAnsi" w:hAnsiTheme="minorHAnsi" w:cstheme="minorHAnsi"/>
          <w:sz w:val="22"/>
          <w:szCs w:val="22"/>
          <w:lang w:val="es-CL"/>
        </w:rPr>
        <w:t xml:space="preserve"> Evaluación continua de procesos críticos para detectar áreas susceptibles de optimización.</w:t>
      </w:r>
    </w:p>
    <w:p w14:paraId="3AA893CA" w14:textId="77777777" w:rsidR="008C0A35" w:rsidRPr="008C0A35" w:rsidRDefault="008C0A35" w:rsidP="008C0A35">
      <w:pPr>
        <w:pStyle w:val="NormalWeb"/>
        <w:numPr>
          <w:ilvl w:val="0"/>
          <w:numId w:val="59"/>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Acciones Correctivas y Preventivas:</w:t>
      </w:r>
      <w:r w:rsidRPr="008C0A35">
        <w:rPr>
          <w:rFonts w:asciiTheme="minorHAnsi" w:hAnsiTheme="minorHAnsi" w:cstheme="minorHAnsi"/>
          <w:sz w:val="22"/>
          <w:szCs w:val="22"/>
          <w:lang w:val="es-CL"/>
        </w:rPr>
        <w:t xml:space="preserve"> Implementación de medidas para resolver no conformidades y prevenir su recurrencia.</w:t>
      </w:r>
    </w:p>
    <w:p w14:paraId="703A9222" w14:textId="77777777" w:rsidR="008C0A35" w:rsidRPr="008C0A35" w:rsidRDefault="008C0A35" w:rsidP="008C0A35">
      <w:pPr>
        <w:pStyle w:val="NormalWeb"/>
        <w:numPr>
          <w:ilvl w:val="0"/>
          <w:numId w:val="59"/>
        </w:numPr>
        <w:jc w:val="both"/>
        <w:rPr>
          <w:rFonts w:asciiTheme="minorHAnsi" w:hAnsiTheme="minorHAnsi" w:cstheme="minorHAnsi"/>
          <w:sz w:val="22"/>
          <w:szCs w:val="22"/>
          <w:lang w:val="es-CL"/>
        </w:rPr>
      </w:pPr>
      <w:r w:rsidRPr="008C0A35">
        <w:rPr>
          <w:rFonts w:asciiTheme="minorHAnsi" w:hAnsiTheme="minorHAnsi" w:cstheme="minorHAnsi"/>
          <w:b/>
          <w:bCs/>
          <w:sz w:val="22"/>
          <w:szCs w:val="22"/>
          <w:lang w:val="es-CL"/>
        </w:rPr>
        <w:t>Monitoreo y Revisión:</w:t>
      </w:r>
      <w:r w:rsidRPr="008C0A35">
        <w:rPr>
          <w:rFonts w:asciiTheme="minorHAnsi" w:hAnsiTheme="minorHAnsi" w:cstheme="minorHAnsi"/>
          <w:sz w:val="22"/>
          <w:szCs w:val="22"/>
          <w:lang w:val="es-CL"/>
        </w:rPr>
        <w:t xml:space="preserve"> Supervisión periódica del desempeño de las acciones implementadas mediante auditorías de seguimiento.</w:t>
      </w:r>
    </w:p>
    <w:p w14:paraId="120515D2" w14:textId="77777777" w:rsidR="008C0A35" w:rsidRPr="008C0A35" w:rsidRDefault="008C0A35" w:rsidP="008C0A35">
      <w:pPr>
        <w:pStyle w:val="NormalWeb"/>
        <w:jc w:val="both"/>
        <w:rPr>
          <w:rFonts w:asciiTheme="minorHAnsi" w:hAnsiTheme="minorHAnsi" w:cstheme="minorHAnsi"/>
          <w:sz w:val="22"/>
          <w:szCs w:val="22"/>
          <w:lang w:val="es-CL"/>
        </w:rPr>
      </w:pPr>
      <w:r w:rsidRPr="008C0A35">
        <w:rPr>
          <w:rFonts w:asciiTheme="minorHAnsi" w:hAnsiTheme="minorHAnsi" w:cstheme="minorHAnsi"/>
          <w:sz w:val="22"/>
          <w:szCs w:val="22"/>
          <w:lang w:val="es-CL"/>
        </w:rPr>
        <w:t>Este control refuerza la importancia de un enfoque proactivo y basado en datos para garantizar la mejora continua y la sostenibilidad del SGSI. Los datos se recopilan a través de auditorías internas, informes de incidentes, y monitoreos de indicadores clave de rendimiento (</w:t>
      </w:r>
      <w:proofErr w:type="spellStart"/>
      <w:r w:rsidRPr="008C0A35">
        <w:rPr>
          <w:rFonts w:asciiTheme="minorHAnsi" w:hAnsiTheme="minorHAnsi" w:cstheme="minorHAnsi"/>
          <w:sz w:val="22"/>
          <w:szCs w:val="22"/>
          <w:lang w:val="es-CL"/>
        </w:rPr>
        <w:t>KPIs</w:t>
      </w:r>
      <w:proofErr w:type="spellEnd"/>
      <w:r w:rsidRPr="008C0A35">
        <w:rPr>
          <w:rFonts w:asciiTheme="minorHAnsi" w:hAnsiTheme="minorHAnsi" w:cstheme="minorHAnsi"/>
          <w:sz w:val="22"/>
          <w:szCs w:val="22"/>
          <w:lang w:val="es-CL"/>
        </w:rPr>
        <w:t>). Estos datos son analizados mediante herramientas de gestión de riesgos y software especializado en auditorías, lo que permite identificar patrones, medir la efectividad de las acciones correctivas y ajustar los procesos en tiempo real.</w:t>
      </w:r>
    </w:p>
    <w:p w14:paraId="32DA72E4" w14:textId="77777777" w:rsidR="00452E7F" w:rsidRPr="008C0A35" w:rsidRDefault="00452E7F" w:rsidP="008C0A35">
      <w:pPr>
        <w:pStyle w:val="NormalWeb"/>
        <w:jc w:val="both"/>
        <w:rPr>
          <w:rFonts w:asciiTheme="minorHAnsi" w:hAnsiTheme="minorHAnsi" w:cstheme="minorHAnsi"/>
          <w:sz w:val="22"/>
          <w:szCs w:val="22"/>
          <w:lang w:val="es-CL"/>
        </w:rPr>
      </w:pPr>
    </w:p>
    <w:sectPr w:rsidR="00452E7F" w:rsidRPr="008C0A35"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10AB" w14:textId="77777777" w:rsidR="00626724" w:rsidRPr="008C0A35" w:rsidRDefault="00626724">
      <w:r w:rsidRPr="008C0A35">
        <w:separator/>
      </w:r>
    </w:p>
    <w:p w14:paraId="7120557F" w14:textId="77777777" w:rsidR="00626724" w:rsidRPr="008C0A35" w:rsidRDefault="00626724"/>
    <w:p w14:paraId="007CE021" w14:textId="77777777" w:rsidR="00626724" w:rsidRPr="008C0A35" w:rsidRDefault="00626724"/>
    <w:p w14:paraId="51AEF02F" w14:textId="77777777" w:rsidR="00626724" w:rsidRPr="008C0A35" w:rsidRDefault="00626724" w:rsidP="00C1318C"/>
  </w:endnote>
  <w:endnote w:type="continuationSeparator" w:id="0">
    <w:p w14:paraId="3FF444D3" w14:textId="77777777" w:rsidR="00626724" w:rsidRPr="008C0A35" w:rsidRDefault="00626724">
      <w:r w:rsidRPr="008C0A35">
        <w:continuationSeparator/>
      </w:r>
    </w:p>
    <w:p w14:paraId="1901218E" w14:textId="77777777" w:rsidR="00626724" w:rsidRPr="008C0A35" w:rsidRDefault="00626724"/>
    <w:p w14:paraId="5B710253" w14:textId="77777777" w:rsidR="00626724" w:rsidRPr="008C0A35" w:rsidRDefault="00626724"/>
    <w:p w14:paraId="19731DC5" w14:textId="77777777" w:rsidR="00626724" w:rsidRPr="008C0A35" w:rsidRDefault="00626724"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1247" w14:textId="5A8B4506" w:rsidR="00AB01A2" w:rsidRPr="008C0A35" w:rsidRDefault="00163C3E" w:rsidP="00163C3E">
    <w:pPr>
      <w:jc w:val="center"/>
    </w:pPr>
    <w:r w:rsidRPr="008C0A35">
      <w:rPr>
        <w:rFonts w:ascii="Calibri" w:hAnsi="Calibri" w:cs="Calibri"/>
        <w:szCs w:val="22"/>
      </w:rPr>
      <w:t>Anexo A.7.5  Control de Documentación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B3E6" w14:textId="77777777" w:rsidR="00626724" w:rsidRPr="008C0A35" w:rsidRDefault="00626724">
      <w:r w:rsidRPr="008C0A35">
        <w:separator/>
      </w:r>
    </w:p>
    <w:p w14:paraId="7DC03925" w14:textId="77777777" w:rsidR="00626724" w:rsidRPr="008C0A35" w:rsidRDefault="00626724"/>
    <w:p w14:paraId="525D424B" w14:textId="77777777" w:rsidR="00626724" w:rsidRPr="008C0A35" w:rsidRDefault="00626724"/>
    <w:p w14:paraId="5EC508D7" w14:textId="77777777" w:rsidR="00626724" w:rsidRPr="008C0A35" w:rsidRDefault="00626724" w:rsidP="00C1318C"/>
  </w:footnote>
  <w:footnote w:type="continuationSeparator" w:id="0">
    <w:p w14:paraId="0754B52E" w14:textId="77777777" w:rsidR="00626724" w:rsidRPr="008C0A35" w:rsidRDefault="00626724">
      <w:r w:rsidRPr="008C0A35">
        <w:continuationSeparator/>
      </w:r>
    </w:p>
    <w:p w14:paraId="57B74AB9" w14:textId="77777777" w:rsidR="00626724" w:rsidRPr="008C0A35" w:rsidRDefault="00626724"/>
    <w:p w14:paraId="2DBA9112" w14:textId="77777777" w:rsidR="00626724" w:rsidRPr="008C0A35" w:rsidRDefault="00626724"/>
    <w:p w14:paraId="695C2EA9" w14:textId="77777777" w:rsidR="00626724" w:rsidRPr="008C0A35" w:rsidRDefault="00626724"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C0A35" w:rsidRDefault="001637D6">
    <w:r w:rsidRPr="008C0A35">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1"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206D55"/>
    <w:multiLevelType w:val="multilevel"/>
    <w:tmpl w:val="658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37CE9"/>
    <w:multiLevelType w:val="multilevel"/>
    <w:tmpl w:val="85F8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44BD9"/>
    <w:multiLevelType w:val="multilevel"/>
    <w:tmpl w:val="2432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AC3AC5"/>
    <w:multiLevelType w:val="multilevel"/>
    <w:tmpl w:val="920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2"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7"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0"/>
  </w:num>
  <w:num w:numId="2" w16cid:durableId="74938854">
    <w:abstractNumId w:val="15"/>
  </w:num>
  <w:num w:numId="3" w16cid:durableId="1494763561">
    <w:abstractNumId w:val="13"/>
  </w:num>
  <w:num w:numId="4" w16cid:durableId="2135100286">
    <w:abstractNumId w:val="39"/>
  </w:num>
  <w:num w:numId="5" w16cid:durableId="1000818834">
    <w:abstractNumId w:val="18"/>
  </w:num>
  <w:num w:numId="6" w16cid:durableId="1632788525">
    <w:abstractNumId w:val="50"/>
  </w:num>
  <w:num w:numId="7" w16cid:durableId="1321421067">
    <w:abstractNumId w:val="35"/>
  </w:num>
  <w:num w:numId="8" w16cid:durableId="352341285">
    <w:abstractNumId w:val="41"/>
  </w:num>
  <w:num w:numId="9" w16cid:durableId="27727978">
    <w:abstractNumId w:val="32"/>
  </w:num>
  <w:num w:numId="10" w16cid:durableId="1859850961">
    <w:abstractNumId w:val="11"/>
  </w:num>
  <w:num w:numId="11" w16cid:durableId="1630670735">
    <w:abstractNumId w:val="16"/>
  </w:num>
  <w:num w:numId="12" w16cid:durableId="1692032352">
    <w:abstractNumId w:val="18"/>
  </w:num>
  <w:num w:numId="13" w16cid:durableId="1393849829">
    <w:abstractNumId w:val="18"/>
  </w:num>
  <w:num w:numId="14" w16cid:durableId="815293384">
    <w:abstractNumId w:val="18"/>
  </w:num>
  <w:num w:numId="15" w16cid:durableId="1977754839">
    <w:abstractNumId w:val="48"/>
  </w:num>
  <w:num w:numId="16" w16cid:durableId="240061859">
    <w:abstractNumId w:val="20"/>
  </w:num>
  <w:num w:numId="17" w16cid:durableId="1741440573">
    <w:abstractNumId w:val="36"/>
  </w:num>
  <w:num w:numId="18" w16cid:durableId="404303887">
    <w:abstractNumId w:val="23"/>
  </w:num>
  <w:num w:numId="19" w16cid:durableId="1072853763">
    <w:abstractNumId w:val="4"/>
  </w:num>
  <w:num w:numId="20" w16cid:durableId="888345100">
    <w:abstractNumId w:val="26"/>
  </w:num>
  <w:num w:numId="21" w16cid:durableId="2083486945">
    <w:abstractNumId w:val="29"/>
  </w:num>
  <w:num w:numId="22" w16cid:durableId="1412317948">
    <w:abstractNumId w:val="0"/>
  </w:num>
  <w:num w:numId="23" w16cid:durableId="1332220685">
    <w:abstractNumId w:val="46"/>
  </w:num>
  <w:num w:numId="24" w16cid:durableId="587539902">
    <w:abstractNumId w:val="49"/>
  </w:num>
  <w:num w:numId="25" w16cid:durableId="1814641950">
    <w:abstractNumId w:val="10"/>
  </w:num>
  <w:num w:numId="26" w16cid:durableId="805513463">
    <w:abstractNumId w:val="1"/>
  </w:num>
  <w:num w:numId="27" w16cid:durableId="1555776139">
    <w:abstractNumId w:val="52"/>
  </w:num>
  <w:num w:numId="28" w16cid:durableId="2123913244">
    <w:abstractNumId w:val="12"/>
  </w:num>
  <w:num w:numId="29" w16cid:durableId="874922778">
    <w:abstractNumId w:val="24"/>
  </w:num>
  <w:num w:numId="30" w16cid:durableId="1757896361">
    <w:abstractNumId w:val="3"/>
  </w:num>
  <w:num w:numId="31" w16cid:durableId="1888297015">
    <w:abstractNumId w:val="18"/>
  </w:num>
  <w:num w:numId="32" w16cid:durableId="1875121296">
    <w:abstractNumId w:val="18"/>
  </w:num>
  <w:num w:numId="33" w16cid:durableId="711199856">
    <w:abstractNumId w:val="18"/>
  </w:num>
  <w:num w:numId="34" w16cid:durableId="1914506562">
    <w:abstractNumId w:val="18"/>
  </w:num>
  <w:num w:numId="35" w16cid:durableId="1030836293">
    <w:abstractNumId w:val="43"/>
  </w:num>
  <w:num w:numId="36" w16cid:durableId="674503644">
    <w:abstractNumId w:val="9"/>
  </w:num>
  <w:num w:numId="37" w16cid:durableId="1888105176">
    <w:abstractNumId w:val="51"/>
  </w:num>
  <w:num w:numId="38" w16cid:durableId="342171148">
    <w:abstractNumId w:val="14"/>
  </w:num>
  <w:num w:numId="39" w16cid:durableId="1308512191">
    <w:abstractNumId w:val="42"/>
  </w:num>
  <w:num w:numId="40" w16cid:durableId="751203121">
    <w:abstractNumId w:val="6"/>
  </w:num>
  <w:num w:numId="41" w16cid:durableId="1001616379">
    <w:abstractNumId w:val="45"/>
  </w:num>
  <w:num w:numId="42" w16cid:durableId="157235028">
    <w:abstractNumId w:val="30"/>
  </w:num>
  <w:num w:numId="43" w16cid:durableId="1076974531">
    <w:abstractNumId w:val="28"/>
  </w:num>
  <w:num w:numId="44" w16cid:durableId="908157133">
    <w:abstractNumId w:val="8"/>
  </w:num>
  <w:num w:numId="45" w16cid:durableId="1528714069">
    <w:abstractNumId w:val="44"/>
  </w:num>
  <w:num w:numId="46" w16cid:durableId="1350448151">
    <w:abstractNumId w:val="37"/>
  </w:num>
  <w:num w:numId="47" w16cid:durableId="134489178">
    <w:abstractNumId w:val="25"/>
  </w:num>
  <w:num w:numId="48" w16cid:durableId="904069908">
    <w:abstractNumId w:val="34"/>
  </w:num>
  <w:num w:numId="49" w16cid:durableId="876355981">
    <w:abstractNumId w:val="17"/>
  </w:num>
  <w:num w:numId="50" w16cid:durableId="1270042179">
    <w:abstractNumId w:val="38"/>
  </w:num>
  <w:num w:numId="51" w16cid:durableId="610477338">
    <w:abstractNumId w:val="7"/>
  </w:num>
  <w:num w:numId="52" w16cid:durableId="1976401646">
    <w:abstractNumId w:val="2"/>
  </w:num>
  <w:num w:numId="53" w16cid:durableId="1718821827">
    <w:abstractNumId w:val="27"/>
  </w:num>
  <w:num w:numId="54" w16cid:durableId="404844148">
    <w:abstractNumId w:val="5"/>
  </w:num>
  <w:num w:numId="55" w16cid:durableId="819855879">
    <w:abstractNumId w:val="19"/>
  </w:num>
  <w:num w:numId="56" w16cid:durableId="362633569">
    <w:abstractNumId w:val="47"/>
  </w:num>
  <w:num w:numId="57" w16cid:durableId="32966731">
    <w:abstractNumId w:val="33"/>
  </w:num>
  <w:num w:numId="58" w16cid:durableId="1586449240">
    <w:abstractNumId w:val="31"/>
  </w:num>
  <w:num w:numId="59" w16cid:durableId="1100292058">
    <w:abstractNumId w:val="21"/>
  </w:num>
  <w:num w:numId="60" w16cid:durableId="1763644420">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125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23C"/>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4F70F1"/>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26724"/>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06BF"/>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0A35"/>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3763"/>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21"/>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46692497">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41473419">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1336997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1230399">
      <w:bodyDiv w:val="1"/>
      <w:marLeft w:val="0"/>
      <w:marRight w:val="0"/>
      <w:marTop w:val="0"/>
      <w:marBottom w:val="0"/>
      <w:divBdr>
        <w:top w:val="none" w:sz="0" w:space="0" w:color="auto"/>
        <w:left w:val="none" w:sz="0" w:space="0" w:color="auto"/>
        <w:bottom w:val="none" w:sz="0" w:space="0" w:color="auto"/>
        <w:right w:val="none" w:sz="0" w:space="0" w:color="auto"/>
      </w:divBdr>
      <w:divsChild>
        <w:div w:id="2094163674">
          <w:marLeft w:val="0"/>
          <w:marRight w:val="0"/>
          <w:marTop w:val="0"/>
          <w:marBottom w:val="0"/>
          <w:divBdr>
            <w:top w:val="none" w:sz="0" w:space="0" w:color="auto"/>
            <w:left w:val="none" w:sz="0" w:space="0" w:color="auto"/>
            <w:bottom w:val="none" w:sz="0" w:space="0" w:color="auto"/>
            <w:right w:val="none" w:sz="0" w:space="0" w:color="auto"/>
          </w:divBdr>
        </w:div>
      </w:divsChild>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63925985">
      <w:bodyDiv w:val="1"/>
      <w:marLeft w:val="0"/>
      <w:marRight w:val="0"/>
      <w:marTop w:val="0"/>
      <w:marBottom w:val="0"/>
      <w:divBdr>
        <w:top w:val="none" w:sz="0" w:space="0" w:color="auto"/>
        <w:left w:val="none" w:sz="0" w:space="0" w:color="auto"/>
        <w:bottom w:val="none" w:sz="0" w:space="0" w:color="auto"/>
        <w:right w:val="none" w:sz="0" w:space="0" w:color="auto"/>
      </w:divBdr>
      <w:divsChild>
        <w:div w:id="288823617">
          <w:marLeft w:val="0"/>
          <w:marRight w:val="0"/>
          <w:marTop w:val="0"/>
          <w:marBottom w:val="0"/>
          <w:divBdr>
            <w:top w:val="none" w:sz="0" w:space="0" w:color="auto"/>
            <w:left w:val="none" w:sz="0" w:space="0" w:color="auto"/>
            <w:bottom w:val="none" w:sz="0" w:space="0" w:color="auto"/>
            <w:right w:val="none" w:sz="0" w:space="0" w:color="auto"/>
          </w:divBdr>
        </w:div>
      </w:divsChild>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75400780">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B125A"/>
    <w:rsid w:val="001C466F"/>
    <w:rsid w:val="00263F00"/>
    <w:rsid w:val="0034516F"/>
    <w:rsid w:val="00363C37"/>
    <w:rsid w:val="00383C66"/>
    <w:rsid w:val="00383C88"/>
    <w:rsid w:val="00390CD5"/>
    <w:rsid w:val="00483F4E"/>
    <w:rsid w:val="004F1616"/>
    <w:rsid w:val="00503E58"/>
    <w:rsid w:val="005910A7"/>
    <w:rsid w:val="006C7BDF"/>
    <w:rsid w:val="00737BAE"/>
    <w:rsid w:val="008406BF"/>
    <w:rsid w:val="00871B28"/>
    <w:rsid w:val="00912671"/>
    <w:rsid w:val="00930D52"/>
    <w:rsid w:val="009C1F3E"/>
    <w:rsid w:val="00B63AF7"/>
    <w:rsid w:val="00B92933"/>
    <w:rsid w:val="00C81A8B"/>
    <w:rsid w:val="00D23467"/>
    <w:rsid w:val="00D36B5D"/>
    <w:rsid w:val="00EB5478"/>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2557</Words>
  <Characters>14068</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16592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2025-02-01T19:39:00Z</dcterms:created>
  <dcterms:modified xsi:type="dcterms:W3CDTF">2025-03-31T02:53:00Z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