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3007D" w:rsidRDefault="00657883" w:rsidP="00237AFB">
      <w:pPr>
        <w:jc w:val="both"/>
        <w:rPr>
          <w:rFonts w:asciiTheme="minorHAnsi" w:hAnsiTheme="minorHAnsi" w:cstheme="minorHAnsi"/>
        </w:rPr>
      </w:pPr>
    </w:p>
    <w:p w14:paraId="7415A3EE" w14:textId="77777777" w:rsidR="001705EC" w:rsidRPr="0083007D" w:rsidRDefault="001705EC" w:rsidP="00237AFB">
      <w:pPr>
        <w:jc w:val="both"/>
        <w:rPr>
          <w:rFonts w:asciiTheme="minorHAnsi" w:hAnsiTheme="minorHAnsi" w:cstheme="minorHAnsi"/>
          <w:sz w:val="44"/>
          <w:szCs w:val="44"/>
        </w:rPr>
      </w:pPr>
    </w:p>
    <w:p w14:paraId="7D3EE362" w14:textId="741998EB" w:rsidR="001705EC" w:rsidRPr="0083007D" w:rsidRDefault="001705EC" w:rsidP="00237AFB">
      <w:pPr>
        <w:jc w:val="both"/>
        <w:rPr>
          <w:rFonts w:asciiTheme="minorHAnsi" w:hAnsiTheme="minorHAnsi" w:cstheme="minorHAnsi"/>
          <w:sz w:val="44"/>
          <w:szCs w:val="44"/>
        </w:rPr>
      </w:pPr>
    </w:p>
    <w:p w14:paraId="745CB675" w14:textId="5E0B02F3" w:rsidR="0083007D" w:rsidRPr="0083007D" w:rsidRDefault="00237AFB" w:rsidP="0083007D">
      <w:pPr>
        <w:pStyle w:val="Piedepgina"/>
        <w:jc w:val="center"/>
        <w:rPr>
          <w:rFonts w:asciiTheme="minorHAnsi" w:hAnsiTheme="minorHAnsi" w:cstheme="minorHAnsi"/>
        </w:rPr>
      </w:pPr>
      <w:r w:rsidRPr="0083007D">
        <w:rPr>
          <w:rFonts w:asciiTheme="minorHAnsi" w:hAnsiTheme="minorHAnsi" w:cstheme="minorHAnsi"/>
          <w:sz w:val="24"/>
          <w:szCs w:val="24"/>
          <w:lang w:eastAsia="en-GB"/>
        </w:rPr>
        <w:t>Anexo A</w:t>
      </w:r>
      <w:r w:rsidR="0083007D" w:rsidRPr="0083007D">
        <w:rPr>
          <w:rFonts w:asciiTheme="minorHAnsi" w:hAnsiTheme="minorHAnsi" w:cstheme="minorHAnsi"/>
          <w:sz w:val="24"/>
          <w:szCs w:val="24"/>
          <w:lang w:eastAsia="en-GB"/>
        </w:rPr>
        <w:t>.5.1</w:t>
      </w:r>
      <w:r w:rsidRPr="0083007D">
        <w:rPr>
          <w:rFonts w:asciiTheme="minorHAnsi" w:hAnsiTheme="minorHAnsi" w:cstheme="minorHAnsi"/>
          <w:sz w:val="24"/>
          <w:szCs w:val="24"/>
          <w:lang w:eastAsia="en-GB"/>
        </w:rPr>
        <w:t xml:space="preserve"> </w:t>
      </w:r>
      <w:r w:rsidR="0083007D" w:rsidRPr="0083007D">
        <w:rPr>
          <w:rFonts w:asciiTheme="minorHAnsi" w:hAnsiTheme="minorHAnsi" w:cstheme="minorHAnsi"/>
          <w:b/>
          <w:bCs/>
        </w:rPr>
        <w:t>POLÍTICAS DE SEGURIDAD DE LA INFORMACIÓN</w:t>
      </w:r>
    </w:p>
    <w:p w14:paraId="30FD80A7" w14:textId="3236B283" w:rsidR="006533BC" w:rsidRPr="0083007D" w:rsidRDefault="006533BC" w:rsidP="00237AFB">
      <w:pPr>
        <w:pStyle w:val="Piedepgina"/>
        <w:jc w:val="center"/>
        <w:rPr>
          <w:rFonts w:asciiTheme="minorHAnsi" w:hAnsiTheme="minorHAnsi" w:cstheme="minorHAnsi"/>
          <w:sz w:val="24"/>
          <w:szCs w:val="24"/>
          <w:lang w:eastAsia="en-GB"/>
        </w:rPr>
      </w:pPr>
    </w:p>
    <w:tbl>
      <w:tblPr>
        <w:tblStyle w:val="Tablaconcuadrcula"/>
        <w:tblW w:w="10368" w:type="dxa"/>
        <w:tblInd w:w="-342" w:type="dxa"/>
        <w:tblLook w:val="04A0" w:firstRow="1" w:lastRow="0" w:firstColumn="1" w:lastColumn="0" w:noHBand="0" w:noVBand="1"/>
      </w:tblPr>
      <w:tblGrid>
        <w:gridCol w:w="1815"/>
        <w:gridCol w:w="1506"/>
        <w:gridCol w:w="1705"/>
        <w:gridCol w:w="2196"/>
        <w:gridCol w:w="983"/>
        <w:gridCol w:w="2163"/>
      </w:tblGrid>
      <w:tr w:rsidR="00452E7F" w:rsidRPr="0083007D" w14:paraId="273B0C4B" w14:textId="77777777" w:rsidTr="00D02A7F">
        <w:tc>
          <w:tcPr>
            <w:tcW w:w="1908" w:type="dxa"/>
            <w:shd w:val="clear" w:color="auto" w:fill="D9D9D9" w:themeFill="background1" w:themeFillShade="D9"/>
          </w:tcPr>
          <w:p w14:paraId="083D5C51"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Descripción</w:t>
            </w:r>
          </w:p>
        </w:tc>
      </w:tr>
      <w:tr w:rsidR="00452E7F" w:rsidRPr="0083007D" w14:paraId="23D5C307" w14:textId="77777777" w:rsidTr="00D02A7F">
        <w:tc>
          <w:tcPr>
            <w:tcW w:w="1908" w:type="dxa"/>
          </w:tcPr>
          <w:p w14:paraId="1F536261" w14:textId="77777777" w:rsidR="001705EC" w:rsidRPr="0083007D" w:rsidRDefault="001705EC" w:rsidP="00237AFB">
            <w:pPr>
              <w:jc w:val="both"/>
              <w:rPr>
                <w:rFonts w:asciiTheme="minorHAnsi" w:hAnsiTheme="minorHAnsi" w:cstheme="minorHAnsi"/>
                <w:sz w:val="24"/>
                <w:szCs w:val="24"/>
              </w:rPr>
            </w:pPr>
            <w:bookmarkStart w:id="0" w:name="_Hlk187601937"/>
            <w:r w:rsidRPr="0083007D">
              <w:rPr>
                <w:rFonts w:asciiTheme="minorHAnsi" w:hAnsiTheme="minorHAnsi" w:cstheme="minorHAnsi"/>
                <w:sz w:val="24"/>
                <w:szCs w:val="24"/>
              </w:rPr>
              <w:t>V1.0</w:t>
            </w:r>
          </w:p>
        </w:tc>
        <w:tc>
          <w:tcPr>
            <w:tcW w:w="1570" w:type="dxa"/>
          </w:tcPr>
          <w:p w14:paraId="5CF1E181" w14:textId="23D50EDA" w:rsidR="001705EC" w:rsidRPr="0083007D" w:rsidRDefault="001637D6" w:rsidP="00237AFB">
            <w:pPr>
              <w:jc w:val="both"/>
              <w:rPr>
                <w:rFonts w:asciiTheme="minorHAnsi" w:hAnsiTheme="minorHAnsi" w:cstheme="minorHAnsi"/>
                <w:sz w:val="24"/>
                <w:szCs w:val="24"/>
              </w:rPr>
            </w:pPr>
            <w:r w:rsidRPr="0083007D">
              <w:rPr>
                <w:rFonts w:asciiTheme="minorHAnsi" w:hAnsiTheme="minorHAnsi" w:cstheme="minorHAnsi"/>
                <w:sz w:val="24"/>
                <w:szCs w:val="24"/>
              </w:rPr>
              <w:t>Auditorex Chile</w:t>
            </w:r>
          </w:p>
        </w:tc>
        <w:tc>
          <w:tcPr>
            <w:tcW w:w="1810" w:type="dxa"/>
          </w:tcPr>
          <w:p w14:paraId="48DCB9A0" w14:textId="067A8E1E" w:rsidR="001637D6" w:rsidRPr="0083007D" w:rsidRDefault="001637D6" w:rsidP="00237AFB">
            <w:pPr>
              <w:jc w:val="both"/>
              <w:rPr>
                <w:rFonts w:asciiTheme="minorHAnsi" w:hAnsiTheme="minorHAnsi" w:cstheme="minorHAnsi"/>
                <w:sz w:val="24"/>
                <w:szCs w:val="24"/>
              </w:rPr>
            </w:pPr>
            <w:r w:rsidRPr="0083007D">
              <w:rPr>
                <w:rFonts w:asciiTheme="minorHAnsi" w:hAnsiTheme="minorHAnsi" w:cstheme="minorHAnsi"/>
                <w:sz w:val="24"/>
                <w:szCs w:val="24"/>
              </w:rPr>
              <w:t>Mauricio Antonio Colomera Villarroel</w:t>
            </w:r>
          </w:p>
          <w:p w14:paraId="4664E988" w14:textId="77777777" w:rsidR="001705EC" w:rsidRPr="0083007D" w:rsidRDefault="001705EC" w:rsidP="00237AFB">
            <w:pPr>
              <w:jc w:val="both"/>
              <w:rPr>
                <w:rFonts w:asciiTheme="minorHAnsi" w:hAnsiTheme="minorHAnsi" w:cstheme="minorHAnsi"/>
                <w:sz w:val="24"/>
                <w:szCs w:val="24"/>
              </w:rPr>
            </w:pPr>
          </w:p>
        </w:tc>
        <w:tc>
          <w:tcPr>
            <w:tcW w:w="1811" w:type="dxa"/>
          </w:tcPr>
          <w:p w14:paraId="285FCDD1" w14:textId="0FAEB9DF" w:rsidR="001705EC" w:rsidRPr="0083007D" w:rsidRDefault="00452E7F" w:rsidP="00237AFB">
            <w:pPr>
              <w:jc w:val="both"/>
              <w:rPr>
                <w:rFonts w:asciiTheme="minorHAnsi" w:hAnsiTheme="minorHAnsi" w:cstheme="minorHAnsi"/>
                <w:sz w:val="24"/>
                <w:szCs w:val="24"/>
              </w:rPr>
            </w:pPr>
            <w:r w:rsidRPr="0083007D">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3007D" w:rsidRDefault="00D02999" w:rsidP="00237AFB">
            <w:pPr>
              <w:jc w:val="both"/>
              <w:rPr>
                <w:rFonts w:asciiTheme="minorHAnsi" w:hAnsiTheme="minorHAnsi" w:cstheme="minorHAnsi"/>
                <w:szCs w:val="22"/>
              </w:rPr>
            </w:pPr>
            <w:r w:rsidRPr="0083007D">
              <w:rPr>
                <w:rFonts w:asciiTheme="minorHAnsi" w:hAnsiTheme="minorHAnsi" w:cstheme="minorHAnsi"/>
                <w:szCs w:val="22"/>
              </w:rPr>
              <w:t>12-01-2024</w:t>
            </w:r>
          </w:p>
        </w:tc>
        <w:tc>
          <w:tcPr>
            <w:tcW w:w="2250" w:type="dxa"/>
          </w:tcPr>
          <w:p w14:paraId="10E49C91"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POLÍTICAS DE SEGURIDAD DE LA INFORMACIÓN</w:t>
            </w:r>
          </w:p>
          <w:p w14:paraId="6401603C" w14:textId="36A91DAF" w:rsidR="001705EC" w:rsidRPr="0083007D" w:rsidRDefault="001705EC" w:rsidP="00237AFB">
            <w:pPr>
              <w:pStyle w:val="NormalWeb"/>
              <w:jc w:val="both"/>
              <w:rPr>
                <w:rFonts w:asciiTheme="minorHAnsi" w:hAnsiTheme="minorHAnsi" w:cstheme="minorHAnsi"/>
                <w:lang w:val="es-CL"/>
              </w:rPr>
            </w:pPr>
          </w:p>
        </w:tc>
      </w:tr>
      <w:bookmarkEnd w:id="0"/>
      <w:tr w:rsidR="00452E7F" w:rsidRPr="0083007D" w14:paraId="2A38A0FB" w14:textId="77777777" w:rsidTr="00D02A7F">
        <w:tc>
          <w:tcPr>
            <w:tcW w:w="1908" w:type="dxa"/>
          </w:tcPr>
          <w:p w14:paraId="5AA7A63A" w14:textId="77777777" w:rsidR="001705EC" w:rsidRPr="0083007D" w:rsidRDefault="001705EC" w:rsidP="00237AFB">
            <w:pPr>
              <w:jc w:val="both"/>
              <w:rPr>
                <w:rFonts w:asciiTheme="minorHAnsi" w:hAnsiTheme="minorHAnsi" w:cstheme="minorHAnsi"/>
                <w:sz w:val="24"/>
                <w:szCs w:val="24"/>
              </w:rPr>
            </w:pPr>
          </w:p>
        </w:tc>
        <w:tc>
          <w:tcPr>
            <w:tcW w:w="1570" w:type="dxa"/>
          </w:tcPr>
          <w:p w14:paraId="6CA0F23C" w14:textId="6AF9EE2B" w:rsidR="001705EC" w:rsidRPr="0083007D" w:rsidRDefault="001705EC" w:rsidP="00237AFB">
            <w:pPr>
              <w:jc w:val="both"/>
              <w:rPr>
                <w:rFonts w:asciiTheme="minorHAnsi" w:hAnsiTheme="minorHAnsi" w:cstheme="minorHAnsi"/>
                <w:sz w:val="24"/>
                <w:szCs w:val="24"/>
              </w:rPr>
            </w:pPr>
          </w:p>
        </w:tc>
        <w:tc>
          <w:tcPr>
            <w:tcW w:w="1810" w:type="dxa"/>
          </w:tcPr>
          <w:p w14:paraId="7579C89A" w14:textId="0F2AB9E6" w:rsidR="001705EC" w:rsidRPr="0083007D" w:rsidRDefault="001705EC" w:rsidP="00237AFB">
            <w:pPr>
              <w:jc w:val="both"/>
              <w:rPr>
                <w:rFonts w:asciiTheme="minorHAnsi" w:hAnsiTheme="minorHAnsi" w:cstheme="minorHAnsi"/>
                <w:sz w:val="24"/>
                <w:szCs w:val="24"/>
              </w:rPr>
            </w:pPr>
          </w:p>
        </w:tc>
        <w:tc>
          <w:tcPr>
            <w:tcW w:w="1811" w:type="dxa"/>
          </w:tcPr>
          <w:p w14:paraId="5C11AFDC" w14:textId="77777777" w:rsidR="001705EC" w:rsidRPr="0083007D" w:rsidRDefault="001705EC" w:rsidP="00237AFB">
            <w:pPr>
              <w:jc w:val="both"/>
              <w:rPr>
                <w:rFonts w:asciiTheme="minorHAnsi" w:hAnsiTheme="minorHAnsi" w:cstheme="minorHAnsi"/>
                <w:sz w:val="24"/>
                <w:szCs w:val="24"/>
              </w:rPr>
            </w:pPr>
          </w:p>
        </w:tc>
        <w:tc>
          <w:tcPr>
            <w:tcW w:w="1019" w:type="dxa"/>
          </w:tcPr>
          <w:p w14:paraId="2D9464C3" w14:textId="77777777" w:rsidR="001705EC" w:rsidRPr="0083007D" w:rsidRDefault="001705EC" w:rsidP="00237AFB">
            <w:pPr>
              <w:jc w:val="both"/>
              <w:rPr>
                <w:rFonts w:asciiTheme="minorHAnsi" w:hAnsiTheme="minorHAnsi" w:cstheme="minorHAnsi"/>
                <w:sz w:val="24"/>
                <w:szCs w:val="24"/>
              </w:rPr>
            </w:pPr>
          </w:p>
        </w:tc>
        <w:tc>
          <w:tcPr>
            <w:tcW w:w="2250" w:type="dxa"/>
          </w:tcPr>
          <w:p w14:paraId="30EA5E83" w14:textId="77777777" w:rsidR="001705EC" w:rsidRPr="0083007D" w:rsidRDefault="001705EC" w:rsidP="00237AFB">
            <w:pPr>
              <w:jc w:val="both"/>
              <w:rPr>
                <w:rFonts w:asciiTheme="minorHAnsi" w:hAnsiTheme="minorHAnsi" w:cstheme="minorHAnsi"/>
                <w:sz w:val="24"/>
                <w:szCs w:val="24"/>
              </w:rPr>
            </w:pPr>
          </w:p>
        </w:tc>
      </w:tr>
      <w:tr w:rsidR="00452E7F" w:rsidRPr="0083007D" w14:paraId="5D084FF7" w14:textId="77777777" w:rsidTr="00D02A7F">
        <w:tc>
          <w:tcPr>
            <w:tcW w:w="1908" w:type="dxa"/>
          </w:tcPr>
          <w:p w14:paraId="59848B68" w14:textId="77777777" w:rsidR="001705EC" w:rsidRPr="0083007D" w:rsidRDefault="001705EC" w:rsidP="00237AFB">
            <w:pPr>
              <w:jc w:val="both"/>
              <w:rPr>
                <w:rFonts w:asciiTheme="minorHAnsi" w:hAnsiTheme="minorHAnsi" w:cstheme="minorHAnsi"/>
                <w:sz w:val="24"/>
                <w:szCs w:val="24"/>
              </w:rPr>
            </w:pPr>
          </w:p>
        </w:tc>
        <w:tc>
          <w:tcPr>
            <w:tcW w:w="1570" w:type="dxa"/>
          </w:tcPr>
          <w:p w14:paraId="4CE506E6" w14:textId="77777777" w:rsidR="001705EC" w:rsidRPr="0083007D" w:rsidRDefault="001705EC" w:rsidP="00237AFB">
            <w:pPr>
              <w:jc w:val="both"/>
              <w:rPr>
                <w:rFonts w:asciiTheme="minorHAnsi" w:hAnsiTheme="minorHAnsi" w:cstheme="minorHAnsi"/>
                <w:sz w:val="24"/>
                <w:szCs w:val="24"/>
              </w:rPr>
            </w:pPr>
          </w:p>
        </w:tc>
        <w:tc>
          <w:tcPr>
            <w:tcW w:w="1810" w:type="dxa"/>
          </w:tcPr>
          <w:p w14:paraId="09467189" w14:textId="77777777" w:rsidR="001705EC" w:rsidRPr="0083007D" w:rsidRDefault="001705EC" w:rsidP="00237AFB">
            <w:pPr>
              <w:jc w:val="both"/>
              <w:rPr>
                <w:rFonts w:asciiTheme="minorHAnsi" w:hAnsiTheme="minorHAnsi" w:cstheme="minorHAnsi"/>
                <w:sz w:val="24"/>
                <w:szCs w:val="24"/>
              </w:rPr>
            </w:pPr>
          </w:p>
        </w:tc>
        <w:tc>
          <w:tcPr>
            <w:tcW w:w="1811" w:type="dxa"/>
          </w:tcPr>
          <w:p w14:paraId="6E7E4F49" w14:textId="77777777" w:rsidR="001705EC" w:rsidRPr="0083007D" w:rsidRDefault="001705EC" w:rsidP="00237AFB">
            <w:pPr>
              <w:jc w:val="both"/>
              <w:rPr>
                <w:rFonts w:asciiTheme="minorHAnsi" w:hAnsiTheme="minorHAnsi" w:cstheme="minorHAnsi"/>
                <w:sz w:val="24"/>
                <w:szCs w:val="24"/>
              </w:rPr>
            </w:pPr>
          </w:p>
        </w:tc>
        <w:tc>
          <w:tcPr>
            <w:tcW w:w="1019" w:type="dxa"/>
          </w:tcPr>
          <w:p w14:paraId="7EB49E66" w14:textId="77777777" w:rsidR="001705EC" w:rsidRPr="0083007D" w:rsidRDefault="001705EC" w:rsidP="00237AFB">
            <w:pPr>
              <w:jc w:val="both"/>
              <w:rPr>
                <w:rFonts w:asciiTheme="minorHAnsi" w:hAnsiTheme="minorHAnsi" w:cstheme="minorHAnsi"/>
                <w:sz w:val="24"/>
                <w:szCs w:val="24"/>
              </w:rPr>
            </w:pPr>
          </w:p>
        </w:tc>
        <w:tc>
          <w:tcPr>
            <w:tcW w:w="2250" w:type="dxa"/>
          </w:tcPr>
          <w:p w14:paraId="722DAB0F" w14:textId="77777777" w:rsidR="001705EC" w:rsidRPr="0083007D" w:rsidRDefault="001705EC" w:rsidP="00237AFB">
            <w:pPr>
              <w:jc w:val="both"/>
              <w:rPr>
                <w:rFonts w:asciiTheme="minorHAnsi" w:hAnsiTheme="minorHAnsi" w:cstheme="minorHAnsi"/>
                <w:sz w:val="24"/>
                <w:szCs w:val="24"/>
              </w:rPr>
            </w:pPr>
          </w:p>
        </w:tc>
      </w:tr>
      <w:tr w:rsidR="001705EC" w:rsidRPr="0083007D" w14:paraId="7875EE64" w14:textId="77777777" w:rsidTr="00D02A7F">
        <w:tc>
          <w:tcPr>
            <w:tcW w:w="1908" w:type="dxa"/>
            <w:shd w:val="clear" w:color="auto" w:fill="D9D9D9" w:themeFill="background1" w:themeFillShade="D9"/>
          </w:tcPr>
          <w:p w14:paraId="22F097C4"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Número de referencia del documento</w:t>
            </w:r>
          </w:p>
        </w:tc>
        <w:tc>
          <w:tcPr>
            <w:tcW w:w="3380" w:type="dxa"/>
            <w:gridSpan w:val="2"/>
          </w:tcPr>
          <w:p w14:paraId="02FAF64D" w14:textId="67CCF65A" w:rsidR="001705EC" w:rsidRPr="0083007D" w:rsidRDefault="00237AFB" w:rsidP="00237AFB">
            <w:pPr>
              <w:jc w:val="both"/>
              <w:rPr>
                <w:rFonts w:asciiTheme="minorHAnsi" w:hAnsiTheme="minorHAnsi" w:cstheme="minorHAnsi"/>
                <w:sz w:val="24"/>
                <w:szCs w:val="24"/>
              </w:rPr>
            </w:pPr>
            <w:r w:rsidRPr="0083007D">
              <w:rPr>
                <w:rFonts w:asciiTheme="minorHAnsi" w:hAnsiTheme="minorHAnsi" w:cstheme="minorHAnsi"/>
                <w:sz w:val="24"/>
                <w:szCs w:val="24"/>
                <w:lang w:eastAsia="en-GB"/>
              </w:rPr>
              <w:t>Anexo A.</w:t>
            </w:r>
            <w:r w:rsidR="0083007D" w:rsidRPr="0083007D">
              <w:rPr>
                <w:rFonts w:asciiTheme="minorHAnsi" w:hAnsiTheme="minorHAnsi" w:cstheme="minorHAnsi"/>
                <w:sz w:val="24"/>
                <w:szCs w:val="24"/>
                <w:lang w:eastAsia="en-GB"/>
              </w:rPr>
              <w:t>5.1</w:t>
            </w:r>
          </w:p>
        </w:tc>
        <w:tc>
          <w:tcPr>
            <w:tcW w:w="2830" w:type="dxa"/>
            <w:gridSpan w:val="2"/>
            <w:shd w:val="clear" w:color="auto" w:fill="D9D9D9" w:themeFill="background1" w:themeFillShade="D9"/>
          </w:tcPr>
          <w:p w14:paraId="70C78F02"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Confidencial</w:t>
                </w:r>
              </w:p>
            </w:tc>
          </w:sdtContent>
        </w:sdt>
      </w:tr>
    </w:tbl>
    <w:p w14:paraId="5F47735A" w14:textId="33104E07" w:rsidR="001705EC" w:rsidRPr="0083007D" w:rsidRDefault="001705EC" w:rsidP="00237AFB">
      <w:pPr>
        <w:jc w:val="both"/>
        <w:rPr>
          <w:rFonts w:asciiTheme="minorHAnsi" w:hAnsiTheme="minorHAnsi" w:cstheme="minorHAnsi"/>
          <w:sz w:val="24"/>
          <w:szCs w:val="24"/>
        </w:rPr>
      </w:pPr>
    </w:p>
    <w:p w14:paraId="5E10C2F3" w14:textId="752A583C" w:rsidR="0083007D" w:rsidRPr="0083007D" w:rsidRDefault="00FB4C1F" w:rsidP="0083007D">
      <w:pPr>
        <w:pStyle w:val="NormalWeb"/>
        <w:jc w:val="both"/>
        <w:rPr>
          <w:rFonts w:asciiTheme="minorHAnsi" w:hAnsiTheme="minorHAnsi" w:cstheme="minorHAnsi"/>
          <w:lang w:val="es-CL"/>
        </w:rPr>
      </w:pPr>
      <w:r>
        <w:rPr>
          <w:rFonts w:asciiTheme="minorHAnsi" w:hAnsiTheme="minorHAnsi" w:cstheme="minorHAnsi"/>
          <w:noProof/>
          <w:lang w:val="es-CL"/>
        </w:rPr>
        <w:drawing>
          <wp:anchor distT="0" distB="0" distL="114300" distR="114300" simplePos="0" relativeHeight="251658240" behindDoc="1" locked="0" layoutInCell="1" allowOverlap="1" wp14:anchorId="13578A76" wp14:editId="68003359">
            <wp:simplePos x="0" y="0"/>
            <wp:positionH relativeFrom="column">
              <wp:posOffset>-381000</wp:posOffset>
            </wp:positionH>
            <wp:positionV relativeFrom="paragraph">
              <wp:posOffset>272415</wp:posOffset>
            </wp:positionV>
            <wp:extent cx="2486025" cy="1457325"/>
            <wp:effectExtent l="0" t="0" r="0" b="9525"/>
            <wp:wrapNone/>
            <wp:docPr id="2108034477"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4477" name="Imagen 2" descr="Imagen que contiene Texto&#10;&#10;El contenido generado por IA puede ser incorrecto."/>
                    <pic:cNvPicPr/>
                  </pic:nvPicPr>
                  <pic:blipFill rotWithShape="1">
                    <a:blip r:embed="rId9">
                      <a:extLst>
                        <a:ext uri="{28A0092B-C50C-407E-A947-70E740481C1C}">
                          <a14:useLocalDpi xmlns:a14="http://schemas.microsoft.com/office/drawing/2010/main" val="0"/>
                        </a:ext>
                      </a:extLst>
                    </a:blip>
                    <a:srcRect l="29913" t="39847" r="26712" b="14994"/>
                    <a:stretch/>
                  </pic:blipFill>
                  <pic:spPr bwMode="auto">
                    <a:xfrm>
                      <a:off x="0" y="0"/>
                      <a:ext cx="2486025" cy="1457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74480D2" wp14:editId="65DEABD5">
            <wp:extent cx="2352675" cy="1685925"/>
            <wp:effectExtent l="0" t="0" r="9525" b="0"/>
            <wp:docPr id="1726461123"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1123" name="Imagen 3" descr="Interfaz de usuario gráfica&#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t="24794" r="58952" b="22963"/>
                    <a:stretch/>
                  </pic:blipFill>
                  <pic:spPr bwMode="auto">
                    <a:xfrm>
                      <a:off x="0" y="0"/>
                      <a:ext cx="2352675" cy="1685925"/>
                    </a:xfrm>
                    <a:prstGeom prst="rect">
                      <a:avLst/>
                    </a:prstGeom>
                    <a:noFill/>
                    <a:ln>
                      <a:noFill/>
                    </a:ln>
                    <a:extLst>
                      <a:ext uri="{53640926-AAD7-44D8-BBD7-CCE9431645EC}">
                        <a14:shadowObscured xmlns:a14="http://schemas.microsoft.com/office/drawing/2010/main"/>
                      </a:ext>
                    </a:extLst>
                  </pic:spPr>
                </pic:pic>
              </a:graphicData>
            </a:graphic>
          </wp:inline>
        </w:drawing>
      </w:r>
      <w:r w:rsidR="001705EC" w:rsidRPr="0083007D">
        <w:rPr>
          <w:rFonts w:asciiTheme="minorHAnsi" w:hAnsiTheme="minorHAnsi" w:cstheme="minorHAnsi"/>
          <w:lang w:val="es-CL"/>
        </w:rPr>
        <w:br w:type="page"/>
      </w:r>
      <w:r w:rsidR="0083007D" w:rsidRPr="0083007D">
        <w:rPr>
          <w:rFonts w:asciiTheme="minorHAnsi" w:hAnsiTheme="minorHAnsi" w:cstheme="minorHAnsi"/>
          <w:b/>
          <w:bCs/>
          <w:lang w:val="es-CL"/>
        </w:rPr>
        <w:lastRenderedPageBreak/>
        <w:t>POLÍTICA DE SEGURIDAD DE LA INFORMACIÓN</w:t>
      </w:r>
    </w:p>
    <w:p w14:paraId="4413DBB7"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EMPRESA: ANACONDA WEB DE CHILE</w:t>
      </w:r>
    </w:p>
    <w:p w14:paraId="48E0C37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VERSIÓN: 1.0</w:t>
      </w:r>
    </w:p>
    <w:p w14:paraId="71B85B3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AUTOR: AUDITOREX CHILE</w:t>
      </w:r>
    </w:p>
    <w:p w14:paraId="48912247"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REVISOR: MAURICIO ANTONIO COLOMERA VILLARROEL</w:t>
      </w:r>
    </w:p>
    <w:p w14:paraId="02DCE606"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FECHA: 2025-02-25</w:t>
      </w:r>
    </w:p>
    <w:p w14:paraId="6F711AB1"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CLASIFICACIÓN: CONFIDENCIAL</w:t>
      </w:r>
    </w:p>
    <w:p w14:paraId="6119E014" w14:textId="77777777" w:rsidR="0083007D" w:rsidRPr="0083007D" w:rsidRDefault="00000000" w:rsidP="0083007D">
      <w:pPr>
        <w:pStyle w:val="NormalWeb"/>
        <w:jc w:val="both"/>
        <w:rPr>
          <w:rFonts w:asciiTheme="minorHAnsi" w:hAnsiTheme="minorHAnsi" w:cstheme="minorHAnsi"/>
          <w:lang w:val="es-CL"/>
        </w:rPr>
      </w:pPr>
      <w:r>
        <w:rPr>
          <w:rFonts w:asciiTheme="minorHAnsi" w:hAnsiTheme="minorHAnsi" w:cstheme="minorHAnsi"/>
          <w:lang w:val="es-CL"/>
        </w:rPr>
        <w:pict w14:anchorId="6BF50E11">
          <v:rect id="_x0000_i1025" style="width:0;height:1.5pt" o:hralign="center" o:hrstd="t" o:hr="t" fillcolor="#a0a0a0" stroked="f"/>
        </w:pict>
      </w:r>
    </w:p>
    <w:p w14:paraId="38B63FB3"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ÍNDICE</w:t>
      </w:r>
    </w:p>
    <w:p w14:paraId="42B6871A"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Introducción</w:t>
      </w:r>
    </w:p>
    <w:p w14:paraId="6F69B873"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Alcance</w:t>
      </w:r>
    </w:p>
    <w:p w14:paraId="45D602F9"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Objetivo</w:t>
      </w:r>
    </w:p>
    <w:p w14:paraId="3E3CD336"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Principios de Seguridad de la Información</w:t>
      </w:r>
    </w:p>
    <w:p w14:paraId="3E7FA6C5"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Cumplimiento Normativo y Legal</w:t>
      </w:r>
    </w:p>
    <w:p w14:paraId="422D997A"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Responsabilidades</w:t>
      </w:r>
    </w:p>
    <w:p w14:paraId="6A65A2DA"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Protección de los Activos de Información</w:t>
      </w:r>
    </w:p>
    <w:p w14:paraId="5825749D"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Gestión de Riesgos de Seguridad</w:t>
      </w:r>
    </w:p>
    <w:p w14:paraId="2FF788B2"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Control de Acceso y Autenticación</w:t>
      </w:r>
    </w:p>
    <w:p w14:paraId="4643F073"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Continuidad del Negocio y Gestión de Incidentes</w:t>
      </w:r>
    </w:p>
    <w:p w14:paraId="376C592C"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Formación y Concienciación en Seguridad</w:t>
      </w:r>
    </w:p>
    <w:p w14:paraId="52A5CE51"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Revisión y Mejora de la Política</w:t>
      </w:r>
    </w:p>
    <w:p w14:paraId="3DE8D164" w14:textId="77777777" w:rsidR="0083007D" w:rsidRPr="0083007D" w:rsidRDefault="0083007D" w:rsidP="0083007D">
      <w:pPr>
        <w:pStyle w:val="NormalWeb"/>
        <w:numPr>
          <w:ilvl w:val="0"/>
          <w:numId w:val="63"/>
        </w:numPr>
        <w:jc w:val="both"/>
        <w:rPr>
          <w:rFonts w:asciiTheme="minorHAnsi" w:hAnsiTheme="minorHAnsi" w:cstheme="minorHAnsi"/>
          <w:lang w:val="es-CL"/>
        </w:rPr>
      </w:pPr>
      <w:r w:rsidRPr="0083007D">
        <w:rPr>
          <w:rFonts w:asciiTheme="minorHAnsi" w:hAnsiTheme="minorHAnsi" w:cstheme="minorHAnsi"/>
          <w:lang w:val="es-CL"/>
        </w:rPr>
        <w:t>Anexo: ISO 27001:2022 (A.5.1 - Políticas de Seguridad de la Información)</w:t>
      </w:r>
    </w:p>
    <w:p w14:paraId="27B5CC9C" w14:textId="77777777" w:rsidR="0083007D" w:rsidRPr="0083007D" w:rsidRDefault="00000000" w:rsidP="0083007D">
      <w:pPr>
        <w:pStyle w:val="NormalWeb"/>
        <w:jc w:val="both"/>
        <w:rPr>
          <w:rFonts w:asciiTheme="minorHAnsi" w:hAnsiTheme="minorHAnsi" w:cstheme="minorHAnsi"/>
          <w:lang w:val="es-CL"/>
        </w:rPr>
      </w:pPr>
      <w:r>
        <w:rPr>
          <w:rFonts w:asciiTheme="minorHAnsi" w:hAnsiTheme="minorHAnsi" w:cstheme="minorHAnsi"/>
          <w:lang w:val="es-CL"/>
        </w:rPr>
        <w:pict w14:anchorId="33299A49">
          <v:rect id="_x0000_i1026" style="width:0;height:1.5pt" o:hralign="center" o:hrstd="t" o:hr="t" fillcolor="#a0a0a0" stroked="f"/>
        </w:pict>
      </w:r>
    </w:p>
    <w:p w14:paraId="04774A00"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1. INTRODUCCIÓN</w:t>
      </w:r>
    </w:p>
    <w:p w14:paraId="6F5EA6DB"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 seguridad de la información es un pilar fundamental para Anaconda Web de Chile en el cumplimiento de sus objetivos empresariales y en la prestación de servicios confiables. En la actualidad, la protección de datos se ha convertido en un aspecto crítico para todas las industrias debido al aumento de amenazas cibernéticas, fugas de información y vulnerabilidades tecnológicas. No contar con una política de seguridad adecuada puede generar graves consecuencias, como pérdidas financieras, sanciones regulatorias y daño reputacional.</w:t>
      </w:r>
    </w:p>
    <w:p w14:paraId="1D341CFE"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 xml:space="preserve">El crecimiento del uso de tecnologías digitales en los procesos operativos ha elevado la importancia de establecer normativas que protejan los activos de información. La </w:t>
      </w:r>
      <w:r w:rsidRPr="0083007D">
        <w:rPr>
          <w:rFonts w:asciiTheme="minorHAnsi" w:hAnsiTheme="minorHAnsi" w:cstheme="minorHAnsi"/>
          <w:lang w:val="es-CL"/>
        </w:rPr>
        <w:lastRenderedPageBreak/>
        <w:t>implementación de esta política busca garantizar la confidencialidad, integridad y disponibilidad de los datos en todos los niveles de la organización. Además, permite mitigar riesgos asociados a ciberataques, accesos no autorizados y fallos en la infraestructura tecnológica.</w:t>
      </w:r>
    </w:p>
    <w:p w14:paraId="7348F272"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impacto de una gestión inadecuada de la seguridad de la información puede derivar en la interrupción de los servicios, afectando la continuidad del negocio y la confianza de los clientes. Un entorno sin medidas de seguridad adecuadas es vulnerable a incidentes que pueden comprometer datos críticos, exponiendo a la empresa a litigios y pérdida de competitividad en el mercado.</w:t>
      </w:r>
    </w:p>
    <w:p w14:paraId="5089E5C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Por ello, esta política define un marco de referencia que permite establecer lineamientos claros para la protección de la información. La seguridad de la información no solo es una obligación corporativa, sino también una estrategia clave para la sostenibilidad del negocio y la protección de los intereses de todas las partes involucradas.</w:t>
      </w:r>
    </w:p>
    <w:p w14:paraId="55406ED6"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2. ALCANCE</w:t>
      </w:r>
    </w:p>
    <w:p w14:paraId="23E8F165"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Esta política aplica a toda la información manejada por Anaconda Web de Chile, sin importar su formato o medio de almacenamiento. Incluye a todos los empleados, proveedores, clientes, contratistas y cualquier parte interesada que interactúe con los sistemas de información de la empresa. La política cubre la infraestructura de TI, comunicaciones, sistemas de software, hardware, bases de datos y cualquier otro activo de información relevante para la organización.</w:t>
      </w:r>
    </w:p>
    <w:p w14:paraId="3A816783"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Entre los sistemas y procesos específicos que están cubiertos por esta política se incluyen los servidores de producción, plataformas de almacenamiento en la nube, sistemas de gestión de bases de datos, aplicaciones internas de desarrollo, redes de comunicación internas y sistemas de autenticación y control de accesos. Asimismo, abarca la gestión de correos electrónicos corporativos, herramientas de colaboración en línea, sistemas de monitoreo de seguridad y registros de auditoría.</w:t>
      </w:r>
    </w:p>
    <w:p w14:paraId="116CF2CC"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Las excepciones a esta política incluyen aquellos sistemas y datos que están bajo administración de terceros con acuerdos contractuales específicos que regulan su seguridad de acuerdo con normativas equivalentes o superiores a las de esta política. También quedan excluidos los dispositivos personales de los empleados a menos que sean utilizados para acceder a los activos de información de la empresa, en cuyo caso deben cumplir con las directrices de seguridad establecidas.</w:t>
      </w:r>
    </w:p>
    <w:p w14:paraId="1BAB264C"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Cualquier modificación o inclusión de nuevos sistemas en el alcance de esta política deberá ser evaluada y aprobada por el comité de seguridad de la información, garantizando su alineación con los estándares de protección definidos por Anaconda Web de Chile.</w:t>
      </w:r>
    </w:p>
    <w:p w14:paraId="0FE8EF3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3. OBJETIVO</w:t>
      </w:r>
    </w:p>
    <w:p w14:paraId="762D5D3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lastRenderedPageBreak/>
        <w:t>El objetivo de esta política es proteger la información de Anaconda Web de Chile contra cualquier tipo de amenaza interna o externa, intencional o accidental, que pueda afectar su confidencialidad, integridad o disponibilidad. Además, se busca asegurar el cumplimiento con los requisitos de la norma ISO 27001:2022 y con las normativas legales y regulatorias aplicables.</w:t>
      </w:r>
    </w:p>
    <w:p w14:paraId="455D8063"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 aplicación de esta política permite mejorar la confianza de clientes y socios comerciales, quienes ven en Anaconda Web de Chile una empresa comprometida con la seguridad de su información. Un entorno seguro genera mayor credibilidad y fortalece la relación con las partes interesadas, lo que se traduce en una ventaja competitiva dentro del sector.</w:t>
      </w:r>
    </w:p>
    <w:p w14:paraId="2F133068"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Asimismo, la implementación de esta política optimiza los procesos internos al reducir incidentes relacionados con la seguridad de la información, minimizando tiempos de inactividad y costos derivados de brechas de seguridad. Una gestión eficiente de la seguridad facilita la continuidad operativa y permite una mejor asignación de recursos.</w:t>
      </w:r>
    </w:p>
    <w:p w14:paraId="0E34C27A"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Finalmente, al establecer directrices claras en materia de seguridad, se fomenta una cultura organizacional orientada a la protección de la información. Los empleados adquieren mayor conciencia sobre la importancia de la seguridad, promoviendo buenas prácticas y reduciendo riesgos asociados al factor humano.</w:t>
      </w:r>
    </w:p>
    <w:p w14:paraId="19157ABE"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4. PRINCIPIOS DE SEGURIDAD DE LA INFORMACIÓN</w:t>
      </w:r>
    </w:p>
    <w:p w14:paraId="68129C3E"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 seguridad de la información en Anaconda Web de Chile se basa en los siguientes principios fundamentales:</w:t>
      </w:r>
    </w:p>
    <w:p w14:paraId="2D00F2D5"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Confidencialidad: Asegurar que la información solo sea accesible a personas autorizadas. Por ejemplo, los datos de clientes almacenados en la base de datos corporativa están cifrados y solo pueden ser consultados por personal autorizado con credenciales verificadas. Además, se aplican controles de acceso basados en roles para restringir información sensible a los empleados que la necesitan estrictamente para su trabajo.</w:t>
      </w:r>
    </w:p>
    <w:p w14:paraId="187095F8"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Integridad: Mantener la exactitud y completitud de la información, evitando modificaciones no autorizadas. Para garantizar esto, se implementan registros de auditoría en los sistemas de gestión de información, donde cada cambio es rastreado y validado. Un caso práctico es la verificación de los registros financieros de la empresa, donde cualquier alteración debe ser aprobada por un supervisor antes de su consolidación.</w:t>
      </w:r>
    </w:p>
    <w:p w14:paraId="32361499"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 xml:space="preserve">Disponibilidad: Garantizar que la información y los sistemas estén accesibles cuando se necesiten. Se implementan estrategias como respaldos diarios automatizados y sistemas de redundancia en la infraestructura del </w:t>
      </w:r>
      <w:proofErr w:type="spellStart"/>
      <w:r w:rsidRPr="0083007D">
        <w:rPr>
          <w:rFonts w:asciiTheme="minorHAnsi" w:hAnsiTheme="minorHAnsi" w:cstheme="minorHAnsi"/>
          <w:lang w:val="es-CL"/>
        </w:rPr>
        <w:t>datacenter</w:t>
      </w:r>
      <w:proofErr w:type="spellEnd"/>
      <w:r w:rsidRPr="0083007D">
        <w:rPr>
          <w:rFonts w:asciiTheme="minorHAnsi" w:hAnsiTheme="minorHAnsi" w:cstheme="minorHAnsi"/>
          <w:lang w:val="es-CL"/>
        </w:rPr>
        <w:t xml:space="preserve"> para minimizar la posibilidad de interrupciones del servicio. Un ejemplo de aplicación es el uso de servidores en la nube con balanceo de carga, lo que permite continuidad operativa incluso ante fallas en un servidor físico.</w:t>
      </w:r>
    </w:p>
    <w:p w14:paraId="5FC112B0"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lastRenderedPageBreak/>
        <w:t>Legalidad: Cumplimiento de las leyes y regulaciones de protección de datos y seguridad de la información. La empresa se adhiere a normativas nacionales e internacionales, como la Ley de Protección de Datos Personales y la ISO 27001:2022, garantizando que todos los procesos internos cumplen con estos requisitos. Por ejemplo, antes de la recolección de datos de usuarios, se obtiene su consentimiento explícito para cumplir con los principios de privacidad y transparencia.</w:t>
      </w:r>
    </w:p>
    <w:p w14:paraId="0CF6D35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Responsabilidad: Todos los empleados y partes involucradas deben cumplir con sus responsabilidades de seguridad. Se implementan programas de formación en seguridad informática, donde cada trabajador recibe instrucciones sobre cómo proteger la información corporativa. Un caso práctico es la autenticación multifactorial obligatoria en accesos remotos, lo que reduce el riesgo de accesos no autorizados y refuerza la responsabilidad individual en la gestión de credenciales.</w:t>
      </w:r>
    </w:p>
    <w:p w14:paraId="74176010"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 seguridad de la información en Anaconda Web de Chile se basa en los siguientes principios fundamentales:</w:t>
      </w:r>
    </w:p>
    <w:p w14:paraId="3FCD3861"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5. CUMPLIMIENTO NORMATIVO Y LEGAL</w:t>
      </w:r>
    </w:p>
    <w:p w14:paraId="3EF8B0B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Anaconda Web de Chile se compromete a cumplir con todas las normativas locales e internacionales relacionadas con la seguridad de la información, incluyendo la Ley de Protección de Datos Personales, el Reglamento General de Protección de Datos (GDPR), la Ley de Ciberseguridad y la Ley de Servicios Digitales, así como las mejores prácticas establecidas en la norma ISO 27001:2022. Estas regulaciones establecen estándares estrictos para el tratamiento, almacenamiento y transmisión de información, garantizando que la empresa mantenga un alto nivel de protección de datos.</w:t>
      </w:r>
    </w:p>
    <w:p w14:paraId="65A111C8"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incumplimiento de estas normativas puede derivar en sanciones severas, tanto económicas como legales. Por ejemplo, bajo el GDPR, las multas pueden alcanzar hasta el 4% de los ingresos anuales globales o 20 millones de euros, lo que representa un riesgo financiero significativo para cualquier organización. En América Latina, la no conformidad con leyes de protección de datos puede conllevar penalizaciones económicas y la prohibición temporal o definitiva de operar en ciertos mercados.</w:t>
      </w:r>
    </w:p>
    <w:p w14:paraId="6F341EAA"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Para garantizar el cumplimiento normativo, Anaconda Web de Chile implementará auditorías regulares, revisará continuamente sus procesos y mantendrá actualizados sus controles de seguridad en función de los cambios regulatorios. Asimismo, los empleados recibirán capacitación constante sobre las normativas aplicables, asegurando que comprendan sus responsabilidades en el manejo de la información.</w:t>
      </w:r>
    </w:p>
    <w:p w14:paraId="3D894702"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Cualquier incumplimiento de esta política será considerado una falta grave y estará sujeto a sanciones disciplinarias dentro de la organización, incluyendo la terminación de contratos laborales o comerciales en casos de negligencia grave o incumplimiento intencional. Además, se establecerán mecanismos de reporte y denuncia para que cualquier irregularidad en el manejo de la información sea detectada y corregida de manera oportuna.</w:t>
      </w:r>
    </w:p>
    <w:p w14:paraId="5675FD41"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lastRenderedPageBreak/>
        <w:t>6. RESPONSABILIDADES</w:t>
      </w:r>
    </w:p>
    <w:p w14:paraId="0781852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 alta dirección es responsable de establecer y apoyar la política de seguridad de la información, asegurando que se dispongan los recursos necesarios para su correcta implementación. Su función incluye la definición de estrategias de seguridad, la aprobación de políticas y procedimientos, y la supervisión del cumplimiento de los objetivos de seguridad dentro de la organización. Además, deben garantizar la alineación de la seguridad de la información con los objetivos empresariales.</w:t>
      </w:r>
    </w:p>
    <w:p w14:paraId="0EDECBAB"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Gerente de SGSI (Sistema de Gestión de Seguridad de la Información) es el encargado de coordinar y supervisar la implementación de la política de seguridad. Sus responsabilidades incluyen la gestión de riesgos, la revisión periódica de las medidas de seguridad, la actualización de la política según cambios normativos o tecnológicos, y la coordinación de auditorías internas y externas para evaluar el cumplimiento de los controles establecidos.</w:t>
      </w:r>
    </w:p>
    <w:p w14:paraId="14381B11"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Los empleados son responsables de aplicar las medidas de seguridad en su entorno de trabajo diario, protegiendo la información contra accesos no autorizados y reportando incidentes de seguridad en cuanto sean detectados. Deben cumplir con las normativas establecidas en esta política y participar activamente en las capacitaciones en seguridad de la información proporcionadas por la empresa. También deben implementar buenas prácticas en el uso de contraseñas, acceso a sistemas y protección de datos sensibles.</w:t>
      </w:r>
    </w:p>
    <w:p w14:paraId="47731AA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Los proveedores y terceros con acceso a los sistemas de Anaconda Web de Chile deben cumplir con los requisitos de seguridad definidos en los acuerdos contractuales. Se establecerán controles para monitorear el cumplimiento de estos requisitos y garantizar que la seguridad de la información no se vea comprometida por actores externos. La empresa llevará a cabo auditorías regulares para verificar la adhesión de proveedores y socios a las políticas de seguridad establecidas.</w:t>
      </w:r>
    </w:p>
    <w:p w14:paraId="25D1D9A6"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7. PROTECCIÓN DE LOS ACTIVOS DE INFORMACIÓN</w:t>
      </w:r>
    </w:p>
    <w:p w14:paraId="7E97877F"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Todos los activos de información deben ser clasificados y protegidos de acuerdo con su nivel de criticidad y confidencialidad. Se implementarán controles de acceso físico y lógico para evitar accesos no autorizados. La información sensible será cifrada y almacenada en entornos seguros. Se realizarán respaldos periódicos de datos y pruebas de recuperación para garantizar la continuidad operativa.</w:t>
      </w:r>
    </w:p>
    <w:p w14:paraId="16361D4F"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Para proteger los activos de información, se aplicarán diversas medidas de seguridad. Por ejemplo, el acceso a los servidores de producción estará restringido mediante autenticación multifactor y permisos basados en roles, garantizando que solo el personal autorizado pueda acceder a ellos. En el caso de las bases de datos, se implementarán mecanismos de cifrado robusto y segmentación de la red para minimizar riesgos de filtración de datos.</w:t>
      </w:r>
    </w:p>
    <w:p w14:paraId="350F111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 xml:space="preserve">Los sistemas de almacenamiento en la nube serán monitoreados en tiempo real mediante herramientas de detección de intrusos y registros de auditoría automatizados. Además, se </w:t>
      </w:r>
      <w:r w:rsidRPr="0083007D">
        <w:rPr>
          <w:rFonts w:asciiTheme="minorHAnsi" w:hAnsiTheme="minorHAnsi" w:cstheme="minorHAnsi"/>
          <w:lang w:val="es-CL"/>
        </w:rPr>
        <w:lastRenderedPageBreak/>
        <w:t>establecerán procedimientos para la eliminación segura de información obsoleta, asegurando que los datos sensibles no sean recuperables una vez eliminados.</w:t>
      </w:r>
    </w:p>
    <w:p w14:paraId="1E0EFAA5"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 xml:space="preserve">Los dispositivos físicos, como servidores y estaciones de trabajo, serán protegidos mediante controles de acceso biométrico y políticas de bloqueo automático tras períodos de inactividad. Se implementarán soluciones de </w:t>
      </w:r>
      <w:proofErr w:type="spellStart"/>
      <w:r w:rsidRPr="0083007D">
        <w:rPr>
          <w:rFonts w:asciiTheme="minorHAnsi" w:hAnsiTheme="minorHAnsi" w:cstheme="minorHAnsi"/>
          <w:lang w:val="es-CL"/>
        </w:rPr>
        <w:t>endpoint</w:t>
      </w:r>
      <w:proofErr w:type="spellEnd"/>
      <w:r w:rsidRPr="0083007D">
        <w:rPr>
          <w:rFonts w:asciiTheme="minorHAnsi" w:hAnsiTheme="minorHAnsi" w:cstheme="minorHAnsi"/>
          <w:lang w:val="es-CL"/>
        </w:rPr>
        <w:t xml:space="preserve"> </w:t>
      </w:r>
      <w:proofErr w:type="spellStart"/>
      <w:r w:rsidRPr="0083007D">
        <w:rPr>
          <w:rFonts w:asciiTheme="minorHAnsi" w:hAnsiTheme="minorHAnsi" w:cstheme="minorHAnsi"/>
          <w:lang w:val="es-CL"/>
        </w:rPr>
        <w:t>security</w:t>
      </w:r>
      <w:proofErr w:type="spellEnd"/>
      <w:r w:rsidRPr="0083007D">
        <w:rPr>
          <w:rFonts w:asciiTheme="minorHAnsi" w:hAnsiTheme="minorHAnsi" w:cstheme="minorHAnsi"/>
          <w:lang w:val="es-CL"/>
        </w:rPr>
        <w:t xml:space="preserve"> para evitar infecciones por </w:t>
      </w:r>
      <w:proofErr w:type="gramStart"/>
      <w:r w:rsidRPr="0083007D">
        <w:rPr>
          <w:rFonts w:asciiTheme="minorHAnsi" w:hAnsiTheme="minorHAnsi" w:cstheme="minorHAnsi"/>
          <w:lang w:val="es-CL"/>
        </w:rPr>
        <w:t>malware</w:t>
      </w:r>
      <w:proofErr w:type="gramEnd"/>
      <w:r w:rsidRPr="0083007D">
        <w:rPr>
          <w:rFonts w:asciiTheme="minorHAnsi" w:hAnsiTheme="minorHAnsi" w:cstheme="minorHAnsi"/>
          <w:lang w:val="es-CL"/>
        </w:rPr>
        <w:t xml:space="preserve"> y ataques dirigidos. Además, se capacitará a los empleados en prácticas seguras de manejo de información para reducir vulnerabilidades causadas por errores humanos.</w:t>
      </w:r>
    </w:p>
    <w:p w14:paraId="3FB23F45"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8. GESTIÓN DE RIESGOS DE SEGURIDAD</w:t>
      </w:r>
    </w:p>
    <w:p w14:paraId="3431FDC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Anaconda Web de Chile implementará un proceso continuo de gestión de riesgos, identificando, evaluando y mitigando amenazas a la seguridad de la información. Los riesgos serán analizados en función de su impacto y probabilidad, estableciendo controles adecuados para su tratamiento. Se mantendrán registros de evaluación y seguimiento de los riesgos en la base de datos de seguridad.</w:t>
      </w:r>
    </w:p>
    <w:p w14:paraId="7CE2831A"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proceso de identificación de riesgos comenzará con un análisis exhaustivo de los activos de información, sus vulnerabilidades y las posibles amenazas que puedan comprometerlos. Se utilizarán metodologías como la evaluación cualitativa y cuantitativa de riesgos, aplicando estándares como ISO 31000 y NIST SP 800-30 para obtener una visión clara del panorama de riesgos.</w:t>
      </w:r>
    </w:p>
    <w:p w14:paraId="18CC704A"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 xml:space="preserve">Para mitigar los riesgos detectados, se adoptarán estrategias específicas según su nivel de criticidad. Por ejemplo, para riesgos de acceso no autorizado, se implementarán autenticación multifactorial y registros de auditoría detallados. Para riesgos asociados a pérdida de datos, se establecerán copias de seguridad automatizadas y pruebas periódicas de recuperación. Además, para amenazas de </w:t>
      </w:r>
      <w:proofErr w:type="gramStart"/>
      <w:r w:rsidRPr="0083007D">
        <w:rPr>
          <w:rFonts w:asciiTheme="minorHAnsi" w:hAnsiTheme="minorHAnsi" w:cstheme="minorHAnsi"/>
          <w:lang w:val="es-CL"/>
        </w:rPr>
        <w:t>malware</w:t>
      </w:r>
      <w:proofErr w:type="gramEnd"/>
      <w:r w:rsidRPr="0083007D">
        <w:rPr>
          <w:rFonts w:asciiTheme="minorHAnsi" w:hAnsiTheme="minorHAnsi" w:cstheme="minorHAnsi"/>
          <w:lang w:val="es-CL"/>
        </w:rPr>
        <w:t xml:space="preserve"> o ataques dirigidos, se emplearán sistemas de detección y prevención de intrusos junto con soluciones avanzadas de seguridad en los endpoints.</w:t>
      </w:r>
    </w:p>
    <w:p w14:paraId="75FC7376"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Algunos ejemplos de riesgos identificados incluyen la posibilidad de ataques de phishing dirigidos a empleados, vulnerabilidades en sistemas de software desactualizados y accesos no controlados a bases de datos sensibles. Para cada uno de estos escenarios, se definirán planes de respuesta que incluyan la capacitación del personal, la aplicación de parches de seguridad y la implementación de controles de acceso estrictos. La gestión de riesgos será revisada periódicamente para asegurar su efectividad y realizar mejoras continuas según las amenazas emergentes y los cambios en la infraestructura tecnológica de la empresa.</w:t>
      </w:r>
    </w:p>
    <w:p w14:paraId="70E678F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9. CONTROL DE ACCESO Y AUTENTICACIÓN</w:t>
      </w:r>
    </w:p>
    <w:p w14:paraId="54BC7D51"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acceso a la información estará restringido según los principios de necesidad y mínimo privilegio. Se utilizarán mecanismos de autenticación robustos, incluyendo contraseñas seguras y autenticación multifactor cuando sea necesario. El acceso a sistemas críticos será monitoreado y auditado regularmente para detectar actividades sospechosas.</w:t>
      </w:r>
    </w:p>
    <w:p w14:paraId="5E206C8F"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lastRenderedPageBreak/>
        <w:t>Para la administración de identidades y accesos, se implementará un sistema centralizado de gestión de identidades (IAM), el cual permitirá definir y asignar roles con base en funciones específicas dentro de la organización. Cada usuario tendrá credenciales únicas, y el acceso a información y sistemas estará limitado según su rol y responsabilidades. Además, se aplicarán políticas de revisión periódica de permisos para evitar accesos innecesarios o no autorizados.</w:t>
      </w:r>
    </w:p>
    <w:p w14:paraId="1CF1858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Las políticas de contraseñas seguras incluirán la exigencia de contraseñas con una longitud mínima de 12 caracteres, el uso de combinaciones de mayúsculas, minúsculas, números y caracteres especiales, así como la obligatoriedad de cambiar la contraseña periódicamente. También se implementará la autenticación multifactor (MFA) en todos los sistemas críticos, agregando una capa adicional de seguridad a los procesos de autenticación.</w:t>
      </w:r>
    </w:p>
    <w:p w14:paraId="789BCB1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monitoreo y auditoría de accesos se realizará mediante herramientas de registro y análisis de actividad, que detectarán intentos de acceso sospechosos y permitirán responder rápidamente a posibles incidentes de seguridad. Se establecerán procedimientos de respuesta para la revocación de credenciales en caso de incidentes de seguridad, terminación de empleados o cambios en los roles dentro de la organización.</w:t>
      </w:r>
    </w:p>
    <w:p w14:paraId="0BCAABF7"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10. CONTINUIDAD DEL NEGOCIO Y GESTIÓN DE INCIDENTES</w:t>
      </w:r>
    </w:p>
    <w:p w14:paraId="7933D335"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Se establecerán planes de continuidad del negocio para garantizar la operatividad ante incidentes de seguridad, fallas tecnológicas o desastres naturales. Estos planes incluirán análisis de impacto en el negocio (BIA) para identificar procesos críticos, pruebas regulares de recuperación de datos y la implementación de infraestructuras de respaldo en caso de interrupciones graves.</w:t>
      </w:r>
    </w:p>
    <w:p w14:paraId="543A8619"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 gestión de incidentes seguirá un proceso estructurado de detección, respuesta, mitigación y recuperación. Se establecerán canales de reporte internos y externos para incidentes de seguridad, asegurando que cualquier anomalía sea documentada y abordada de manera inmediata. Además, se realizarán simulacros periódicos para evaluar la efectividad de los protocolos de respuesta y capacitar a los empleados en la gestión de situaciones de crisis.</w:t>
      </w:r>
    </w:p>
    <w:p w14:paraId="64375202"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Ejemplos de incidentes previos manejados con éxito incluyen la contención de un ataque de ransomware, donde se activó el protocolo de respuesta que aisló los sistemas afectados y permitió la restauración completa de datos a partir de copias de seguridad sin impacto operativo. Otro caso exitoso fue la identificación y mitigación de un intento de acceso no autorizado a la red corporativa, donde la autenticación multifactor impidió la vulneración de credenciales y se implementaron medidas adicionales de seguridad para reforzar los accesos.</w:t>
      </w:r>
    </w:p>
    <w:p w14:paraId="39520A44"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Estos incidentes resaltan la importancia de contar con planes de continuidad bien definidos y de realizar auditorías y revisiones constantes de los mecanismos de seguridad. La empresa se compromete a actualizar sus estrategias de continuidad y gestión de incidentes conforme a las mejores prácticas y evolución de las amenazas en el entorno digital.</w:t>
      </w:r>
    </w:p>
    <w:p w14:paraId="1B60AFFE"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11. FORMACIÓN Y CONCIENCIACIÓN EN SEGURIDAD</w:t>
      </w:r>
    </w:p>
    <w:p w14:paraId="674C5C38"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lastRenderedPageBreak/>
        <w:t>Todos los empleados y contratistas recibirán formación periódica en seguridad de la información, asegurando que comprendan los riesgos asociados y las mejores prácticas de protección de datos. Se implementarán diferentes tipos de capacitaciones, incluyendo sesiones presenciales, cursos en línea y simulaciones de ciberataques, con el fin de fortalecer la cultura de seguridad en la empresa.</w:t>
      </w:r>
    </w:p>
    <w:p w14:paraId="777AABFA"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Las capacitaciones se realizarán con una frecuencia mínima de dos veces al año, además de sesiones extraordinarias en caso de cambios normativos, implementación de nuevas tecnologías o detección de incidentes de seguridad relevantes. Se brindarán programas especializados según el rol de cada empleado, asegurando que el personal de TI, administración y operaciones reciba formación específica acorde a sus responsabilidades.</w:t>
      </w:r>
    </w:p>
    <w:p w14:paraId="38249BA5"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Para evaluar la efectividad de la formación, se aplicarán pruebas de conocimientos antes y después de cada sesión, asegurando que los participantes hayan adquirido los conceptos clave. Adicionalmente, se realizarán ejercicios prácticos como ataques simulados de phishing y auditorías de cumplimiento interno para verificar la correcta aplicación de las medidas de seguridad enseñadas.</w:t>
      </w:r>
    </w:p>
    <w:p w14:paraId="6F73CC4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Como parte del compromiso de Anaconda Web de Chile con la seguridad de la información, se reforzará continuamente la concienciación a través de boletines informativos, recordatorios de seguridad y talleres interactivos. La empresa fomentará una cultura de reporte proactivo de incidentes, incentivando a los empleados a notificar cualquier actividad sospechosa sin temor a represalias.</w:t>
      </w:r>
    </w:p>
    <w:p w14:paraId="48718B20"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12. REVISIÓN Y MEJORA DE LA POLÍTICA</w:t>
      </w:r>
    </w:p>
    <w:p w14:paraId="46F32CDB"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Esta política será revisada anualmente o cuando ocurran cambios significativos en el entorno de seguridad de la organización. Se llevarán a cabo auditorías internas y externas para evaluar el grado de cumplimiento de los controles de seguridad, identificar brechas y proponer mejoras efectivas. Dichas auditorías seguirán estándares reconocidos como ISO 19011 y se realizarán con la participación de expertos en seguridad y cumplimiento normativo.</w:t>
      </w:r>
    </w:p>
    <w:p w14:paraId="7A0CAC6A"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Los criterios de revisión incluirán la eficacia de los controles implementados, la identificación de nuevos riesgos, el grado de cumplimiento con normativas actualizadas y la respuesta ante incidentes de seguridad ocurridos en el período evaluado. Se implementará un sistema de gestión documental para registrar hallazgos, recomendaciones y planes de acción correctivos derivados de cada revisión.</w:t>
      </w:r>
    </w:p>
    <w:p w14:paraId="533F5D10" w14:textId="267677C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 xml:space="preserve">Ejemplos de mejoras implementadas en revisiones anteriores incluyen la adopción de autenticación multifactorial en todos los accesos remotos, la actualización de políticas de acceso a datos sensibles y la implementación de simulacros periódicos de respuesta ante incidentes de seguridad. Además, se han fortalecido las capacitaciones en seguridad informática basadas en tendencias recientes de </w:t>
      </w:r>
      <w:proofErr w:type="spellStart"/>
      <w:r w:rsidR="00432907" w:rsidRPr="0083007D">
        <w:rPr>
          <w:rFonts w:asciiTheme="minorHAnsi" w:hAnsiTheme="minorHAnsi" w:cstheme="minorHAnsi"/>
          <w:lang w:val="es-CL"/>
        </w:rPr>
        <w:t>ciberamenazas</w:t>
      </w:r>
      <w:proofErr w:type="spellEnd"/>
      <w:r w:rsidRPr="0083007D">
        <w:rPr>
          <w:rFonts w:asciiTheme="minorHAnsi" w:hAnsiTheme="minorHAnsi" w:cstheme="minorHAnsi"/>
          <w:lang w:val="es-CL"/>
        </w:rPr>
        <w:t xml:space="preserve"> y errores humanos recurrentes.</w:t>
      </w:r>
    </w:p>
    <w:p w14:paraId="40E200B6"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lastRenderedPageBreak/>
        <w:t>Las modificaciones a esta política serán aprobadas por la alta dirección y comunicadas a todos los empleados y partes interesadas. Se utilizarán canales de comunicación internos para asegurar la difusión efectiva de los cambios, garantizando su correcta aplicación en toda la organización y manteniendo un entorno de seguridad actualizado y alineado con las mejores prácticas.</w:t>
      </w:r>
    </w:p>
    <w:p w14:paraId="39420E0D"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b/>
          <w:bCs/>
          <w:lang w:val="es-CL"/>
        </w:rPr>
        <w:t>13. ANEXO: ISO 27001:2022 (A.5.1 - POLÍTICAS DE SEGURIDAD DE LA INFORMACIÓN)</w:t>
      </w:r>
    </w:p>
    <w:p w14:paraId="3621CA96"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control A.5.1 de la norma ISO 27001:2022 establece la necesidad de desarrollar, documentar, aprobar y mantener políticas de seguridad de la información dentro de la organización. Estas políticas deben ser claras, comunicadas a todas las partes interesadas y revisadas periódicamente para garantizar su adecuación y efectividad en la gestión de riesgos.</w:t>
      </w:r>
    </w:p>
    <w:p w14:paraId="4965A95E"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La importancia de este control radica en su función como base del Sistema de Gestión de Seguridad de la Información (SGSI), asegurando que todos los procesos y decisiones de seguridad estén alineados con los objetivos estratégicos de la empresa. Además, contribuye a la transparencia y el cumplimiento normativo, garantizando que las prácticas de seguridad sean consistentes y auditables.</w:t>
      </w:r>
    </w:p>
    <w:p w14:paraId="5C1F62EC"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Para verificar su cumplimiento en Anaconda Web de Chile, se implementarán revisiones anuales de las políticas de seguridad, con auditorías internas y externas que evalúen su eficacia. Se mantendrá un registro documentado de todas las actualizaciones y modificaciones realizadas, y se asegurarán mecanismos de comunicación efectivos para que todos los empleados y terceros involucrados comprendan y apliquen los lineamientos establecidos.</w:t>
      </w:r>
    </w:p>
    <w:p w14:paraId="3B22E787"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El incumplimiento de esta política será gestionado mediante planes de acción correctivos, que incluirán capacitaciones obligatorias, implementación de controles adicionales y, en casos graves, sanciones disciplinarias. La alta dirección será responsable de aprobar cualquier modificación a las políticas, garantizando su alineación con la evolución de los riesgos y la regulación vigente.</w:t>
      </w:r>
    </w:p>
    <w:p w14:paraId="4519002F" w14:textId="77777777" w:rsidR="0083007D" w:rsidRPr="0083007D" w:rsidRDefault="0083007D" w:rsidP="0083007D">
      <w:pPr>
        <w:pStyle w:val="NormalWeb"/>
        <w:jc w:val="both"/>
        <w:rPr>
          <w:rFonts w:asciiTheme="minorHAnsi" w:hAnsiTheme="minorHAnsi" w:cstheme="minorHAnsi"/>
          <w:lang w:val="es-CL"/>
        </w:rPr>
      </w:pPr>
      <w:r w:rsidRPr="0083007D">
        <w:rPr>
          <w:rFonts w:asciiTheme="minorHAnsi" w:hAnsiTheme="minorHAnsi" w:cstheme="minorHAnsi"/>
          <w:lang w:val="es-CL"/>
        </w:rPr>
        <w:t>Esta política de seguridad de la información está alineada con el control A.5.1 de la norma ISO 27001:2022, que establece la necesidad de definir y aprobar políticas documentadas de seguridad de la información dentro de la organización. Su cumplimiento es obligatorio para todos los miembros de Anaconda Web de Chile.</w:t>
      </w:r>
    </w:p>
    <w:p w14:paraId="5EE8924C" w14:textId="6B28D241"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7D201" w14:textId="77777777" w:rsidR="00217A06" w:rsidRPr="0083007D" w:rsidRDefault="00217A06">
      <w:r w:rsidRPr="0083007D">
        <w:separator/>
      </w:r>
    </w:p>
    <w:p w14:paraId="52004029" w14:textId="77777777" w:rsidR="00217A06" w:rsidRPr="0083007D" w:rsidRDefault="00217A06"/>
    <w:p w14:paraId="6EAA4FE4" w14:textId="77777777" w:rsidR="00217A06" w:rsidRPr="0083007D" w:rsidRDefault="00217A06"/>
    <w:p w14:paraId="16C7C65B" w14:textId="77777777" w:rsidR="00217A06" w:rsidRPr="0083007D" w:rsidRDefault="00217A06" w:rsidP="00C1318C"/>
  </w:endnote>
  <w:endnote w:type="continuationSeparator" w:id="0">
    <w:p w14:paraId="78BDF393" w14:textId="77777777" w:rsidR="00217A06" w:rsidRPr="0083007D" w:rsidRDefault="00217A06">
      <w:r w:rsidRPr="0083007D">
        <w:continuationSeparator/>
      </w:r>
    </w:p>
    <w:p w14:paraId="2A363B93" w14:textId="77777777" w:rsidR="00217A06" w:rsidRPr="0083007D" w:rsidRDefault="00217A06"/>
    <w:p w14:paraId="7D9842E7" w14:textId="77777777" w:rsidR="00217A06" w:rsidRPr="0083007D" w:rsidRDefault="00217A06"/>
    <w:p w14:paraId="554B8337" w14:textId="77777777" w:rsidR="00217A06" w:rsidRPr="0083007D" w:rsidRDefault="00217A06"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6DD1" w14:textId="77777777" w:rsidR="0083007D" w:rsidRPr="0083007D" w:rsidRDefault="0083007D" w:rsidP="0083007D">
    <w:pPr>
      <w:pStyle w:val="Piedepgina"/>
      <w:jc w:val="center"/>
      <w:rPr>
        <w:rFonts w:asciiTheme="minorHAnsi" w:hAnsiTheme="minorHAnsi" w:cstheme="minorHAnsi"/>
      </w:rPr>
    </w:pPr>
    <w:r w:rsidRPr="0083007D">
      <w:rPr>
        <w:rFonts w:asciiTheme="minorHAnsi" w:hAnsiTheme="minorHAnsi" w:cstheme="minorHAnsi"/>
        <w:sz w:val="24"/>
        <w:szCs w:val="24"/>
        <w:lang w:eastAsia="en-GB"/>
      </w:rPr>
      <w:t xml:space="preserve">Anexo A.5.1 </w:t>
    </w:r>
    <w:r w:rsidRPr="0083007D">
      <w:rPr>
        <w:rFonts w:asciiTheme="minorHAnsi" w:hAnsiTheme="minorHAnsi" w:cstheme="minorHAnsi"/>
        <w:b/>
        <w:bCs/>
      </w:rPr>
      <w:t>POLÍTICAS DE SEGURIDAD DE LA INFORMACIÓN</w:t>
    </w:r>
  </w:p>
  <w:p w14:paraId="7575EA04" w14:textId="77777777" w:rsidR="00237AFB" w:rsidRPr="0083007D"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1808" w14:textId="77777777" w:rsidR="00217A06" w:rsidRPr="0083007D" w:rsidRDefault="00217A06">
      <w:r w:rsidRPr="0083007D">
        <w:separator/>
      </w:r>
    </w:p>
    <w:p w14:paraId="1FA5AC2C" w14:textId="77777777" w:rsidR="00217A06" w:rsidRPr="0083007D" w:rsidRDefault="00217A06"/>
    <w:p w14:paraId="31CACF7B" w14:textId="77777777" w:rsidR="00217A06" w:rsidRPr="0083007D" w:rsidRDefault="00217A06"/>
    <w:p w14:paraId="4C865DB3" w14:textId="77777777" w:rsidR="00217A06" w:rsidRPr="0083007D" w:rsidRDefault="00217A06" w:rsidP="00C1318C"/>
  </w:footnote>
  <w:footnote w:type="continuationSeparator" w:id="0">
    <w:p w14:paraId="0A1ED69B" w14:textId="77777777" w:rsidR="00217A06" w:rsidRPr="0083007D" w:rsidRDefault="00217A06">
      <w:r w:rsidRPr="0083007D">
        <w:continuationSeparator/>
      </w:r>
    </w:p>
    <w:p w14:paraId="5C1BA484" w14:textId="77777777" w:rsidR="00217A06" w:rsidRPr="0083007D" w:rsidRDefault="00217A06"/>
    <w:p w14:paraId="2B833C3D" w14:textId="77777777" w:rsidR="00217A06" w:rsidRPr="0083007D" w:rsidRDefault="00217A06"/>
    <w:p w14:paraId="64AAB34B" w14:textId="77777777" w:rsidR="00217A06" w:rsidRPr="0083007D" w:rsidRDefault="00217A06"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3007D" w:rsidRDefault="001637D6">
    <w:r w:rsidRPr="0083007D">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00D046D"/>
    <w:multiLevelType w:val="multilevel"/>
    <w:tmpl w:val="07AE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7"/>
  </w:num>
  <w:num w:numId="3" w16cid:durableId="1494763561">
    <w:abstractNumId w:val="15"/>
  </w:num>
  <w:num w:numId="4" w16cid:durableId="2135100286">
    <w:abstractNumId w:val="40"/>
  </w:num>
  <w:num w:numId="5" w16cid:durableId="1000818834">
    <w:abstractNumId w:val="21"/>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1"/>
  </w:num>
  <w:num w:numId="16" w16cid:durableId="240061859">
    <w:abstractNumId w:val="23"/>
  </w:num>
  <w:num w:numId="17" w16cid:durableId="1741440573">
    <w:abstractNumId w:val="37"/>
  </w:num>
  <w:num w:numId="18" w16cid:durableId="404303887">
    <w:abstractNumId w:val="24"/>
  </w:num>
  <w:num w:numId="19" w16cid:durableId="1072853763">
    <w:abstractNumId w:val="6"/>
  </w:num>
  <w:num w:numId="20" w16cid:durableId="888345100">
    <w:abstractNumId w:val="27"/>
  </w:num>
  <w:num w:numId="21" w16cid:durableId="2083486945">
    <w:abstractNumId w:val="31"/>
  </w:num>
  <w:num w:numId="22" w16cid:durableId="1412317948">
    <w:abstractNumId w:val="0"/>
  </w:num>
  <w:num w:numId="23" w16cid:durableId="1332220685">
    <w:abstractNumId w:val="49"/>
  </w:num>
  <w:num w:numId="24" w16cid:durableId="587539902">
    <w:abstractNumId w:val="52"/>
  </w:num>
  <w:num w:numId="25" w16cid:durableId="1814641950">
    <w:abstractNumId w:val="12"/>
  </w:num>
  <w:num w:numId="26" w16cid:durableId="805513463">
    <w:abstractNumId w:val="3"/>
  </w:num>
  <w:num w:numId="27" w16cid:durableId="1555776139">
    <w:abstractNumId w:val="55"/>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6"/>
  </w:num>
  <w:num w:numId="36" w16cid:durableId="674503644">
    <w:abstractNumId w:val="11"/>
  </w:num>
  <w:num w:numId="37" w16cid:durableId="1888105176">
    <w:abstractNumId w:val="54"/>
  </w:num>
  <w:num w:numId="38" w16cid:durableId="342171148">
    <w:abstractNumId w:val="16"/>
  </w:num>
  <w:num w:numId="39" w16cid:durableId="1308512191">
    <w:abstractNumId w:val="45"/>
  </w:num>
  <w:num w:numId="40" w16cid:durableId="751203121">
    <w:abstractNumId w:val="8"/>
  </w:num>
  <w:num w:numId="41" w16cid:durableId="1001616379">
    <w:abstractNumId w:val="48"/>
  </w:num>
  <w:num w:numId="42" w16cid:durableId="157235028">
    <w:abstractNumId w:val="32"/>
  </w:num>
  <w:num w:numId="43" w16cid:durableId="1076974531">
    <w:abstractNumId w:val="30"/>
  </w:num>
  <w:num w:numId="44" w16cid:durableId="908157133">
    <w:abstractNumId w:val="10"/>
  </w:num>
  <w:num w:numId="45" w16cid:durableId="1528714069">
    <w:abstractNumId w:val="47"/>
  </w:num>
  <w:num w:numId="46" w16cid:durableId="1350448151">
    <w:abstractNumId w:val="38"/>
  </w:num>
  <w:num w:numId="47" w16cid:durableId="134489178">
    <w:abstractNumId w:val="26"/>
  </w:num>
  <w:num w:numId="48" w16cid:durableId="904069908">
    <w:abstractNumId w:val="35"/>
  </w:num>
  <w:num w:numId="49" w16cid:durableId="876355981">
    <w:abstractNumId w:val="20"/>
  </w:num>
  <w:num w:numId="50" w16cid:durableId="1270042179">
    <w:abstractNumId w:val="39"/>
  </w:num>
  <w:num w:numId="51" w16cid:durableId="610477338">
    <w:abstractNumId w:val="9"/>
  </w:num>
  <w:num w:numId="52" w16cid:durableId="1976401646">
    <w:abstractNumId w:val="4"/>
  </w:num>
  <w:num w:numId="53" w16cid:durableId="1718821827">
    <w:abstractNumId w:val="29"/>
  </w:num>
  <w:num w:numId="54" w16cid:durableId="404844148">
    <w:abstractNumId w:val="7"/>
  </w:num>
  <w:num w:numId="55" w16cid:durableId="819855879">
    <w:abstractNumId w:val="22"/>
  </w:num>
  <w:num w:numId="56" w16cid:durableId="362633569">
    <w:abstractNumId w:val="50"/>
  </w:num>
  <w:num w:numId="57" w16cid:durableId="1293904960">
    <w:abstractNumId w:val="2"/>
  </w:num>
  <w:num w:numId="58" w16cid:durableId="2072266967">
    <w:abstractNumId w:val="43"/>
  </w:num>
  <w:num w:numId="59" w16cid:durableId="1449856183">
    <w:abstractNumId w:val="19"/>
  </w:num>
  <w:num w:numId="60" w16cid:durableId="264847693">
    <w:abstractNumId w:val="1"/>
  </w:num>
  <w:num w:numId="61" w16cid:durableId="140850691">
    <w:abstractNumId w:val="41"/>
  </w:num>
  <w:num w:numId="62" w16cid:durableId="1923098859">
    <w:abstractNumId w:val="33"/>
  </w:num>
  <w:num w:numId="63" w16cid:durableId="510678836">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A06"/>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6C51"/>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2907"/>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5F6011"/>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07D"/>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56A8"/>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86C"/>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42E5"/>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C1F"/>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06777867">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87804588">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3708985">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13326961">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4685577">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593974581">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5F6011"/>
    <w:rsid w:val="00611E4E"/>
    <w:rsid w:val="006C7BDF"/>
    <w:rsid w:val="00737BAE"/>
    <w:rsid w:val="00871B28"/>
    <w:rsid w:val="00912671"/>
    <w:rsid w:val="00930D52"/>
    <w:rsid w:val="009C1F3E"/>
    <w:rsid w:val="00B3686C"/>
    <w:rsid w:val="00B63AF7"/>
    <w:rsid w:val="00B92933"/>
    <w:rsid w:val="00BE3609"/>
    <w:rsid w:val="00C81A8B"/>
    <w:rsid w:val="00CB26E6"/>
    <w:rsid w:val="00D23467"/>
    <w:rsid w:val="00D36B5D"/>
    <w:rsid w:val="00E14CE0"/>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3778</Words>
  <Characters>20782</Characters>
  <Application>Microsoft Office Word</Application>
  <DocSecurity>0</DocSecurity>
  <Lines>173</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24511</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3</cp:revision>
  <cp:lastPrinted>2016-07-27T15:25:00Z</cp:lastPrinted>
  <dcterms:created xsi:type="dcterms:W3CDTF">2025-02-25T17:09:00Z</dcterms:created>
  <dcterms:modified xsi:type="dcterms:W3CDTF">2025-03-25T16:48:00Z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