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right"/>
      </w:pPr>
      <w:r>
        <w:drawing>
          <wp:inline xmlns:a="http://schemas.openxmlformats.org/drawingml/2006/main" xmlns:pic="http://schemas.openxmlformats.org/drawingml/2006/picture">
            <wp:extent cx="1234440" cy="1337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eet-coffee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337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Calibri" w:hAnsi="Calibri"/>
          <w:b/>
          <w:i w:val="0"/>
          <w:color w:val="17365D"/>
          <w:sz w:val="48"/>
        </w:rPr>
        <w:t>INFORME EJECUTIVO</w:t>
      </w:r>
    </w:p>
    <w:p>
      <w:pPr>
        <w:spacing w:after="180"/>
      </w:pPr>
      <w:r>
        <w:rPr>
          <w:rFonts w:ascii="Calibri" w:hAnsi="Calibri"/>
          <w:b/>
          <w:i w:val="0"/>
          <w:color w:val="1F4D78"/>
          <w:sz w:val="32"/>
        </w:rPr>
        <w:t>Preparación para puesta en marcha general y salida a producción</w:t>
      </w:r>
    </w:p>
    <w:p>
      <w:pPr>
        <w:spacing w:after="360"/>
      </w:pPr>
      <w:r>
        <w:rPr>
          <w:rFonts w:ascii="Calibri" w:hAnsi="Calibri"/>
          <w:b w:val="0"/>
          <w:i w:val="0"/>
          <w:color w:val="667085"/>
          <w:sz w:val="25"/>
        </w:rPr>
        <w:t>Plataforma corporativa de visitas y auditorías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22"/>
        </w:rPr>
        <w:t xml:space="preserve">Dirigido a: </w:t>
      </w:r>
      <w:r>
        <w:rPr>
          <w:rFonts w:ascii="Calibri" w:hAnsi="Calibri"/>
          <w:b w:val="0"/>
          <w:i w:val="0"/>
          <w:color w:val="1F2937"/>
          <w:sz w:val="22"/>
        </w:rPr>
        <w:t>Gerencia de Auditoría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22"/>
        </w:rPr>
        <w:t xml:space="preserve">Fecha de evaluación: </w:t>
      </w:r>
      <w:r>
        <w:rPr>
          <w:rFonts w:ascii="Calibri" w:hAnsi="Calibri"/>
          <w:b w:val="0"/>
          <w:i w:val="0"/>
          <w:color w:val="1F2937"/>
          <w:sz w:val="22"/>
        </w:rPr>
        <w:t>3 de julio de 2026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22"/>
        </w:rPr>
        <w:t xml:space="preserve">Estado evaluado: </w:t>
      </w:r>
      <w:r>
        <w:rPr>
          <w:rFonts w:ascii="Calibri" w:hAnsi="Calibri"/>
          <w:b w:val="0"/>
          <w:i w:val="0"/>
          <w:color w:val="1F2937"/>
          <w:sz w:val="22"/>
        </w:rPr>
        <w:t>Entorno preview / preparación productiva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22"/>
        </w:rPr>
        <w:t xml:space="preserve">Clasificación: </w:t>
      </w:r>
      <w:r>
        <w:rPr>
          <w:rFonts w:ascii="Calibri" w:hAnsi="Calibri"/>
          <w:b w:val="0"/>
          <w:i w:val="0"/>
          <w:color w:val="1F2937"/>
          <w:sz w:val="22"/>
        </w:rPr>
        <w:t>Confidencial - Uso interno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22"/>
        </w:rPr>
        <w:t xml:space="preserve">Alcance: </w:t>
      </w:r>
      <w:r>
        <w:rPr>
          <w:rFonts w:ascii="Calibri" w:hAnsi="Calibri"/>
          <w:b w:val="0"/>
          <w:i w:val="0"/>
          <w:color w:val="1F2937"/>
          <w:sz w:val="22"/>
        </w:rPr>
        <w:t>Aplicación Expo, GitHub, EAS y Supabase</w:t>
      </w:r>
    </w:p>
    <w:p>
      <w:pPr>
        <w:spacing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 xml:space="preserve">DECISIÓN RECOMENDADA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Autorizar continuidad del piloto controlado y condicionar la salida productiva general al cierre de los riesgos P0/P1 de seguridad y continuidad detallados en este informe.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Resumen ejecutivo</w:t>
      </w:r>
    </w:p>
    <w:p>
      <w:pPr>
        <w:spacing w:after="120"/>
      </w:pPr>
      <w:r>
        <w:rPr>
          <w:rFonts w:ascii="Calibri" w:hAnsi="Calibri"/>
          <w:b w:val="0"/>
          <w:i w:val="0"/>
          <w:color w:val="1F2937"/>
          <w:sz w:val="22"/>
        </w:rPr>
        <w:t>La solución presenta una base funcional y de gobierno tecnológico favorable para digitalizar las visitas de auditoría: controla roles y regiones, protege las tablas mediante Row Level Security (RLS), registra evidencia y firmas, automatiza validaciones y despliegues, y mantiene la rama principal protegida mediante Pull Requests obligatorios. Las verificaciones técnicas actuales reportan TypeScript sin errores, Expo Doctor 21/21 y ejecuciones recientes exitosas en GitHub Actions.</w:t>
      </w:r>
    </w:p>
    <w:p>
      <w:pPr>
        <w:spacing w:after="120"/>
      </w:pPr>
      <w:r>
        <w:rPr>
          <w:rFonts w:ascii="Calibri" w:hAnsi="Calibri"/>
          <w:b w:val="0"/>
          <w:i w:val="0"/>
          <w:color w:val="1F2937"/>
          <w:sz w:val="22"/>
        </w:rPr>
        <w:t>No obstante, la evaluación identificó exposiciones que deben resolverse antes de una salida general: una Edge Function privilegiada sin validación explícita del solicitante, un repositorio público de evidencias con permiso amplio de listado, una función SECURITY DEFINER expuesta, protección contra contraseñas filtradas desactivada y ausencia de evidencia formal de recuperación ante desastres.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560"/>
        <w:gridCol w:w="3000"/>
      </w:tblGrid>
      <w:tr>
        <w:trPr>
          <w:tblHeader w:val="true"/>
        </w:trPr>
        <w:tc>
          <w:tcPr>
            <w:tcW w:type="dxa" w:w="1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Dimensión</w:t>
            </w:r>
          </w:p>
        </w:tc>
        <w:tc>
          <w:tcPr>
            <w:tcW w:type="dxa" w:w="45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Situación actual</w:t>
            </w:r>
          </w:p>
        </w:tc>
        <w:tc>
          <w:tcPr>
            <w:tcW w:type="dxa" w:w="30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Criterio ejecutivo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Funcionalidad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Operativa en preview; flujo de visita, checklist, cierre y administración.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Favorable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Seguridad de datos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RLS activo en 15 tablas; cinco advertencias de seguridad pendientes.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Condicionada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Gobierno de cambios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main protegida, PR obligatorio, validación y despliegues automatizados.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Favorable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Continuidad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Sin evidencia documentada de prueba de restauración, RTO/RPO o plan de contingencia.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Pendiente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Producción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Actualmente en preview; OTA Android y web automatizadas para cambios compatibles.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No liberar aún de forma general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2. Alcance y metodología</w:t>
      </w:r>
    </w:p>
    <w:p>
      <w:pPr>
        <w:spacing w:after="120"/>
      </w:pPr>
      <w:r>
        <w:rPr>
          <w:rFonts w:ascii="Calibri" w:hAnsi="Calibri"/>
          <w:b w:val="0"/>
          <w:i w:val="0"/>
          <w:color w:val="1F2937"/>
          <w:sz w:val="22"/>
        </w:rPr>
        <w:t>La evaluación cubrió controles técnicos y operativos observables al 3 de julio de 2026. No constituye una prueba de penetración, auditoría legal ni certificación de cumplimiento.</w:t>
      </w:r>
    </w:p>
    <w:p>
      <w:pPr>
        <w:pStyle w:val="ListBullet"/>
      </w:pPr>
      <w:r>
        <w:rPr>
          <w:rFonts w:ascii="Calibri" w:hAnsi="Calibri"/>
          <w:b/>
          <w:i w:val="0"/>
          <w:color w:val="1F2937"/>
          <w:sz w:val="22"/>
        </w:rPr>
        <w:t xml:space="preserve">Código y arquitectura: </w:t>
      </w:r>
      <w:r>
        <w:rPr>
          <w:rFonts w:ascii="Calibri" w:hAnsi="Calibri"/>
          <w:b w:val="0"/>
          <w:i w:val="0"/>
          <w:color w:val="1F2937"/>
          <w:sz w:val="22"/>
        </w:rPr>
        <w:t>rutas Expo, lógica de roles, almacenamiento local, Edge Functions y migraciones.</w:t>
      </w:r>
    </w:p>
    <w:p>
      <w:pPr>
        <w:pStyle w:val="ListBullet"/>
      </w:pPr>
      <w:r>
        <w:rPr>
          <w:rFonts w:ascii="Calibri" w:hAnsi="Calibri"/>
          <w:b/>
          <w:i w:val="0"/>
          <w:color w:val="1F2937"/>
          <w:sz w:val="22"/>
        </w:rPr>
        <w:t xml:space="preserve">Base de datos: </w:t>
      </w:r>
      <w:r>
        <w:rPr>
          <w:rFonts w:ascii="Calibri" w:hAnsi="Calibri"/>
          <w:b w:val="0"/>
          <w:i w:val="0"/>
          <w:color w:val="1F2937"/>
          <w:sz w:val="22"/>
        </w:rPr>
        <w:t>tablas públicas, estado RLS, historial de migraciones y asesores de seguridad de Supabase.</w:t>
      </w:r>
    </w:p>
    <w:p>
      <w:pPr>
        <w:pStyle w:val="ListBullet"/>
      </w:pPr>
      <w:r>
        <w:rPr>
          <w:rFonts w:ascii="Calibri" w:hAnsi="Calibri"/>
          <w:b/>
          <w:i w:val="0"/>
          <w:color w:val="1F2937"/>
          <w:sz w:val="22"/>
        </w:rPr>
        <w:t xml:space="preserve">Gestión de cambios: </w:t>
      </w:r>
      <w:r>
        <w:rPr>
          <w:rFonts w:ascii="Calibri" w:hAnsi="Calibri"/>
          <w:b w:val="0"/>
          <w:i w:val="0"/>
          <w:color w:val="1F2937"/>
          <w:sz w:val="22"/>
        </w:rPr>
        <w:t>protección de main, Pull Requests, validaciones, OTA preview, web y funciones.</w:t>
      </w:r>
    </w:p>
    <w:p>
      <w:pPr>
        <w:pStyle w:val="ListBullet"/>
      </w:pPr>
      <w:r>
        <w:rPr>
          <w:rFonts w:ascii="Calibri" w:hAnsi="Calibri"/>
          <w:b/>
          <w:i w:val="0"/>
          <w:color w:val="1F2937"/>
          <w:sz w:val="22"/>
        </w:rPr>
        <w:t xml:space="preserve">Dependencias: </w:t>
      </w:r>
      <w:r>
        <w:rPr>
          <w:rFonts w:ascii="Calibri" w:hAnsi="Calibri"/>
          <w:b w:val="0"/>
          <w:i w:val="0"/>
          <w:color w:val="1F2937"/>
          <w:sz w:val="22"/>
        </w:rPr>
        <w:t>compatibilidad Expo SDK 56 y resumen de vulnerabilidades npm.</w:t>
      </w:r>
    </w:p>
    <w:p>
      <w:pPr>
        <w:pStyle w:val="ListBullet"/>
      </w:pPr>
      <w:r>
        <w:rPr>
          <w:rFonts w:ascii="Calibri" w:hAnsi="Calibri"/>
          <w:b/>
          <w:i w:val="0"/>
          <w:color w:val="1F2937"/>
          <w:sz w:val="22"/>
        </w:rPr>
        <w:t xml:space="preserve">Operación: </w:t>
      </w:r>
      <w:r>
        <w:rPr>
          <w:rFonts w:ascii="Calibri" w:hAnsi="Calibri"/>
          <w:b w:val="0"/>
          <w:i w:val="0"/>
          <w:color w:val="1F2937"/>
          <w:sz w:val="22"/>
        </w:rPr>
        <w:t>separación preview/producción, automatizaciones y controles manuales.</w:t>
      </w:r>
    </w:p>
    <w:p>
      <w:pPr>
        <w:pStyle w:val="Heading1"/>
        <w:keepNext/>
      </w:pPr>
      <w:r>
        <w:t>3. Estado general de la solución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700"/>
        <w:gridCol w:w="1860"/>
      </w:tblGrid>
      <w:tr>
        <w:trPr>
          <w:tblHeader w:val="true"/>
        </w:trPr>
        <w:tc>
          <w:tcPr>
            <w:tcW w:type="dxa" w:w="1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Componente</w:t>
            </w:r>
          </w:p>
        </w:tc>
        <w:tc>
          <w:tcPr>
            <w:tcW w:type="dxa" w:w="57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Evidencia verificada</w:t>
            </w:r>
          </w:p>
        </w:tc>
        <w:tc>
          <w:tcPr>
            <w:tcW w:type="dxa" w:w="18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Estado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Aplicación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Expo SDK 56.0.13, React Native 0.85.3, Expo Router 56.2.12.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Compatible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Base de datos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Proyecto Supabase activo y saludable; PostgreSQL 17; 21 migraciones registradas.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Operativo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Seguridad de tablas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15 de 15 tablas públicas con RLS habilitado.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Favorable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Funciones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finalize-report, accept-invite y send-invitation activas.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Operativo con observaciones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Repositorio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main protegida; PR y check obligatorio; sin force-push ni borrado.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Favorable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Despliegue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Web beta, OTA Android preview y Edge Functions automatizadas desde main.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Favorable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Calidad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TypeScript OK; Expo Doctor 21/21; 13 vulnerabilidades moderadas, 0 altas/críticas.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Atención programada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Protección de información corporativa y datos</w:t>
      </w:r>
    </w:p>
    <w:p>
      <w:pPr>
        <w:pStyle w:val="Heading2"/>
        <w:keepNext/>
      </w:pPr>
      <w:r>
        <w:t>4.1 Controles favorables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Las tablas expuestas cuentan con RLS, reduciendo el riesgo de acceso transversal no autorizado.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La aplicación utiliza una clave pública/anon en cliente; las claves privilegiadas se mantienen en funciones y secretos del servidor.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Las migraciones se versionan y no se ejecutan automáticamente contra producción; esto reduce cambios destructivos accidentales.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El código y los despliegues están trazados en GitHub; los cambios pasan por PR y validación automática.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Las marcas de fecha y hora de inicio/cierre se generan automáticamente, mejorando integridad y trazabilidad.</w:t>
      </w:r>
    </w:p>
    <w:p>
      <w:pPr>
        <w:pStyle w:val="Heading2"/>
        <w:keepNext/>
      </w:pPr>
      <w:r>
        <w:t>4.2 Riesgos prioritarios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RIESGO CRÍTICO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finalize-report está publicada con verify_jwt=false, utiliza service_role y no se observó validación explícita del token, rol o propiedad del reporte antes de consultar y enviar información. Debe cerrarse antes de producción general.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El bucket evidencias es público y una política permite a cualquier usuario autenticado listar todos los archivos; puede exponer nombres, rutas o contenidos más allá de su región o reporte.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check_institutional_email es SECURITY DEFINER, está en public, puede ser ejecutada por anon/authenticated y no fija search_path.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La protección de contraseñas filtradas de Supabase Auth está deshabilitada.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El archivo .env está versionado. Actualmente contiene variables EXPO_PUBLIC, pero esta práctica aumenta el riesgo de incorporación futura de secretos y exige saneamiento del historial.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No se evidenció una política aprobada de retención, clasificación, eliminación segura o residencia de datos para evidencias y firmas.</w:t>
      </w:r>
    </w:p>
    <w:p>
      <w:r>
        <w:br w:type="page"/>
      </w:r>
    </w:p>
    <w:p>
      <w:pPr>
        <w:pStyle w:val="Heading1"/>
        <w:keepNext/>
      </w:pPr>
      <w:r>
        <w:t>5. Protección entre roles y segregación de funciones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400"/>
        <w:gridCol w:w="3300"/>
        <w:gridCol w:w="2160"/>
      </w:tblGrid>
      <w:tr>
        <w:trPr>
          <w:tblHeader w:val="true"/>
        </w:trPr>
        <w:tc>
          <w:tcPr>
            <w:tcW w:type="dxa" w:w="1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Rol</w:t>
            </w:r>
          </w:p>
        </w:tc>
        <w:tc>
          <w:tcPr>
            <w:tcW w:type="dxa" w:w="24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Alcance esperado</w:t>
            </w:r>
          </w:p>
        </w:tc>
        <w:tc>
          <w:tcPr>
            <w:tcW w:type="dxa" w:w="33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Controles observados</w:t>
            </w:r>
          </w:p>
        </w:tc>
        <w:tc>
          <w:tcPr>
            <w:tcW w:type="dxa" w:w="21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Riesgo residual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Auditor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Crear y gestionar visitas propias/regionales.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Filtros por usuario/región; RLS; acceso administrativo bloqueado.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Validar con pruebas negativas automatizadas.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Administrador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Administrar catálogo, usuarios e información de su región.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Políticas regionales; no puede crear super_admin; controles en UI y RLS.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Revisar periódicamente privilegios y cuentas inactivas.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Super administrador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Acceso global y administración transversal.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Rol explícito; políticas diferenciadas; acceso global intencional.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Alto impacto si la cuenta se compromete; requiere MFA y doble control.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color w:val="1F2937"/>
          <w:sz w:val="22"/>
        </w:rPr>
        <w:t>Conclusión de roles: la segregación está bien diseñada en capas de interfaz y base de datos. Para elevarla a nivel productivo, deben añadirse pruebas automáticas que demuestren que cada rol no puede ejecutar acciones del nivel superior, incluso mediante llamadas directas a la API.</w:t>
      </w:r>
    </w:p>
    <w:p>
      <w:pPr>
        <w:pStyle w:val="Heading1"/>
        <w:keepNext/>
      </w:pPr>
      <w:r>
        <w:t>6. Gobierno de cambios, Expo y continuidad del servicio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main es estable y protegida: requiere Pull Request, validación actualizada, historial lineal y resolución de conversaciones.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Las ramas feature validan TypeScript, Expo y exportación web, pero no despliegan a Supabase ni publican APK.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Los cambios compatibles en main publican web beta y OTA Android en preview.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Los cambios nativos o de dependencias requieren una nueva APK; la OTA no debe usarse para modificar el contrato nativo.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Las Edge Functions se despliegan automáticamente solo desde main; db push y migraciones permanecen manuales.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No existe flujo Supabase -&gt; GitHub ni sincronización automática de datos, evitando ciclos y escrituras cruzadas.</w:t>
      </w:r>
    </w:p>
    <w:p>
      <w:pPr>
        <w:pStyle w:val="Heading1"/>
        <w:keepNext/>
      </w:pPr>
      <w:r>
        <w:t>7. Análisis FODA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F5E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Fortalezas</w:t>
            </w:r>
          </w:p>
        </w:tc>
        <w:tc>
          <w:tcPr>
            <w:tcW w:type="dxa" w:w="4680"/>
            <w:shd w:fill="E8F5E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Oportunidades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RLS en todas las tablas públicas; roles y segmentación regional; PR obligatorio; despliegues trazables; flujo web/móvil compartido; firmas y evidencias digitales.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SSO/MFA corporativo; pruebas E2E y de RLS; observabilidad; tableros gerenciales; despliegues graduales; retención automatizada; analítica de hallazgos.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D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Debilidades</w:t>
            </w:r>
          </w:p>
        </w:tc>
        <w:tc>
          <w:tcPr>
            <w:tcW w:type="dxa" w:w="4680"/>
            <w:shd w:fill="FD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Amenazas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Función privilegiada sin autenticación explícita; bucket público; cinco avisos de Supabase; .env versionado; 13 vulnerabilidades moderadas; ausencia de DR probado y pruebas funcionales automatizadas.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Robo de credenciales; exposición de evidencias; abuso de endpoints; errores de configuración OTA; dependencia de terceros; pérdida de dispositivo; cambios regulatorios o de residencia de datos.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8. Matriz de riesgos y plan de tratamiento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2100"/>
        <w:gridCol w:w="1100"/>
        <w:gridCol w:w="4000"/>
        <w:gridCol w:w="1560"/>
      </w:tblGrid>
      <w:tr>
        <w:trPr>
          <w:tblHeader w:val="true"/>
        </w:trPr>
        <w:tc>
          <w:tcPr>
            <w:tcW w:type="dxa" w:w="6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ID</w:t>
            </w:r>
          </w:p>
        </w:tc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Riesgo</w:t>
            </w:r>
          </w:p>
        </w:tc>
        <w:tc>
          <w:tcPr>
            <w:tcW w:type="dxa" w:w="1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Prioridad</w:t>
            </w:r>
          </w:p>
        </w:tc>
        <w:tc>
          <w:tcPr>
            <w:tcW w:type="dxa" w:w="40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Tratamiento recomendado</w:t>
            </w:r>
          </w:p>
        </w:tc>
        <w:tc>
          <w:tcPr>
            <w:tcW w:type="dxa" w:w="15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Responsable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R-01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finalize-report con service_role y sin autenticación explícita.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P0 Crítica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Exigir JWT; validar usuario, rol y propiedad/región; limitar CORS; pruebas negativas.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TI + Seguridad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R-02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Bucket evidencias público y listado amplio.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P0 Alta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Hacerlo privado; rutas por reporte; políticas de propietario/región; URLs firmadas y caducables.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TI + Auditoría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R-03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SECURITY DEFINER público con search_path mutable.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P0 Alta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Fijar search_path; revocar EXECUTE a anon/authenticated o mover a esquema privado.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DBA / TI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R-04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Contraseñas filtradas permitidas.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P1 Alta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Activar protección de contraseñas filtradas; definir longitud y MFA para administradores.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Seguridad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R-05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.env versionado.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P1 Media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Retirar del índice; usar .env.example; revisar historial y rotar claves según política.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DevOps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R-06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13 vulnerabilidades npm moderadas.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P1 Media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Plan de actualización compatible con SDK 56; revisión mensual sin usar --force.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Desarrollo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R-07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Continuidad no demostrada.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P1 Media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Definir RTO/RPO; respaldos; prueba documentada de restauración; contacto de contingencia.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TI + Continuidad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R-08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Pruebas automatizadas limitadas.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P2 Media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Agregar pruebas de roles/RLS, flujo de visita, cierre, firma, offline y OTA.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QA + Desarrollo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R-09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Producción aún no ensayada integralmente.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P2 Media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Simulacro de despliegue, rollback y soporte con usuarios piloto.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Auditoría + TI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Criterios de salida a producción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 xml:space="preserve">ESTADO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Piloto controlado habilitable. Salida general condicionada al cumplimiento de todos los criterios P0 y P1.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900"/>
        <w:gridCol w:w="2260"/>
      </w:tblGrid>
      <w:tr>
        <w:trPr>
          <w:tblHeader w:val="true"/>
        </w:trPr>
        <w:tc>
          <w:tcPr>
            <w:tcW w:type="dxa" w:w="22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Criterio</w:t>
            </w:r>
          </w:p>
        </w:tc>
        <w:tc>
          <w:tcPr>
            <w:tcW w:type="dxa" w:w="4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Condición de aceptación</w:t>
            </w:r>
          </w:p>
        </w:tc>
        <w:tc>
          <w:tcPr>
            <w:tcW w:type="dxa" w:w="22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Estado actual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Seguridad crítica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R-01, R-02 y R-03 cerrados y revalidados por Supabase Advisor.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 cumple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Identidad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Contraseñas filtradas bloqueadas; MFA/doble control para cuentas privilegiadas.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Parcial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Continuidad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Respaldo y restauración probados; RTO/RPO aprobados.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 evidenciado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Calidad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Pruebas de roles, visita completa, cierre, evidencias, firma, web y APK.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Parcial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Operación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Mesa de ayuda, responsables, horarios, escalamiento y manual breve.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Pendiente de formalizar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Despliegue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Rollback OTA/web probado; versión APK productiva compatible.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Preview operativo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Gobierno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Propietario del dato, retención, privacidad y autorización gerencial.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Pendiente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10. Hoja de ruta recomendada</w:t>
      </w:r>
    </w:p>
    <w:p>
      <w:pPr>
        <w:pStyle w:val="Heading2"/>
        <w:keepNext/>
      </w:pPr>
      <w:r>
        <w:t>Fase 0 - Antes de producción general (0 a 10 días hábiles)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2"/>
        </w:rPr>
        <w:t>Cerrar R-01, R-02 y R-03; volver a ejecutar asesores de seguridad y documentar evidencia.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2"/>
        </w:rPr>
        <w:t>Activar protección de contraseñas filtradas y reforzar cuentas admin/super_admin.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2"/>
        </w:rPr>
        <w:t>Retirar .env del repositorio y aprobar manejo de secretos y variables públicas.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2"/>
        </w:rPr>
        <w:t>Definir respaldo, restauración, RTO/RPO y responsables de incidentes.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2"/>
        </w:rPr>
        <w:t>Ejecutar UAT con casos positivos y negativos por rol y región.</w:t>
      </w:r>
    </w:p>
    <w:p>
      <w:pPr>
        <w:pStyle w:val="Heading2"/>
        <w:keepNext/>
      </w:pPr>
      <w:r>
        <w:t>Fase 1 - Salida controlada (primeros 30 días)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Liberar a un grupo reducido de auditores y regiones representativas.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Monitorear errores, tiempos, fallas de sincronización, OTA, correos y permisos.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Aplicar revisión diaria la primera semana y semanal durante el primer mes.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Mantener capacidad de rollback web/OTA y procedimiento alternativo de auditoría.</w:t>
      </w:r>
    </w:p>
    <w:p>
      <w:pPr>
        <w:pStyle w:val="Heading2"/>
        <w:keepNext/>
      </w:pPr>
      <w:r>
        <w:t>Fase 2 - Estabilización (31 a 60 días)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Automatizar pruebas de roles/RLS y flujos críticos.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Implementar métricas de adopción, cumplimiento, tiempos y tasa de reenvío.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Actualizar dependencias moderadas y acciones GitHub obsoletas sin romper SDK 56.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Formalizar retención y eliminación segura de evidencias y firmas.</w:t>
      </w:r>
    </w:p>
    <w:p>
      <w:pPr>
        <w:pStyle w:val="Heading2"/>
        <w:keepNext/>
      </w:pPr>
      <w:r>
        <w:t>Fase 3 - Escalamiento (61 a 90 días)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Evaluar SSO corporativo y MFA obligatorio para cuentas privilegiadas.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Incorporar monitoreo centralizado y alertas de seguridad/operación.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Extender módulos web bajo el mismo patrón de segregación, sin alterar APK salvo necesidad nativa.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Realizar prueba de penetración y revisión independiente de seguridad antes de expansión masiva.</w:t>
      </w:r>
    </w:p>
    <w:p>
      <w:pPr>
        <w:pStyle w:val="Heading1"/>
        <w:keepNext/>
      </w:pPr>
      <w:r>
        <w:t>11. Indicadores para seguimiento gerencial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3000"/>
        <w:gridCol w:w="2160"/>
      </w:tblGrid>
      <w:tr>
        <w:trPr>
          <w:tblHeader w:val="true"/>
        </w:trPr>
        <w:tc>
          <w:tcPr>
            <w:tcW w:type="dxa" w:w="42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Indicador</w:t>
            </w:r>
          </w:p>
        </w:tc>
        <w:tc>
          <w:tcPr>
            <w:tcW w:type="dxa" w:w="30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Meta sugerida</w:t>
            </w:r>
          </w:p>
        </w:tc>
        <w:tc>
          <w:tcPr>
            <w:tcW w:type="dxa" w:w="21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Frecuencia</w:t>
            </w:r>
          </w:p>
        </w:tc>
      </w:tr>
      <w:tr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Auditorías finalizadas sin error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&gt;= 98%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Semanal</w:t>
            </w:r>
          </w:p>
        </w:tc>
      </w:tr>
      <w:tr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Usuarios con privilegios revisados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100%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Mensual</w:t>
            </w:r>
          </w:p>
        </w:tc>
      </w:tr>
      <w:tr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Incidentes de acceso indebido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0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Inmediata</w:t>
            </w:r>
          </w:p>
        </w:tc>
      </w:tr>
      <w:tr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Restauración probada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100% de pruebas exitosas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Trimestral</w:t>
            </w:r>
          </w:p>
        </w:tc>
      </w:tr>
      <w:tr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Vulnerabilidades críticas/altas abiertas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0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Mensual</w:t>
            </w:r>
          </w:p>
        </w:tc>
      </w:tr>
      <w:tr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Tiempo de recuperación ante fallo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Según RTO aprobado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Por incidente</w:t>
            </w:r>
          </w:p>
        </w:tc>
      </w:tr>
      <w:tr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Adopción de auditorías digitales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&gt;= 90% del universo piloto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Semanal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Conclusión y decisión solicitada</w:t>
      </w:r>
    </w:p>
    <w:p>
      <w:pPr>
        <w:spacing w:after="120"/>
      </w:pPr>
      <w:r>
        <w:rPr>
          <w:rFonts w:ascii="Calibri" w:hAnsi="Calibri"/>
          <w:b w:val="0"/>
          <w:i w:val="0"/>
          <w:color w:val="1F2937"/>
          <w:sz w:val="22"/>
        </w:rPr>
        <w:t>La plataforma es viable y muestra una arquitectura razonable para apoyar la operación de Auditoría. Su principal fortaleza es la combinación de controles de acceso por rol/región, trazabilidad de cambios y automatización de despliegues. Sin embargo, los riesgos de exposición de evidencias y ejecución privilegiada impiden recomendar una liberación general inmediata sin remediación.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 xml:space="preserve">DECISIÓN SOLICITADA A GERENCIA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Aprobar un piloto controlado en preview, asignar responsables para cerrar los riesgos P0/P1 en un máximo de 10 días hábiles y autorizar producción general únicamente con evidencia de remediación, prueba de restauración y aceptación de usuarios.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Anexo A. Evidencia técnica revisada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GitHub: rama main protegida, Pull Request obligatorio, check Validar aplicación, historial lineal y force-push deshabilitado.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GitHub Actions: validación, web beta, OTA preview y Edge Functions activas; ejecuciones recientes exitosas.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Supabase: proyecto ACTIVE_HEALTHY; PostgreSQL 17; 21 migraciones; 15 tablas públicas con RLS.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Supabase Advisor: cinco advertencias de seguridad activas al 3 de julio de 2026.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Expo: SDK 56; TypeScript OK; Expo Doctor 21/21; OTA Android preview operativa con runtime 1.0.0.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Dependencias: 13 vulnerabilidades moderadas; 0 altas y 0 críticas en npm audit de producción.</w:t>
      </w:r>
    </w:p>
    <w:p>
      <w:pPr>
        <w:spacing w:after="120"/>
      </w:pPr>
      <w:r>
        <w:rPr>
          <w:rFonts w:ascii="Calibri" w:hAnsi="Calibri"/>
          <w:b w:val="0"/>
          <w:i/>
          <w:color w:val="667085"/>
          <w:sz w:val="22"/>
        </w:rPr>
        <w:t>Limitaciones: no se realizó pentest, revisión legal, prueba formal de restauración, inspección física de dispositivos ni validación de todos los usuarios finales.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/>
        <w:i w:val="0"/>
        <w:color w:val="667085"/>
        <w:sz w:val="17"/>
      </w:rPr>
      <w:t>CONFIDENCIAL - USO INTERNO</w:t>
    </w:r>
  </w:p>
  <w:p>
    <w:pPr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085"/>
        <w:sz w:val="17"/>
      </w:rPr>
      <w:t>GERENCIA DE AUDITORÍA  |  INFORME DE PREPARACIÓN PRODUCTIVA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40"/>
      <w:ind w:left="259" w:right="259"/>
    </w:pPr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Ejecutivo de Puesta en Marcha - App Auditoría</dc:title>
  <dc:subject>Evaluación de preparación para producción</dc:subject>
  <dc:creator>Gerencia de Auditoría</dc:creator>
  <cp:keywords>auditoría, producción, seguridad, FODA, Supabase, Expo, GitHub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