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A3E5C"/>
          <w:sz w:val="72"/>
          <w:szCs w:val="72"/>
        </w:rPr>
        <w:t xml:space="preserve">MedRAG</w:t>
      </w:r>
    </w:p>
    <w:p>
      <w:pPr>
        <w:spacing w:after="200"/>
        <w:jc w:val="center"/>
      </w:pPr>
      <w:r>
        <w:rPr>
          <w:color w:val="2E75B6"/>
          <w:sz w:val="32"/>
          <w:szCs w:val="32"/>
        </w:rPr>
        <w:t xml:space="preserve">Assistant de pré-consultation médicale fondé sur le RAG</w:t>
      </w:r>
    </w:p>
    <w:p>
      <w:pPr>
        <w:spacing w:after="1200"/>
        <w:jc w:val="center"/>
      </w:pPr>
      <w:r>
        <w:rPr>
          <w:sz w:val="24"/>
          <w:szCs w:val="24"/>
        </w:rPr>
        <w:t xml:space="preserve">Rapport de présentation du projet — architecture, dossiers et scripts</w:t>
      </w:r>
    </w:p>
    <w:p>
      <w:pPr>
        <w:jc w:val="center"/>
      </w:pPr>
      <w:r>
        <w:rPr>
          <w:i/>
          <w:iCs/>
          <w:sz w:val="22"/>
          <w:szCs w:val="22"/>
        </w:rPr>
        <w:t xml:space="preserve">Destinataires : investisseurs et organisme de certification (démarche de marquage CE)</w:t>
      </w:r>
    </w:p>
    <w:p>
      <w:pPr>
        <w:spacing w:before="200"/>
        <w:jc w:val="center"/>
      </w:pPr>
      <w:r>
        <w:rPr>
          <w:color w:val="666666"/>
          <w:sz w:val="22"/>
          <w:szCs w:val="22"/>
        </w:rPr>
        <w:t xml:space="preserve">Juin 2026 — Document de travail confidentiel</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Résumé exécutif</w:t>
      </w:r>
    </w:p>
    <w:p>
      <w:pPr>
        <w:spacing w:after="120"/>
      </w:pPr>
      <w:r>
        <w:t xml:space="preserve">MedRAG est un outil web d'aide au pré-diagnostic et à l'orientation médicale destiné aux patients. À partir d'une conversation en langage naturel, le système recueille les symptômes, pose des questions ciblées, détecte les signes d'alerte, formule 2 à 4 hypothèses médicales possibles, puis recommande un niveau d'orientation gradué : repos à domicile, conseil pharmacien, médecin généraliste, consultation urgente ou SAMU. Il localise ensuite les établissements de santé adaptés à proximité du patient et génère une fiche de pré-consultation transmissible au professionnel de santé.</w:t>
      </w:r>
    </w:p>
    <w:p>
      <w:pPr>
        <w:spacing w:after="120"/>
      </w:pPr>
      <w:r>
        <w:t xml:space="preserve">L'outil ne pose jamais de diagnostic définitif et ne remplace pas une consultation : il structure le parcours du patient en amont du soin. Ce positionnement (aide à l'orientation et au triage, et non diagnostic automatisé) est constitutif du produit et inscrit dans ses prompts systèmes, son interface et sa documentation.</w:t>
      </w:r>
    </w:p>
    <w:p>
      <w:pPr>
        <w:spacing w:after="120"/>
      </w:pPr>
      <w:r>
        <w:t xml:space="preserve">Techniquement, MedRAG est un système RAG (Retrieval-Augmented Generation) : les réponses du modèle de langage (Claude, Anthropic) sont systématiquement ancrées dans des bases de connaissances contrôlées — 49 pathologies enrichies (DDXPlus, ICD-11 de l'OMS), 2 450 profils de patients de référence, près de 5 000 cas cliniques réels (MTSamples) et le répertoire national FINESS des établissements de santé géolocalisés. Un harnais d'évaluation clinique automatisé (15 vignettes standardisées, méthodologie inspirée de Semigran et al., BMJ 2015, et de l'échelle de tri FRENCH de la SFMU) mesure à chaque évolution le taux de sous-triage, l'erreur critique qui mettrait un patient en danger.</w:t>
      </w:r>
    </w:p>
    <w:p>
      <w:pPr>
        <w:spacing w:after="120"/>
      </w:pPr>
      <w:r>
        <w:t xml:space="preserve">Le présent document décrit le fonctionnement du produit, son architecture, et le rôle détaillé de chaque dossier et de chaque script du dépôt.</w:t>
      </w:r>
    </w:p>
    <w:p>
      <w:pPr>
        <w:pStyle w:val="Heading1"/>
      </w:pPr>
      <w:r>
        <w:t xml:space="preserve">2. Ce que fait le produit</w:t>
      </w:r>
    </w:p>
    <w:p>
      <w:pPr>
        <w:pStyle w:val="Heading2"/>
      </w:pPr>
      <w:r>
        <w:t xml:space="preserve">2.1 Parcours utilisateur</w:t>
      </w:r>
    </w:p>
    <w:p>
      <w:pPr>
        <w:pStyle w:val="ListParagraph"/>
        <w:numPr>
          <w:ilvl w:val="0"/>
          <w:numId w:val="2"/>
        </w:numPr>
        <w:spacing w:after="60"/>
      </w:pPr>
      <w:r>
        <w:rPr>
          <w:b/>
          <w:bCs/>
        </w:rPr>
        <w:t xml:space="preserve">Inscription et profil santé : </w:t>
      </w:r>
      <w:r>
        <w:t xml:space="preserve">à la première connexion, un parcours d'accueil collecte le profil de base (âge, sexe, localisation, antécédents, maladies chroniques, traitements en cours, allergies, mode de vie). Ce profil contextualise toutes les conversations ultérieures et évolue avec l'accord explicite du patient.</w:t>
      </w:r>
    </w:p>
    <w:p>
      <w:pPr>
        <w:pStyle w:val="ListParagraph"/>
        <w:numPr>
          <w:ilvl w:val="0"/>
          <w:numId w:val="2"/>
        </w:numPr>
        <w:spacing w:after="60"/>
      </w:pPr>
      <w:r>
        <w:rPr>
          <w:b/>
          <w:bCs/>
        </w:rPr>
        <w:t xml:space="preserve">Chat médical conversationnel : </w:t>
      </w:r>
      <w:r>
        <w:t xml:space="preserve">le patient décrit ses symptômes librement. L'agent conduit une anamnèse structurée (mode d'apparition, localisation, intensité, durée, facteurs déclenchants/calmants/aggravants) en s'appuyant sur des références cliniques versionnées.</w:t>
      </w:r>
    </w:p>
    <w:p>
      <w:pPr>
        <w:pStyle w:val="ListParagraph"/>
        <w:numPr>
          <w:ilvl w:val="0"/>
          <w:numId w:val="2"/>
        </w:numPr>
        <w:spacing w:after="60"/>
      </w:pPr>
      <w:r>
        <w:rPr>
          <w:b/>
          <w:bCs/>
        </w:rPr>
        <w:t xml:space="preserve">Pré-diagnostic et détection des signes d'alerte : </w:t>
      </w:r>
      <w:r>
        <w:t xml:space="preserve">le système propose des hypothèses possibles (jamais un diagnostic affirmé) et isole chaque signe d'alarme avant de fonder une orientation dessus.</w:t>
      </w:r>
    </w:p>
    <w:p>
      <w:pPr>
        <w:pStyle w:val="ListParagraph"/>
        <w:numPr>
          <w:ilvl w:val="0"/>
          <w:numId w:val="2"/>
        </w:numPr>
        <w:spacing w:after="60"/>
      </w:pPr>
      <w:r>
        <w:rPr>
          <w:b/>
          <w:bCs/>
        </w:rPr>
        <w:t xml:space="preserve">Orientation graduée : </w:t>
      </w:r>
      <w:r>
        <w:t xml:space="preserve">domicile, pharmacien, médecin généraliste, urgences ou SAMU. Une règle de « cliquet de sécurité » interdit de désescalader une orientation urgente déjà émise, tandis que l'escalade reste toujours possible.</w:t>
      </w:r>
    </w:p>
    <w:p>
      <w:pPr>
        <w:pStyle w:val="ListParagraph"/>
        <w:numPr>
          <w:ilvl w:val="0"/>
          <w:numId w:val="2"/>
        </w:numPr>
        <w:spacing w:after="60"/>
      </w:pPr>
      <w:r>
        <w:rPr>
          <w:b/>
          <w:bCs/>
        </w:rPr>
        <w:t xml:space="preserve">Recommandation géographique : </w:t>
      </w:r>
      <w:r>
        <w:t xml:space="preserve">au moment de l'orientation (et uniquement à ce moment), une carte affiche les établissements ou pharmacies adaptés les plus proches, issus du répertoire FINESS.</w:t>
      </w:r>
    </w:p>
    <w:p>
      <w:pPr>
        <w:pStyle w:val="ListParagraph"/>
        <w:numPr>
          <w:ilvl w:val="0"/>
          <w:numId w:val="2"/>
        </w:numPr>
        <w:spacing w:after="60"/>
      </w:pPr>
      <w:r>
        <w:rPr>
          <w:b/>
          <w:bCs/>
        </w:rPr>
        <w:t xml:space="preserve">Fiche de pré-consultation : </w:t>
      </w:r>
      <w:r>
        <w:t xml:space="preserve">un résumé structuré du recueil (motif, chronologie, signes, orientation) est généré pour préparer la consultation et peut être transmis au médecin ou au pharmacien.</w:t>
      </w:r>
    </w:p>
    <w:p>
      <w:pPr>
        <w:pStyle w:val="Heading2"/>
      </w:pPr>
      <w:r>
        <w:t xml:space="preserve">2.2 Garde-fous médicaux intégrés</w:t>
      </w:r>
    </w:p>
    <w:p>
      <w:pPr>
        <w:spacing w:after="120"/>
      </w:pPr>
      <w:r>
        <w:t xml:space="preserve">Le produit applique des règles de prudence systématiques : aucune affirmation diagnostique, aucune prescription, aucune incitation à renoncer à un avis professionnel, mention permanente que les informations constituent une aide à l'orientation. En cas de doute, le système privilégie le sur-triage (orienter trop prudemment) plutôt que le sous-triage. Ces règles ne sont pas dispersées dans le code : elles sont centralisées dans des fichiers de prompts versionnés et sourcés, et vérifiées par des tests automatisés (section 7).</w:t>
      </w:r>
    </w:p>
    <w:p>
      <w:pPr>
        <w:pStyle w:val="Heading1"/>
      </w:pPr>
      <w:r>
        <w:t xml:space="preserve">3. Architecture technique</w:t>
      </w:r>
    </w:p>
    <w:p>
      <w:pPr>
        <w:spacing w:after="120"/>
      </w:pPr>
      <w:r>
        <w:t xml:space="preserve">Le système suit une architecture en trois couches : un pipeline de données qui construit les bases de connaissances, un moteur RAG exposé en API REST, et une interface web patient.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tblHeader/>
        </w:trPr>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Couche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Technologies</w:t>
            </w:r>
          </w:p>
        </w:tc>
        <w:tc>
          <w:tcPr>
            <w:tcW w:type="dxa" w:w="37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Rôle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 18, Vite, React Leaflet, React Markdown</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Interface patient : chat, onboarding, tableau de bord, carte, fiche de pré-consultation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 /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FastAPI, Uvicorn, Pydantic, bcrypt</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Authentification, conversations, moteur RAG, agent de triage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(Anthropic) avec tool use et prompt caching ; embeddings intfloat/multilingual-e5-base</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Conduite de l'anamnèse, génération des hypothèses et de la fiche, ancrée sur les documents retrouvés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Bases de données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PostgreSQL 16 + pgvector ; MongoDB 7 (index géospatial 2dsphere)</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Recherche sémantique vectorielle (3 pools) ; recherche géographique des établissements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Infrastructure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Compose, pgAdmin, mongo-express</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Déploiement reproductible des bases et outils d'administration</w:t>
            </w:r>
          </w:p>
        </w:tc>
      </w:tr>
    </w:tbl>
    <w:p>
      <w:pPr>
        <w:spacing w:after="120"/>
      </w:pPr>
    </w:p>
    <w:p>
      <w:pPr>
        <w:spacing w:after="120"/>
      </w:pPr>
      <w:r>
        <w:t xml:space="preserve">Le retrieval interroge quatre pools : (1) descriptions de pathologies enrichies, (2) patients similaires filtrés par âge et sexe, (3) cas cliniques réels, (4) établissements de santé proches. Les trois premiers reposent sur la similarité sémantique (pgvector, seuil de similarité minimal configurable), le quatrième sur des requêtes géospatiales MongoDB.</w:t>
      </w:r>
    </w:p>
    <w:p>
      <w:pPr>
        <w:pStyle w:val="Heading1"/>
      </w:pPr>
      <w:r>
        <w:t xml:space="preserve">4. Organisation du dépôt</w:t>
      </w:r>
    </w:p>
    <w:p>
      <w:pPr>
        <w:spacing w:after="120"/>
      </w:pPr>
      <w:r>
        <w:t xml:space="preserve">Le dépôt est organisé en cinq ensembles principaux, détaillés dans les sections suivantes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Élément</w:t>
            </w:r>
          </w:p>
        </w:tc>
        <w:tc>
          <w:tcPr>
            <w:tcW w:type="dxa" w:w="59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Rôle</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datalake_pipeline/</w:t>
            </w:r>
          </w:p>
        </w:tc>
        <w:tc>
          <w:tcPr>
            <w:tcW w:type="dxa" w:w="5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Pipeline de construction des bases de connaissances : acquisition, enrichissement, vectorisation et chargement des données médicales et géographiques. Contient aussi le moteur RAG (rag_engine/) et le harnais d'évaluation clinique (evaluation/).</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frontend/</w:t>
            </w:r>
          </w:p>
        </w:tc>
        <w:tc>
          <w:tcPr>
            <w:tcW w:type="dxa" w:w="5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Application web patient (React 18 + Vite) actuellement fonctionnelle.</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med-rag-product-ux/</w:t>
            </w:r>
          </w:p>
        </w:tc>
        <w:tc>
          <w:tcPr>
            <w:tcW w:type="dxa" w:w="5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Prototype de la future interface produit (Next.js + TypeScript), plus riche et plus professionnelle.</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documentation médical/</w:t>
            </w:r>
          </w:p>
        </w:tc>
        <w:tc>
          <w:tcPr>
            <w:tcW w:type="dxa" w:w="5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Corpus réglementaire (règlement DM 2017/745, guides ANSM/MDCG, référentiels CNIL et HDS) et recommandations cliniques HAS utilisées comme sources.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data_brut/</w:t>
            </w:r>
          </w:p>
        </w:tc>
        <w:tc>
          <w:tcPr>
            <w:tcW w:type="dxa" w:w="5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Archives de données brutes téléchargées (jeu DDXPlus).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README.md</w:t>
            </w:r>
          </w:p>
        </w:tc>
        <w:tc>
          <w:tcPr>
            <w:tcW w:type="dxa" w:w="5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Documentation technique principale : vue d'ensemble, installation, API REST, structure du projet, avertissement médical.</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CLAUDE.md</w:t>
            </w:r>
          </w:p>
        </w:tc>
        <w:tc>
          <w:tcPr>
            <w:tcW w:type="dxa" w:w="5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 de cadrage produit et médical : positionnement, fonctionnalités cibles, règles de prudence, priorités.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RAPPORT.md</w:t>
            </w:r>
          </w:p>
        </w:tc>
        <w:tc>
          <w:tcPr>
            <w:tcW w:type="dxa" w:w="5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Rapport académique du projet (Master 2 Data Science).</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ADVERSARIAL_REVIEW_PIPELINE.md</w:t>
            </w:r>
          </w:p>
        </w:tc>
        <w:tc>
          <w:tcPr>
            <w:tcW w:type="dxa" w:w="5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Audit critique interne (technique et clinique) du pipeline de prompts : failles identifiées et corrections engagées — témoigne de la démarche d'amélioration continue.</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pyproject.toml</w:t>
            </w:r>
          </w:p>
        </w:tc>
        <w:tc>
          <w:tcPr>
            <w:tcW w:type="dxa" w:w="5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Configuration du projet Python (dépendances, outils).</w:t>
            </w:r>
          </w:p>
        </w:tc>
      </w:tr>
    </w:tbl>
    <w:p>
      <w:r>
        <w:br w:type="page"/>
      </w:r>
    </w:p>
    <w:p>
      <w:pPr>
        <w:pStyle w:val="Heading1"/>
      </w:pPr>
      <w:r>
        <w:t xml:space="preserve">5. Dossier datalake_pipeline/ — pipeline de données</w:t>
      </w:r>
    </w:p>
    <w:p>
      <w:pPr>
        <w:spacing w:after="120"/>
      </w:pPr>
      <w:r>
        <w:t xml:space="preserve">Ce pipeline transforme des sources publiques de référence en bases de connaissances interrogeables. Il est organisé en phases successives (B à E), chaque script étant réexécutable sans créer de doublons (insertions de type upsert), ce qui garantit la reproductibilité.</w:t>
      </w:r>
    </w:p>
    <w:p>
      <w:pPr>
        <w:pStyle w:val="Heading2"/>
      </w:pPr>
      <w:r>
        <w:t xml:space="preserve">5.1 Scripts de traitement et d'enrichissement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Fichier / script</w:t>
            </w:r>
          </w:p>
        </w:tc>
        <w:tc>
          <w:tcPr>
            <w:tcW w:type="dxa" w:w="63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Rôle détaillé</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enrich_pathologies.py</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B (764 lignes). Pour chacune des 49 pathologies du jeu DDXPlus : lit les fichiers sources (release_conditions.json, release_evidences.json), enrichit chaque pathologie via l'API ICD-11 de l'OMS (code et définition clinique officiels) et via Wikipédia FR (description narrative), puis construit le document textuel dense destiné à la vectorisation. Produit processed/ddxplus_pathology_documents.jsonl. Un cache local (.cache/) permet de reprendre sans re-solliciter les API.</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process_patients.py</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C (662 lignes). Extrait et décrit 2 450 patients du jeu DDXPlus : 50 patients par pathologie, sélectionnés pour couvrir 8 strates démographiques (4 tranches d'âge × 2 sexes) afin de maximiser la diversité des cas de référence. Produit processed/ddxplus_patient_descriptions.jsonl avec, pour chaque patient, sa description textuelle et son diagnostic différentiel.</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process_mtsamples.py</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D (216 lignes). Nettoie et structure ~4 966 transcriptions cliniques réelles du corpus MTSamples (anglais) : extraction par expressions régulières des sections cliniques (motif, anamnèse « HPI », évaluation « ASSESSMENT »), normalisation du texte, construction du document d'embedding. Produit processed/mtsamples_clinical_cases.jsonl.</w:t>
            </w:r>
          </w:p>
        </w:tc>
      </w:tr>
    </w:tbl>
    <w:p>
      <w:pPr>
        <w:spacing w:after="120"/>
      </w:pPr>
    </w:p>
    <w:p>
      <w:pPr>
        <w:pStyle w:val="Heading2"/>
      </w:pPr>
      <w:r>
        <w:t xml:space="preserve">5.2 Scripts de chargement en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Fichier / script</w:t>
            </w:r>
          </w:p>
        </w:tc>
        <w:tc>
          <w:tcPr>
            <w:tcW w:type="dxa" w:w="63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Rôle détaillé</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load_pathologies.py</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E 1/3 (82 lignes). Vectorise les 49 documents de pathologies avec le modèle multilingual-e5-base et les insère dans la table pathology_documents de PostgreSQL (pgvector), avec métadonnées structurées : codes ICD-10/ICD-11, sévérité, symptômes typiques et atypiques, facteurs de risque, signes d'alerte (red flags).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load_patients.py</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E 2/3 (79 lignes). Vectorise par lots les 2 450 descriptions de patients et les insère dans la table patient_descriptions (âge, sexe, tranche d'âge, pathologie, diagnostic différentiel), permettant la recherche de « patients similaires » filtrée par profil démographique.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load_clinical.py</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E 3/3 (67 lignes). Vectorise et insère les ~4 966 cas cliniques MTSamples dans la table clinical_cases (spécialité médicale, motif de consultation, évaluation).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load_finess.py</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(192 lignes) Construit la base géographique des établissements de santé : télécharge l'extraction FINESS géolocalisée officielle (data.gouv.fr), joint les lignes « établissement » et « géolocalisation », convertit les coordonnées Lambert 93 vers WGS 84 (pyproj), et stocke chaque établissement en GeoJSON dans MongoDB avec un index 2dsphere pour les requêtes de proximité ($near).</w:t>
            </w:r>
          </w:p>
        </w:tc>
      </w:tr>
    </w:tbl>
    <w:p>
      <w:pPr>
        <w:spacing w:after="120"/>
      </w:pPr>
    </w:p>
    <w:p>
      <w:pPr>
        <w:pStyle w:val="Heading2"/>
      </w:pPr>
      <w:r>
        <w:t xml:space="preserve">5.3 Scripts de vérification et de mise au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Fichier / script</w:t>
            </w:r>
          </w:p>
        </w:tc>
        <w:tc>
          <w:tcPr>
            <w:tcW w:type="dxa" w:w="63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Rôle détaillé</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test_geo_query.py</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 rapide des requêtes géospatiales : statistiques de la collection, recherche d'établissements dans un rayon donné (ex. : 5 établissements à moins de 2 km de Notre-Dame de Paris, hôpitaux autour de Marseille).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debug_finess.py</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Outil d'inspection du fichier FINESS brut : télécharge un échantillon et affiche la structure positionnelle des colonnes, utilisé pour fiabiliser le parsing.</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debug_finess_geo.py</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Outil d'inspection des lignes de géolocalisation du fichier FINESS : décompte des types de lignes et affichage d'échantillons.</w:t>
            </w:r>
          </w:p>
        </w:tc>
      </w:tr>
    </w:tbl>
    <w:p>
      <w:pPr>
        <w:spacing w:after="120"/>
      </w:pPr>
    </w:p>
    <w:p>
      <w:pPr>
        <w:pStyle w:val="Heading2"/>
      </w:pPr>
      <w:r>
        <w:t xml:space="preserve">5.4 Infrastructure et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Fichier / script</w:t>
            </w:r>
          </w:p>
        </w:tc>
        <w:tc>
          <w:tcPr>
            <w:tcW w:type="dxa" w:w="63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Rôle détaillé</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docker-compose.yml</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Déploiement reproductible de l'infrastructure : PostgreSQL 16 avec extension pgvector, MongoDB 7, et les consoles d'administration pgAdmin et mongo-express.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docker/init-postgres.sql</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Script d'initialisation PostgreSQL : création de l'extension pgvector et des schémas de tables au premier démarrage du conteneur.</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docker/init-mongo.js</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Script d'initialisation MongoDB : création de la collection des établissements et de son index géospatial.</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raw/</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Données sources telles que téléchargées : ddxplus/, finess/, mtsamples/.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processed/</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Les trois fichiers JSONL produits par les phases B, C et D, prêts pour la vectorisation.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requirements.txt / .env.example</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Dépendances Python du pipeline et modèle de configuration (chaînes de connexion, modèle d'embedding, clés API) — aucune clé secrète n'est versionnée.</w:t>
            </w:r>
          </w:p>
        </w:tc>
      </w:tr>
    </w:tbl>
    <w:p>
      <w:r>
        <w:br w:type="page"/>
      </w:r>
    </w:p>
    <w:p>
      <w:pPr>
        <w:pStyle w:val="Heading1"/>
      </w:pPr>
      <w:r>
        <w:t xml:space="preserve">6. Dossier rag_engine/ — moteur RAG et API</w:t>
      </w:r>
    </w:p>
    <w:p>
      <w:pPr>
        <w:spacing w:after="120"/>
      </w:pPr>
      <w:r>
        <w:t xml:space="preserve">Cœur applicatif du produit : une API REST FastAPI qui orchestre l'authentification, les conversations, la recherche documentaire et l'agent conversationnel de triage.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Fichier / script</w:t>
            </w:r>
          </w:p>
        </w:tc>
        <w:tc>
          <w:tcPr>
            <w:tcW w:type="dxa" w:w="63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Rôle détaillé</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api.py</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(331 lignes) Point d'entrée de l'API FastAPI. Expose les endpoints : /auth/register, /auth/login, /conversations, /conversations/{id}/chat, /centers, /health. Charge le modèle d'embedding une seule fois au démarrage (performances), initialise les tables, configure le CORS et orchestre l'ensemble des modules.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auth.py</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(141 lignes) Gestion des comptes utilisateurs : inscription, connexion, validation de session. Mots de passe hachés avec bcrypt (jamais stockés en clair), jetons de session aléatoires (secrets), tables users et sessions dans PostgreSQL.</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patient_profile.py</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(79 lignes) Profil santé du patient (antécédents, traitements en cours, allergies, mode de vie) stocké dans une table dédiée patient_profiles, volontairement séparée de l'authentification — séparation entre données de compte et données médicales sensibles. Supprimé en cascade avec le compte.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conversation.py</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(152 lignes) Persistance des conversations et de leurs messages (tables conversations et conversation_messages), permettant l'historique patient et la reprise des échanges.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retriever.py</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(220 lignes) Moteur de recherche à quatre pools : search_pathologies() (pathologies enrichies), search_similar_patients() (cas filtrés par âge/sexe), search_clinical_cases() (transcriptions réelles) sur pgvector avec pool de connexions, et search_nearby() (établissements FINESS par proximité géographique) sur MongoDB. Applique un seuil de similarité minimal pour écarter les documents non pertinents.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llm_client.py</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(314 lignes) Agent conversationnel de triage : assemble le contexte (profil patient, documents retrouvés, historique), appelle Claude, structure la sortie (questions, hypothèses, niveau d'orientation, fiche de pré-consultation). Aucun prompt n'est écrit en dur dans le code : tout le contenu injecté dans le modèle provient de fichiers versionnés. Utilise le prompt caching pour réduire coûts et latence.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prompt_loader.py</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(43 lignes) Chargeur des prompts : assemble le prompt système à partir du prompt de base et des fiches de référence cliniques, dans un ordre déterministe. Retire les en-têtes de versionnage destinés à la traçabilité humaine.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config.py</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 lignes) Configuration centralisée via variables d'environnement : connexions aux bases, modèle d'embedding, modèle Claude, paramètres RAG (nombre de documents par pool, seuil de similarité, distance géographique maximale).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prompts/</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Contenu médical versionné et sourcé : system_prompt.md (comportement de l'agent), report_prompt.md (génération de la fiche de pré-consultation), references/ (fiches cliniques numérotées : anamnèse SOCRATES, signes d'alerte à ne jamais manquer, pondération du profil patient, règles de suivi post-orientation) et sources/ (bibliographie clinique et réglementaire, SOURCES.md). Cette externalisation rend chaque règle médicale traçable, auditable et modifiable sans toucher au code.</w:t>
            </w:r>
          </w:p>
        </w:tc>
      </w:tr>
    </w:tbl>
    <w:p>
      <w:pPr>
        <w:pStyle w:val="Heading1"/>
      </w:pPr>
      <w:r>
        <w:t xml:space="preserve">7. Dossier evaluation/ — harnais d'évaluation clinique</w:t>
      </w:r>
    </w:p>
    <w:p>
      <w:pPr>
        <w:spacing w:after="120"/>
      </w:pPr>
      <w:r>
        <w:t xml:space="preserve">Ce dossier constitue le dispositif de validation du triage : toute modification du contenu médical (prompts, références, RAG) doit être rejouée contre ce harnais avant déploiement. La métrique critique est le taux de sous-triage — un cas grave classé bénin est l'erreur qui met un patient en danger ; le sur-triage (prudence excessive) est toléré par conception. La méthodologie s'inspire de l'étude de référence Semigran et al. (BMJ, 2015) sur les symptom checkers et des niveaux de tri de l'échelle FRENCH (SFMU).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Fichier / script</w:t>
            </w:r>
          </w:p>
        </w:tc>
        <w:tc>
          <w:tcPr>
            <w:tcW w:type="dxa" w:w="63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Rôle détaillé</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vignettes.json</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 vignettes cliniques standardisées : profil médical du faux patient, message initial, réponses préparées aux questions de l'agent, orientation attendue. Inclut 5 vignettes « TERRAIN » testant la pondération du profil (patient sous anticoagulant, asthmatique, grossesse possible, terrain cardiovasculaire, diabète).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run_eval.py</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Harnais principal : rejoue automatiquement les vignettes contre l'API locale et mesure le taux de réponses exactes, le taux de sous-triage (échec critique) et le taux de sur-triage (acceptable).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test_questioning.py</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 de non-régression sur la qualité du questionnement : un patient pressé qui répond « oui » à tout sans réel signe d'alarme ne doit pas être sur-trié vers le SAMU. Vérifie que l'agent isole chaque signe d'alerte et obtient une réponse claire avant de fonder une orientation dessus.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test_follow_up.py</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 du comportement de suivi post-orientation : scénario « cliquet » (un cas SAMU ne doit pas être désescaladé même si le patient dit aller mieux) et scénario « escalade » (un cas bénin doit être remonté si une douleur thoracique apparaît).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test_centers_api.py</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 de l'endpoint de recherche d'établissements : vérifie le fonctionnement par département et par coordonnées GPS.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README.md</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Méthodologie du harnais, justification des métriques et mode d'emploi.</w:t>
            </w:r>
          </w:p>
        </w:tc>
      </w:tr>
    </w:tbl>
    <w:p>
      <w:r>
        <w:br w:type="page"/>
      </w:r>
    </w:p>
    <w:p>
      <w:pPr>
        <w:pStyle w:val="Heading1"/>
      </w:pPr>
      <w:r>
        <w:t xml:space="preserve">8. Dossier frontend/ — application web patient (React)</w:t>
      </w:r>
    </w:p>
    <w:p>
      <w:pPr>
        <w:spacing w:after="120"/>
      </w:pPr>
      <w:r>
        <w:t xml:space="preserve">Application monopage React 18 (build Vite), centrée sur le chat et complétée par le tableau de bord patient.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Fichier / script</w:t>
            </w:r>
          </w:p>
        </w:tc>
        <w:tc>
          <w:tcPr>
            <w:tcW w:type="dxa" w:w="63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Rôle détaillé</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src/main.jsx</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Point d'entrée : monte l'application React et charge les styles (dont Leaflet pour la carte).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src/App.jsx</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(382 lignes) Composant racine : gère la session utilisateur, la navigation entre connexion, onboarding, tableau de bord et conversation, l'envoi des messages au backend et l'affichage du fil de chat (rendu Markdown).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src/LoginPage.jsx</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(115 lignes) Écran d'inscription et de connexion (nom, e-mail, mot de passe, âge, sexe), gestion des erreurs et des états de chargement.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src/OnboardingFlow.jsx</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(343 lignes) Parcours d'accueil à la première connexion : collecte guidée du profil santé (antécédents courants proposés en cases à cocher — diabète, HTA, asthme, etc. —, traitements, allergies, mode de vie), enregistré dans le profil patient.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src/Dashboard.jsx</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(175 lignes) Tableau de bord patient : historique des conversations avec badges de couleur selon l'orientation de triage (vert domicile → rouge urgent), accès au profil et lancement d'une nouvelle conversation.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src/ResultsPanel.jsx</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(359 lignes) Panneau de résultats : hypothèses proposées, niveau d'orientation recommandé et carte interactive Leaflet des établissements de santé proches — affichée uniquement au moment de la recommandation.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src/ConsultationCard.jsx</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(223 lignes) Fiche de pré-consultation : restitution structurée du recueil (motif, chronologie, signes d'alerte, orientation avec libellés gradués de « repos à domicile » à « urgences/SAMU »), conçue pour être présentée au professionnel de santé.</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src/index.css</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Feuille de style de l'application (CSS pur, sans framework).</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index.html / vite.config.js / package.json</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Gabarit HTML, configuration du bundler Vite (proxy vers l'API) et dépendances JavaScript.</w:t>
            </w:r>
          </w:p>
        </w:tc>
      </w:tr>
    </w:tbl>
    <w:p>
      <w:pPr>
        <w:pStyle w:val="Heading1"/>
      </w:pPr>
      <w:r>
        <w:t xml:space="preserve">9. Dossier med-rag-product-ux/ — prototype de la future interface</w:t>
      </w:r>
    </w:p>
    <w:p>
      <w:pPr>
        <w:spacing w:after="120"/>
      </w:pPr>
      <w:r>
        <w:t xml:space="preserve">Prototype Next.js + TypeScript (composants shadcn/ui, Tailwind) préfigurant l'interface produit cible : plus moderne, rassurante et professionnelle, conformément aux objectifs UX du projet. Il reprend l'intégralité du parcours patient avec une qualité visuelle de niveau produit.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Fichier / script</w:t>
            </w:r>
          </w:p>
        </w:tc>
        <w:tc>
          <w:tcPr>
            <w:tcW w:type="dxa" w:w="63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Rôle détaillé</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app/</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 Next.js (App Router) : layout.tsx (mise en page globale, thème), page.tsx (composition des écrans), globals.css.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components/auth-page.tsx</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(225 lignes) Écran d'authentification (inscription / connexion).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components/onboarding-page.tsx</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(518 lignes) Parcours d'accueil enrichi de collecte du profil santé.</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components/consultation-page.tsx</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(737 lignes) Écran de consultation conversationnelle : chat, questions de l'agent, hypothèses.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components/orientation-panel.tsx</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(440 lignes) Panneau d'orientation graduée avec mise en avant des signes d'alerte.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components/pre-consultation-sheet.tsx</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(333 lignes) Fiche de pré-consultation exportable.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components/dashboard-page.tsx</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(345 lignes) Tableau de bord patient (suivi, profil, accès aux conversations).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components/history-page.tsx</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(288 lignes) Historique des conversations et des triages.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components/health-map.tsx</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(208 lignes) Carte des établissements de santé recommandés.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components/ui/</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Bibliothèque de composants d'interface réutilisables (shadcn/ui).</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lib/</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Couche logique du prototype : api.ts (client de l'API backend), store.ts (état applicatif), types.ts (typage TypeScript des objets métier), geo.ts (géolocalisation), utils.ts.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hooks/</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Hooks React utilitaires (détection mobile, notifications toast).</w:t>
            </w:r>
          </w:p>
        </w:tc>
      </w:tr>
    </w:tbl>
    <w:p>
      <w:pPr>
        <w:pStyle w:val="Heading1"/>
      </w:pPr>
      <w:r>
        <w:t xml:space="preserve">10. Données sources et documentation de référence</w:t>
      </w:r>
    </w:p>
    <w:p>
      <w:pPr>
        <w:pStyle w:val="Heading2"/>
      </w:pPr>
      <w:r>
        <w:t xml:space="preserve">10.1 Sources de données</w:t>
      </w:r>
    </w:p>
    <w:p>
      <w:pPr>
        <w:pStyle w:val="ListParagraph"/>
        <w:numPr>
          <w:ilvl w:val="0"/>
          <w:numId w:val="2"/>
        </w:numPr>
        <w:spacing w:after="60"/>
      </w:pPr>
      <w:r>
        <w:rPr>
          <w:b/>
          <w:bCs/>
        </w:rPr>
        <w:t xml:space="preserve">DDXPlus : </w:t>
      </w:r>
      <w:r>
        <w:t xml:space="preserve">jeu de données académique de référence pour le diagnostic différentiel (49 pathologies, base de patients synthétiques validée) — archive brute conservée dans data_brut/.</w:t>
      </w:r>
    </w:p>
    <w:p>
      <w:pPr>
        <w:pStyle w:val="ListParagraph"/>
        <w:numPr>
          <w:ilvl w:val="0"/>
          <w:numId w:val="2"/>
        </w:numPr>
        <w:spacing w:after="60"/>
      </w:pPr>
      <w:r>
        <w:rPr>
          <w:b/>
          <w:bCs/>
        </w:rPr>
        <w:t xml:space="preserve">ICD-11 (OMS) : </w:t>
      </w:r>
      <w:r>
        <w:t xml:space="preserve">classification internationale des maladies, utilisée via l'API officielle de l'OMS pour normaliser les codes et définitions.</w:t>
      </w:r>
    </w:p>
    <w:p>
      <w:pPr>
        <w:pStyle w:val="ListParagraph"/>
        <w:numPr>
          <w:ilvl w:val="0"/>
          <w:numId w:val="2"/>
        </w:numPr>
        <w:spacing w:after="60"/>
      </w:pPr>
      <w:r>
        <w:rPr>
          <w:b/>
          <w:bCs/>
        </w:rPr>
        <w:t xml:space="preserve">MTSamples : </w:t>
      </w:r>
      <w:r>
        <w:t xml:space="preserve">corpus public de transcriptions cliniques réelles (~5 000 cas).</w:t>
      </w:r>
    </w:p>
    <w:p>
      <w:pPr>
        <w:pStyle w:val="ListParagraph"/>
        <w:numPr>
          <w:ilvl w:val="0"/>
          <w:numId w:val="2"/>
        </w:numPr>
        <w:spacing w:after="60"/>
      </w:pPr>
      <w:r>
        <w:rPr>
          <w:b/>
          <w:bCs/>
        </w:rPr>
        <w:t xml:space="preserve">FINESS (data.gouv.fr) : </w:t>
      </w:r>
      <w:r>
        <w:t xml:space="preserve">répertoire national officiel des établissements de santé français, géolocalisé.</w:t>
      </w:r>
    </w:p>
    <w:p>
      <w:pPr>
        <w:pStyle w:val="Heading2"/>
      </w:pPr>
      <w:r>
        <w:t xml:space="preserve">10.2 Dossier « documentation médical/ »</w:t>
      </w:r>
    </w:p>
    <w:p>
      <w:pPr>
        <w:spacing w:after="120"/>
      </w:pPr>
      <w:r>
        <w:t xml:space="preserve">Ce dossier rassemble le corpus réglementaire et clinique constitué pour le projet, et témoigne de la préparation de la démarche de conformité :</w:t>
      </w:r>
    </w:p>
    <w:p>
      <w:pPr>
        <w:pStyle w:val="ListParagraph"/>
        <w:numPr>
          <w:ilvl w:val="0"/>
          <w:numId w:val="2"/>
        </w:numPr>
        <w:spacing w:after="60"/>
      </w:pPr>
      <w:r>
        <w:t xml:space="preserve">Réglementation des dispositifs médicaux : texte intégral du règlement (UE) 2017/745 (MDR), guide MDCG 2019-11 sur la qualification et la classification des logiciels, guides ANSM (qualification d'un logiciel en DM, marche à suivre pour la mise sur le marché, dispositions transitoires, cybersécurité des DM, traçabilité).</w:t>
      </w:r>
    </w:p>
    <w:p>
      <w:pPr>
        <w:pStyle w:val="ListParagraph"/>
        <w:numPr>
          <w:ilvl w:val="0"/>
          <w:numId w:val="2"/>
        </w:numPr>
        <w:spacing w:after="60"/>
      </w:pPr>
      <w:r>
        <w:t xml:space="preserve">Protection des données : référentiels CNIL santé, méthode et modèles d'analyse d'impact (AIPD/PIA), listes des traitements soumis ou non à AIPD, référentiels de certification et d'accréditation HDS (hébergement de données de santé).</w:t>
      </w:r>
    </w:p>
    <w:p>
      <w:pPr>
        <w:pStyle w:val="ListParagraph"/>
        <w:numPr>
          <w:ilvl w:val="0"/>
          <w:numId w:val="2"/>
        </w:numPr>
        <w:spacing w:after="60"/>
      </w:pPr>
      <w:r>
        <w:t xml:space="preserve">Recommandations cliniques : fiches et recommandations HAS utilisées comme sources des références de l'agent (sepsis, lombalgie commune, fièvre de l'enfant, syndromes drépanocytaires, pied du patient diabétique), et l'étude Semigran et al. (BMJ 2015) fondant la méthodologie d'évaluation.</w:t>
      </w:r>
    </w:p>
    <w:p>
      <w:r>
        <w:br w:type="page"/>
      </w:r>
    </w:p>
    <w:p>
      <w:pPr>
        <w:pStyle w:val="Heading1"/>
      </w:pPr>
      <w:r>
        <w:t xml:space="preserve">11. Sécurité, qualité et positionnement réglementaire</w:t>
      </w:r>
    </w:p>
    <w:p>
      <w:pPr>
        <w:pStyle w:val="Heading2"/>
      </w:pPr>
      <w:r>
        <w:t xml:space="preserve">11.1 Sécurité clinique</w:t>
      </w:r>
    </w:p>
    <w:p>
      <w:pPr>
        <w:pStyle w:val="ListParagraph"/>
        <w:numPr>
          <w:ilvl w:val="0"/>
          <w:numId w:val="2"/>
        </w:numPr>
        <w:spacing w:after="60"/>
      </w:pPr>
      <w:r>
        <w:t xml:space="preserve">Le contenu médical injecté dans le modèle est intégralement externalisé, versionné et sourcé (dossier prompts/), donc auditable ligne à ligne.</w:t>
      </w:r>
    </w:p>
    <w:p>
      <w:pPr>
        <w:pStyle w:val="ListParagraph"/>
        <w:numPr>
          <w:ilvl w:val="0"/>
          <w:numId w:val="2"/>
        </w:numPr>
        <w:spacing w:after="60"/>
      </w:pPr>
      <w:r>
        <w:t xml:space="preserve">Le harnais d'évaluation (section 7) impose une validation avant tout déploiement, avec le sous-triage comme métrique d'échec critique.</w:t>
      </w:r>
    </w:p>
    <w:p>
      <w:pPr>
        <w:pStyle w:val="ListParagraph"/>
        <w:numPr>
          <w:ilvl w:val="0"/>
          <w:numId w:val="2"/>
        </w:numPr>
        <w:spacing w:after="60"/>
      </w:pPr>
      <w:r>
        <w:t xml:space="preserve">Règles de prudence intégrées : cliquet anti-désescalade, isolement de chaque signe d'alerte, sur-triage préféré au sous-triage, absence d'affirmation diagnostique et de prescription.</w:t>
      </w:r>
    </w:p>
    <w:p>
      <w:pPr>
        <w:pStyle w:val="ListParagraph"/>
        <w:numPr>
          <w:ilvl w:val="0"/>
          <w:numId w:val="2"/>
        </w:numPr>
        <w:spacing w:after="60"/>
      </w:pPr>
      <w:r>
        <w:t xml:space="preserve">Un audit adversarial interne (ADVERSARIAL_REVIEW_PIPELINE.md) documente les limites identifiées (profondeur de l'anamnèse, pondération du profil, score de confiance) et alimente la feuille de route.</w:t>
      </w:r>
    </w:p>
    <w:p>
      <w:pPr>
        <w:pStyle w:val="Heading2"/>
      </w:pPr>
      <w:r>
        <w:t xml:space="preserve">11.2 Sécurité des données</w:t>
      </w:r>
    </w:p>
    <w:p>
      <w:pPr>
        <w:pStyle w:val="ListParagraph"/>
        <w:numPr>
          <w:ilvl w:val="0"/>
          <w:numId w:val="2"/>
        </w:numPr>
        <w:spacing w:after="60"/>
      </w:pPr>
      <w:r>
        <w:t xml:space="preserve">Mots de passe hachés (bcrypt), sessions par jetons aléatoires, données médicales séparées des données de compte, suppression en cascade.</w:t>
      </w:r>
    </w:p>
    <w:p>
      <w:pPr>
        <w:pStyle w:val="ListParagraph"/>
        <w:numPr>
          <w:ilvl w:val="0"/>
          <w:numId w:val="2"/>
        </w:numPr>
        <w:spacing w:after="60"/>
      </w:pPr>
      <w:r>
        <w:t xml:space="preserve">Aucun secret versionné dans le dépôt (configuration par variables d'environnement).</w:t>
      </w:r>
    </w:p>
    <w:p>
      <w:pPr>
        <w:pStyle w:val="ListParagraph"/>
        <w:numPr>
          <w:ilvl w:val="0"/>
          <w:numId w:val="2"/>
        </w:numPr>
        <w:spacing w:after="60"/>
      </w:pPr>
      <w:r>
        <w:t xml:space="preserve">Le corpus CNIL/HDS réuni prépare l'AIPD et le choix d'un hébergement certifié HDS, prérequis pour une mise en production en France.</w:t>
      </w:r>
    </w:p>
    <w:p>
      <w:pPr>
        <w:pStyle w:val="Heading2"/>
      </w:pPr>
      <w:r>
        <w:t xml:space="preserve">11.3 Positionnement vis-à-vis du marquage CE</w:t>
      </w:r>
    </w:p>
    <w:p>
      <w:pPr>
        <w:spacing w:after="120"/>
      </w:pPr>
      <w:r>
        <w:t xml:space="preserve">Un logiciel qui fournit des informations utilisées pour des décisions à visée diagnostique ou thérapeutique relève du règlement (UE) 2017/745 et, selon le guide MDCG 2019-11 et la règle 11 de classification, un logiciel de triage/orientation des patients relève typiquement au minimum de la classe IIa — ce qui implique l'intervention d'un organisme notifié, un système de management de la qualité (ISO 13485), un cycle de vie logiciel maîtrisé (IEC 62304), une gestion des risques (ISO 14971) et une évaluation clinique.</w:t>
      </w:r>
    </w:p>
    <w:p>
      <w:pPr>
        <w:spacing w:after="120"/>
      </w:pPr>
      <w:r>
        <w:t xml:space="preserve">Le présent rapport est un document de présentation : il décrit le produit et son architecture, mais ne constitue pas la documentation technique exigée par les annexes II et III du règlement. Les éléments déjà en place (pipeline reproductible, prompts versionnés et sourcés, harnais d'évaluation clinique avec métriques de sécurité, audit interne, corpus réglementaire constitué) forment néanmoins une base solide pour engager cette démarche : qualification et classification formelles du logiciel, mise en place du SMQ, constitution du dossier technique, évaluation clinique et AIPD en sont les prochaines étapes.</w:t>
      </w:r>
    </w:p>
    <w:p>
      <w:pPr>
        <w:pStyle w:val="Heading1"/>
      </w:pPr>
      <w:r>
        <w:t xml:space="preserve">Avertissement</w:t>
      </w:r>
    </w:p>
    <w:p>
      <w:pPr>
        <w:spacing w:after="120"/>
      </w:pPr>
      <w:r>
        <w:rPr>
          <w:i/>
          <w:iCs/>
        </w:rPr>
        <w:t xml:space="preserve">MedRAG est un outil d'aide à l'orientation : les informations qu'il produit ne remplacent pas l'avis d'un professionnel de santé et l'outil n'affirme jamais de diagnostic. Le produit n'est, à ce jour, pas marqué CE et n'est pas mis sur le marché ; il s'agit d'un projet en développement présenté en vue d'une démarche de certification.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Confidentiel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color w:val="666666"/>
        <w:sz w:val="18"/>
        <w:szCs w:val="18"/>
      </w:rPr>
      <w:t xml:space="preserve">MedRAG — Rapport de présentation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3E5C"/>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2026-06-12T07:50:52.468Z</dcterms:created>
  <dcterms:modified xsi:type="dcterms:W3CDTF">2026-06-12T07:50:52.468Z</dcterms:modified>
</cp:coreProperties>
</file>

<file path=docProps/custom.xml><?xml version="1.0" encoding="utf-8"?>
<Properties xmlns="http://schemas.openxmlformats.org/officeDocument/2006/custom-properties" xmlns:vt="http://schemas.openxmlformats.org/officeDocument/2006/docPropsVTypes"/>
</file>