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83" w:lineRule="auto"/>
      </w:pPr>
      <w:r>
        <w:br/>
        <w:br/>
      </w:r>
    </w:p>
    <w:p>
      <w:pPr>
        <w:pStyle w:val="Title"/>
        <w:jc w:val="center"/>
      </w:pPr>
      <w:r>
        <w:t>商业软件 License</w:t>
        <w:br/>
        <w:t>架构设计方案</w:t>
      </w:r>
    </w:p>
    <w:p>
      <w:pPr>
        <w:pStyle w:val="Subtitle"/>
        <w:jc w:val="center"/>
      </w:pPr>
      <w:r>
        <w:t>面向 Windows 桌面软件、SDK 与离线部署场景</w:t>
      </w:r>
    </w:p>
    <w:p>
      <w:pPr>
        <w:spacing w:after="100" w:line="283" w:lineRule="auto"/>
      </w:pP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文档版本</w:t>
            </w:r>
          </w:p>
        </w:tc>
        <w:tc>
          <w:tcPr>
            <w:tcW w:type="dxa" w:w="496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状态</w:t>
            </w:r>
          </w:p>
        </w:tc>
        <w:tc>
          <w:tcPr>
            <w:tcW w:type="dxa" w:w="496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可实施设计基线</w:t>
            </w:r>
          </w:p>
        </w:tc>
      </w:tr>
      <w:tr>
        <w:tc>
          <w:tcPr>
            <w:tcW w:type="dxa" w:w="4968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核心算法</w:t>
            </w:r>
          </w:p>
        </w:tc>
        <w:tc>
          <w:tcPr>
            <w:tcW w:type="dxa" w:w="496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Ed25519（默认）/ RSA-PSS（兼容方案）</w:t>
            </w:r>
          </w:p>
        </w:tc>
      </w:tr>
      <w:tr>
        <w:tc>
          <w:tcPr>
            <w:tcW w:type="dxa" w:w="4968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支持模式</w:t>
            </w:r>
          </w:p>
        </w:tc>
        <w:tc>
          <w:tcPr>
            <w:tcW w:type="dxa" w:w="496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离线节点锁定、在线订阅、浮动并发、试用许可</w:t>
            </w:r>
          </w:p>
        </w:tc>
      </w:tr>
      <w:tr>
        <w:tc>
          <w:tcPr>
            <w:tcW w:type="dxa" w:w="4968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日期</w:t>
            </w:r>
          </w:p>
        </w:tc>
        <w:tc>
          <w:tcPr>
            <w:tcW w:type="dxa" w:w="496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2026-07-15</w:t>
            </w:r>
          </w:p>
        </w:tc>
      </w:tr>
    </w:tbl>
    <w:p>
      <w:pPr>
        <w:spacing w:after="100" w:line="283" w:lineRule="auto"/>
      </w:pPr>
      <w:r>
        <w:br w:type="page"/>
      </w:r>
    </w:p>
    <w:p>
      <w:pPr>
        <w:pStyle w:val="Heading1"/>
        <w:keepNext/>
      </w:pPr>
      <w:r>
        <w:t>执行摘要</w:t>
      </w:r>
    </w:p>
    <w:p>
      <w:pPr>
        <w:spacing w:after="100" w:line="283" w:lineRule="auto"/>
      </w:pPr>
      <w:r>
        <w:t>本方案采用“结构化授权声明 + 标准数字签名 + 可选在线状态服务”的架构。License 文件本身不依赖保密性，而依赖数字签名保证真实性与完整性；客户端只内置公钥，签发私钥集中保存在受控签发环境中。方案重点不是宣称软件“无法破解”，而是通过业务绑定、分层验证、密钥轮换、时间回拨检测和可选撤销机制，将绕过成本提升到商业上不划算的程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</w:rPr>
              <w:t>推荐结论：</w:t>
            </w:r>
            <w:r>
              <w:t>新项目默认采用 Ed25519 签名、Canonical CBOR 载荷、KeyId 密钥轮换、机器指纹容错匹配，以及离线与在线能力解耦。不要采用“私钥加密整个 License”、分块 RSA、自制填充或 XOR 混淆作为安全基础。</w:t>
            </w:r>
          </w:p>
        </w:tc>
      </w:tr>
    </w:tbl>
    <w:p>
      <w:pPr>
        <w:spacing w:after="100" w:line="283" w:lineRule="auto"/>
      </w:pPr>
    </w:p>
    <w:p>
      <w:pPr>
        <w:pStyle w:val="Heading2"/>
        <w:keepNext/>
      </w:pPr>
      <w:r>
        <w:t>核心设计原则</w:t>
      </w:r>
    </w:p>
    <w:p>
      <w:pPr>
        <w:pStyle w:val="ListBullet"/>
      </w:pPr>
      <w:r>
        <w:t>签名与加密分离：License 的核心需求是防伪造、防篡改，使用数字签名；只有确有保密需求时才额外加密敏感字段。</w:t>
      </w:r>
    </w:p>
    <w:p>
      <w:pPr>
        <w:pStyle w:val="ListBullet"/>
      </w:pPr>
      <w:r>
        <w:t>客户端不保存任何签发秘密：客户端仅包含公钥集合和验证逻辑。</w:t>
      </w:r>
    </w:p>
    <w:p>
      <w:pPr>
        <w:pStyle w:val="ListBullet"/>
      </w:pPr>
      <w:r>
        <w:t>授权声明是业务输入：功能模块、额度、数据源、设备范围等直接参与核心业务决策，而不是单一 isLicensed 布尔值。</w:t>
      </w:r>
    </w:p>
    <w:p>
      <w:pPr>
        <w:pStyle w:val="ListBullet"/>
      </w:pPr>
      <w:r>
        <w:t>离线可用、在线增强：基础授权可完全离线验证；撤销、并发租约、订阅续期和审计由在线服务增强。</w:t>
      </w:r>
    </w:p>
    <w:p>
      <w:pPr>
        <w:pStyle w:val="ListBullet"/>
      </w:pPr>
      <w:r>
        <w:t>可演进：文件格式、算法、密钥、机器指纹策略均带版本和标识，避免未来无法升级。</w:t>
      </w:r>
    </w:p>
    <w:p>
      <w:pPr>
        <w:pStyle w:val="Heading1"/>
        <w:keepNext/>
      </w:pPr>
      <w:r>
        <w:t>1. 范围、目标与非目标</w:t>
      </w:r>
    </w:p>
    <w:p>
      <w:pPr>
        <w:pStyle w:val="Heading2"/>
        <w:keepNext/>
      </w:pPr>
      <w:r>
        <w:t>1.1 适用范围</w:t>
      </w:r>
    </w:p>
    <w:p>
      <w:pPr>
        <w:pStyle w:val="ListBullet"/>
      </w:pPr>
      <w:r>
        <w:t>Windows 桌面应用（WPF/WinForms/原生 C++）</w:t>
      </w:r>
    </w:p>
    <w:p>
      <w:pPr>
        <w:pStyle w:val="ListBullet"/>
      </w:pPr>
      <w:r>
        <w:t>本地部署的图像处理 SDK、算法组件和服务端程序</w:t>
      </w:r>
    </w:p>
    <w:p>
      <w:pPr>
        <w:pStyle w:val="ListBullet"/>
      </w:pPr>
      <w:r>
        <w:t>客户内网或完全离线环境</w:t>
      </w:r>
    </w:p>
    <w:p>
      <w:pPr>
        <w:pStyle w:val="ListBullet"/>
      </w:pPr>
      <w:r>
        <w:t>需要按功能、期限、机器、并发数或调用额度授权的商业软件</w:t>
      </w:r>
    </w:p>
    <w:p>
      <w:pPr>
        <w:pStyle w:val="Heading2"/>
        <w:keepNext/>
      </w:pPr>
      <w:r>
        <w:t>1.2 安全目标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69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设计措施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 不可由客户自行伪造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私钥签名；客户端仅持有公钥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授权字段不可静默篡改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对规范化后的完整载荷签名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过期许可不应通过简单改文件续期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有效期字段处于签名范围内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机器复制受到限制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容错机器指纹 + 设备绑定策略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私钥泄漏影响可控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KeyId、密钥轮换、版本最低信任策略、撤销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实现错误可被发现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严格解析、长度上限、失败关闭、审计日志与测试向量</w:t>
            </w:r>
          </w:p>
        </w:tc>
      </w:tr>
    </w:tbl>
    <w:p>
      <w:pPr>
        <w:spacing w:after="100" w:line="283" w:lineRule="auto"/>
      </w:pPr>
    </w:p>
    <w:p>
      <w:pPr>
        <w:pStyle w:val="Heading2"/>
        <w:keepNext/>
      </w:pPr>
      <w:r>
        <w:t>1.3 明确的非目标</w:t>
      </w:r>
    </w:p>
    <w:p>
      <w:pPr>
        <w:spacing w:after="100" w:line="283" w:lineRule="auto"/>
      </w:pPr>
      <w:r>
        <w:t>纯客户端软件无法在攻击者完全控制终端、调试器和二进制文件的条件下实现绝对不可绕过。本方案不承诺“永远无法破解”，而是防止低成本伪造和复制，并通过多点业务绑定与反篡改措施提高补丁成本。极高价值算法应考虑放在受控服务器、硬件加密设备或受保护执行环境中。</w:t>
      </w:r>
    </w:p>
    <w:p>
      <w:pPr>
        <w:pStyle w:val="Heading1"/>
        <w:keepNext/>
      </w:pPr>
      <w:r>
        <w:t>2. 威胁模型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攻击者能力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本方案应对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复制 License 到另一台机器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超范围使用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机器指纹与许可设备列表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修改到期时间、功能或额度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越权与续期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标准数字签名覆盖全部安全字段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逆向客户端获取公钥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正常且不可避免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公钥可公开；获取公钥不等于获得签发能力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修改系统时间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离线订阅永久使用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持久化可信时间锚、回拨检测、可选在线时间票据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Patch 验证函数返回成功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绕过启动检查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业务数据依赖、多点校验、模块级授权上下文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窃取签发私钥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可签发任意许可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HSM/密钥库、最小权限、双人审批、轮换与撤销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构造畸形 License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崩溃、越界、解析漏洞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有界解析、固定类型、拒绝未知关键字段、模糊测试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重放旧的在线租约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突破并发或撤销限制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短期租约、单调计数/服务器时间、租约 ID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3. 总体架构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许可签发侧（受控环境）</w:t>
        <w:br/>
        <w:t xml:space="preserve">  产品/订单系统 -&gt; License Issuer -&gt; 私钥签名 -&gt; license.lic</w:t>
        <w:br/>
        <w:t xml:space="preserve">                         |</w:t>
        <w:br/>
        <w:t xml:space="preserve">                         +-&gt; 签发审计库 / KeyId / 撤销记录</w:t>
        <w:br/>
        <w:br/>
        <w:t>客户端/SDK</w:t>
        <w:br/>
        <w:t xml:space="preserve">  License Loader -&gt; 格式解析 -&gt; 签名验证 -&gt; 时间/机器/版本校验</w:t>
        <w:br/>
        <w:t xml:space="preserve">                -&gt; AuthorizationContext -&gt; 各业务模块持续查询授权</w:t>
        <w:br/>
        <w:br/>
        <w:t>可选在线服务</w:t>
        <w:br/>
        <w:t xml:space="preserve">  Activation API / Lease API / Revocation API / Time Ticket API</w:t>
      </w:r>
    </w:p>
    <w:p>
      <w:pPr>
        <w:pStyle w:val="Heading2"/>
        <w:keepNext/>
      </w:pPr>
      <w:r>
        <w:t>3.1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部署位置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 Issuer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软件商内网或 CI/CD 受控区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生成载荷、调用签名密钥、记录签发审计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Signing Key Store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HSM、云 KMS 或隔离密钥机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保存私钥并执行签名；私钥原则上不可导出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 Loader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客户端基础库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读取文件、限制大小、解析信封、选择公钥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 Validator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客户端基础库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签名、产品、版本、时间、机器、策略校验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AuthorizationContext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客户端进程内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向业务模块提供 Feature、Limit、ResourceScope 等只读能力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Activation/Lease Service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可选服务器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激活、撤销、并发租约、可信时间和在线续订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Audit Store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软件商侧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保存签发、激活、撤销与管理操作记录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4. License 文件与数据模型</w:t>
      </w:r>
    </w:p>
    <w:p>
      <w:pPr>
        <w:pStyle w:val="Heading2"/>
        <w:keepNext/>
      </w:pPr>
      <w:r>
        <w:t>4.1 文件信封</w:t>
      </w:r>
    </w:p>
    <w:p>
      <w:pPr>
        <w:spacing w:after="100" w:line="283" w:lineRule="auto"/>
      </w:pPr>
      <w:r>
        <w:t>推荐使用二进制 CBOR 作为正式格式；开发调试阶段可提供等价 JSON 展示工具。签名对象采用“信封 + 规范化载荷”的形式：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LicenseEnvelope {</w:t>
        <w:br/>
        <w:t xml:space="preserve">  format_version : uint,       // 信封格式版本</w:t>
        <w:br/>
        <w:t xml:space="preserve">  algorithm      : text,       // "Ed25519" 或 "RSA-PSS-SHA256"</w:t>
        <w:br/>
        <w:t xml:space="preserve">  key_id         : text,       // 选择客户端内置公钥</w:t>
        <w:br/>
        <w:t xml:space="preserve">  payload         : bytes,      // Canonical CBOR 编码的 LicensePayload</w:t>
        <w:br/>
        <w:t xml:space="preserve">  signature       : bytes       // 对 domain_separator || payload 的签名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</w:rPr>
              <w:t>域分离：</w:t>
            </w:r>
            <w:r>
              <w:t>签名输入使用固定前缀，例如 UTF-8("ACME-LICENSE-V1\0") + payload。这样可避免同一密钥被其他协议误用。</w:t>
            </w:r>
          </w:p>
        </w:tc>
      </w:tr>
    </w:tbl>
    <w:p>
      <w:pPr>
        <w:spacing w:after="100" w:line="283" w:lineRule="auto"/>
      </w:pPr>
    </w:p>
    <w:p>
      <w:pPr>
        <w:pStyle w:val="Heading2"/>
        <w:keepNext/>
      </w:pPr>
      <w:r>
        <w:t>4.2 授权载荷字段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必需</w:t>
            </w:r>
          </w:p>
        </w:tc>
        <w:tc>
          <w:tcPr>
            <w:tcW w:type="dxa" w:w="46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schema_version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uint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载荷结构版本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license_id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UUID/128-bit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全局唯一许可编号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产品或 SDK 标识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edition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版本档位，例如 Standard/Pro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客户稳定标识，不建议放敏感个人信息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issued_at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签发时间（UTC）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not_before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允许开始使用时间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timestamp/null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到期时间；永久许可为 null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maintenance_until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timestamp/null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允许升级到的软件构建日期或主版本范围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license_type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trial/node_locked/subscription/floating/site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功能开关与模块授权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limits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并发数、分辨率、吞吐量、设备数、调用额度等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resource_scope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array/map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授权的数据源、设备、项目、算法模型等业务范围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machine_policy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object/null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按需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机器指纹匹配规则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min_app_version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semver/null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最低允许客户端版本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max_app_version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semver/null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最高允许客户端版本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revocation_epoch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uint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在线撤销或代际控制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厂商扩展；必须限制大小与类型</w:t>
            </w:r>
          </w:p>
        </w:tc>
      </w:tr>
    </w:tbl>
    <w:p>
      <w:pPr>
        <w:spacing w:after="100" w:line="283" w:lineRule="auto"/>
      </w:pPr>
    </w:p>
    <w:p>
      <w:pPr>
        <w:pStyle w:val="Heading2"/>
        <w:keepNext/>
      </w:pPr>
      <w:r>
        <w:t>4.3 示例载荷（展示用 JSON）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{</w:t>
        <w:br/>
        <w:t xml:space="preserve">  "schema_version": 1,</w:t>
        <w:br/>
        <w:t xml:space="preserve">  "license_id": "2fd44c80-52ca-4b0a-9636-fd88b7d3cc0e",</w:t>
        <w:br/>
        <w:t xml:space="preserve">  "product_id": "image-sdk",</w:t>
        <w:br/>
        <w:t xml:space="preserve">  "edition": "enterprise",</w:t>
        <w:br/>
        <w:t xml:space="preserve">  "customer_id": "CUST-10086",</w:t>
        <w:br/>
        <w:t xml:space="preserve">  "issued_at": "2026-07-15T01:00:00Z",</w:t>
        <w:br/>
        <w:t xml:space="preserve">  "expires_at": "2027-07-15T00:59:59Z",</w:t>
        <w:br/>
        <w:t xml:space="preserve">  "maintenance_until": "2027-06-30T23:59:59Z",</w:t>
        <w:br/>
        <w:t xml:space="preserve">  "license_type": "node_locked",</w:t>
        <w:br/>
        <w:t xml:space="preserve">  "features": {"deepzoom": true, "gpu": true, "batch": true},</w:t>
        <w:br/>
        <w:t xml:space="preserve">  "limits": {"max_parallel_jobs": 8, "max_devices": 2},</w:t>
        <w:br/>
        <w:t xml:space="preserve">  "resource_scope": {"model_ids": ["M001", "M008"]},</w:t>
        <w:br/>
        <w:t xml:space="preserve">  "machine_policy": {"fingerprints": ["..."], "threshold": 70},</w:t>
        <w:br/>
        <w:t xml:space="preserve">  "revocation_epoch": 3</w:t>
        <w:br/>
        <w:t>}</w:t>
      </w:r>
    </w:p>
    <w:p>
      <w:pPr>
        <w:pStyle w:val="Heading1"/>
        <w:keepNext/>
      </w:pPr>
      <w:r>
        <w:t>5. 密码学设计</w:t>
      </w:r>
    </w:p>
    <w:p>
      <w:pPr>
        <w:pStyle w:val="Heading2"/>
        <w:keepNext/>
      </w:pPr>
      <w:r>
        <w:t>5.1 默认算法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推荐度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适用情况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Ed25519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默认推荐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新项目、跨平台客户端、短签名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实现简单、验证快、密钥和签名较小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RSA-PSS-SHA-256（3072 位）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兼容推荐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必须使用 RSA 或现有 PKI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使用 PSS；不要自行实现私钥“加密”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ECDSA P-256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可用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已有合规库/硬件支持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必须依赖成熟库并正确处理随机数/确定性签名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PKCS#1 v1.5 私钥加密/公钥解密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禁止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不是本方案的签名实现方式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自研算法、XOR、校验和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禁止作为安全边界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仅传输错误检测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不能提供真实性</w:t>
            </w:r>
          </w:p>
        </w:tc>
      </w:tr>
    </w:tbl>
    <w:p>
      <w:pPr>
        <w:spacing w:after="100" w:line="283" w:lineRule="auto"/>
      </w:pPr>
    </w:p>
    <w:p>
      <w:pPr>
        <w:spacing w:after="100" w:line="283" w:lineRule="auto"/>
      </w:pPr>
      <w:r>
        <w:t>Ed25519 由 RFC 8032 规定；RSA-PSS 属于 RFC 8017 定义的标准 RSA 签名方案。密钥强度与生命周期应按照组织的密码策略和 NIST 密钥管理指南确定。</w:t>
      </w:r>
    </w:p>
    <w:p>
      <w:pPr>
        <w:pStyle w:val="Heading2"/>
        <w:keepNext/>
      </w:pPr>
      <w:r>
        <w:t>5.2 签名输入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signed_bytes = UTF8("ACME-LICENSE-V1\0") || canonical_payload_bytes</w:t>
        <w:br/>
        <w:t>signature    = Ed25519.Sign(private_key, signed_bytes)</w:t>
      </w:r>
    </w:p>
    <w:p>
      <w:pPr>
        <w:spacing w:after="100" w:line="283" w:lineRule="auto"/>
      </w:pPr>
      <w:r>
        <w:t>必须对规范化后的原始 payload 字节签名；验证后再解析业务字段，或解析前后校验字节一致性。禁止对“重新序列化的 JSON 文本”随意签名，因为字段顺序、空格、数字格式和 Unicode 表示会造成不一致。</w:t>
      </w:r>
    </w:p>
    <w:p>
      <w:pPr>
        <w:pStyle w:val="Heading2"/>
        <w:keepNext/>
      </w:pPr>
      <w:r>
        <w:t>5.3 公钥集合与算法敏捷性</w:t>
      </w:r>
    </w:p>
    <w:p>
      <w:pPr>
        <w:pStyle w:val="ListBullet"/>
      </w:pPr>
      <w:r>
        <w:t>客户端内置 publicKeys[key_id]，每个条目包含算法、启用版本和公钥。</w:t>
      </w:r>
    </w:p>
    <w:p>
      <w:pPr>
        <w:pStyle w:val="ListBullet"/>
      </w:pPr>
      <w:r>
        <w:t>新密钥先随软件版本发布，再开始用新 KeyId 签发；旧密钥进入只验证、不签发状态。</w:t>
      </w:r>
    </w:p>
    <w:p>
      <w:pPr>
        <w:pStyle w:val="ListBullet"/>
      </w:pPr>
      <w:r>
        <w:t>客户端维护 revoked_key_ids 与 minimum_key_generation，紧急版本可拒绝已泄漏密钥签发的许可。</w:t>
      </w:r>
    </w:p>
    <w:p>
      <w:pPr>
        <w:pStyle w:val="ListBullet"/>
      </w:pPr>
      <w:r>
        <w:t>算法字段由白名单决定，不能由攻击者指定任意算法或“none”。</w:t>
      </w:r>
    </w:p>
    <w:p>
      <w:pPr>
        <w:pStyle w:val="Heading1"/>
        <w:keepNext/>
      </w:pPr>
      <w:r>
        <w:t>6. 客户端验证流程</w:t>
      </w:r>
    </w:p>
    <w:p>
      <w:pPr>
        <w:pStyle w:val="ListNumber"/>
      </w:pPr>
      <w:r>
        <w:t>安全读取：限制 License 最大尺寸（建议不超过 64 KiB），拒绝符号链接异常路径和重复文件覆盖风险。</w:t>
      </w:r>
    </w:p>
    <w:p>
      <w:pPr>
        <w:pStyle w:val="ListNumber"/>
      </w:pPr>
      <w:r>
        <w:t>解析信封：校验 magic/format_version/algorithm/key_id/字段长度；未知关键版本直接拒绝。</w:t>
      </w:r>
    </w:p>
    <w:p>
      <w:pPr>
        <w:pStyle w:val="ListNumber"/>
      </w:pPr>
      <w:r>
        <w:t>查找公钥：只从编译时白名单选择，禁止从 License 自带证书或 URL 动态信任。</w:t>
      </w:r>
    </w:p>
    <w:p>
      <w:pPr>
        <w:pStyle w:val="ListNumber"/>
      </w:pPr>
      <w:r>
        <w:t>验证数字签名：使用成熟密码库的 Verify 接口，并采用恒定时间实现。</w:t>
      </w:r>
    </w:p>
    <w:p>
      <w:pPr>
        <w:pStyle w:val="ListNumber"/>
      </w:pPr>
      <w:r>
        <w:t>解析规范化 payload：严格类型、范围、数组数量与字符串长度限制。</w:t>
      </w:r>
    </w:p>
    <w:p>
      <w:pPr>
        <w:pStyle w:val="ListNumber"/>
      </w:pPr>
      <w:r>
        <w:t>校验产品、版本、许可类型、签发时间、not_before、expires_at、maintenance_until。</w:t>
      </w:r>
    </w:p>
    <w:p>
      <w:pPr>
        <w:pStyle w:val="ListNumber"/>
      </w:pPr>
      <w:r>
        <w:t>校验机器或站点策略，并计算可解释的匹配结果。</w:t>
      </w:r>
    </w:p>
    <w:p>
      <w:pPr>
        <w:pStyle w:val="ListNumber"/>
      </w:pPr>
      <w:r>
        <w:t>校验在线状态（适用时）：撤销代际、激活状态、租约有效期和服务器时间票据。</w:t>
      </w:r>
    </w:p>
    <w:p>
      <w:pPr>
        <w:pStyle w:val="ListNumber"/>
      </w:pPr>
      <w:r>
        <w:t>生成不可变 AuthorizationContext，业务模块不得直接读取原始 License 文件。</w:t>
      </w:r>
    </w:p>
    <w:p>
      <w:pPr>
        <w:pStyle w:val="ListNumber"/>
      </w:pPr>
      <w:r>
        <w:t>记录最小化审计信息；错误对用户可解释，对日志保留内部原因码。</w:t>
      </w:r>
    </w:p>
    <w:p>
      <w:pPr>
        <w:pStyle w:val="Heading2"/>
        <w:keepNext/>
      </w:pPr>
      <w:r>
        <w:t>6.1 失败策略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1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建议行为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签名失败、产品不匹配、格式错误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立即拒绝，不能降级为试用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到期或尚未生效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拒绝受限功能；允许进入续费/激活界面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机器指纹轻微变化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进入宽限或重新激活流程，不直接永久锁死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在线服务暂时不可用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按已签名离线宽限策略运行，不能无限期自动延长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日志写入失败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通常不影响许可判断，但应限频告警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内部异常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失败关闭；避免把异常吞掉后默认授权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7. 时间与防回拨策略</w:t>
      </w:r>
    </w:p>
    <w:p>
      <w:pPr>
        <w:spacing w:after="100" w:line="283" w:lineRule="auto"/>
      </w:pPr>
      <w:r>
        <w:t>仅调用本机 DateTime.UtcNow 无法阻止用户回拨系统时间。离线场景应使用“签名有效期 + 本地时间锚 + 宽限策略”，在线场景再叠加服务器签名时间票据。</w:t>
      </w:r>
    </w:p>
    <w:p>
      <w:pPr>
        <w:pStyle w:val="Heading2"/>
        <w:keepNext/>
      </w:pPr>
      <w:r>
        <w:t>7.1 本地时间锚</w:t>
      </w:r>
    </w:p>
    <w:p>
      <w:pPr>
        <w:pStyle w:val="ListBullet"/>
      </w:pPr>
      <w:r>
        <w:t>每次成功运行保存 last_seen_utc、last_monotonic_ticks、license_id 和状态 MAC。</w:t>
      </w:r>
    </w:p>
    <w:p>
      <w:pPr>
        <w:pStyle w:val="ListBullet"/>
      </w:pPr>
      <w:r>
        <w:t>状态 MAC 使用安装实例密钥（DPAPI/TPM 保护）计算，防止直接编辑；该密钥不具备签发 License 的能力。</w:t>
      </w:r>
    </w:p>
    <w:p>
      <w:pPr>
        <w:pStyle w:val="ListBullet"/>
      </w:pPr>
      <w:r>
        <w:t>当前 UTC 比 last_seen_utc 明显早（如超过 6 小时）时标记回拨。</w:t>
      </w:r>
    </w:p>
    <w:p>
      <w:pPr>
        <w:pStyle w:val="ListBullet"/>
      </w:pPr>
      <w:r>
        <w:t>允许夏令时、时区变化和正常 NTP 小幅校时；内部统一使用 UTC。</w:t>
      </w:r>
    </w:p>
    <w:p>
      <w:pPr>
        <w:pStyle w:val="ListBullet"/>
      </w:pPr>
      <w:r>
        <w:t>状态文件被删除不能自动获得无限试用：结合安装实例 ID、注册表/ProgramData 多位置冗余和服务端激活记录。</w:t>
      </w:r>
    </w:p>
    <w:p>
      <w:pPr>
        <w:pStyle w:val="Heading2"/>
        <w:keepNext/>
      </w:pPr>
      <w:r>
        <w:t>7.2 在线时间票据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TimeTicket { license_id, installation_id, server_time, valid_until, nonce }</w:t>
        <w:br/>
        <w:t>server_signature = Sign(TimeTicket)</w:t>
      </w:r>
    </w:p>
    <w:p>
      <w:pPr>
        <w:spacing w:after="100" w:line="283" w:lineRule="auto"/>
      </w:pPr>
      <w:r>
        <w:t>在线票据建议有效 1～7 天，并允许有限离线宽限。票据仅增强时间可信度，不能替代 License 主签名。</w:t>
      </w:r>
    </w:p>
    <w:p>
      <w:pPr>
        <w:pStyle w:val="Heading1"/>
        <w:keepNext/>
      </w:pPr>
      <w:r>
        <w:t>8. 机器指纹与激活</w:t>
      </w:r>
    </w:p>
    <w:p>
      <w:pPr>
        <w:pStyle w:val="Heading2"/>
        <w:keepNext/>
      </w:pPr>
      <w:r>
        <w:t>8.1 指纹输入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稳定性</w:t>
            </w:r>
          </w:p>
        </w:tc>
        <w:tc>
          <w:tcPr>
            <w:tcW w:type="dxa" w:w="48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隐私/运维建议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TPM EK/设备证明派生标识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优先使用哈希后的稳定标识；企业环境需兼容 TPM 重置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SMBIOS System UUID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部分虚拟机可复制，需与其他信号组合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系统盘序列号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换盘会变化，不可单独使用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CPU/主板信息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硬件升级影响大，使用权重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MAC 地址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易变更和伪造，仅作弱信号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Windows MachineGuid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系统重装/克隆影响，不能作为唯一依据</w:t>
            </w:r>
          </w:p>
        </w:tc>
      </w:tr>
    </w:tbl>
    <w:p>
      <w:pPr>
        <w:spacing w:after="100" w:line="283" w:lineRule="auto"/>
      </w:pPr>
    </w:p>
    <w:p>
      <w:pPr>
        <w:pStyle w:val="Heading2"/>
        <w:keepNext/>
      </w:pPr>
      <w:r>
        <w:t>8.2 容错匹配</w:t>
      </w:r>
    </w:p>
    <w:p>
      <w:pPr>
        <w:spacing w:after="100" w:line="283" w:lineRule="auto"/>
      </w:pPr>
      <w:r>
        <w:t>不要把所有字段简单拼接后做一次哈希。建议保存多个经过归一化和哈希的组件，并采用加权阈值：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score = TPM(50) + SMBIOS(30) + Disk(15) + CPU(10) + MAC(5)</w:t>
        <w:br/>
        <w:t>通过条件：score &gt;= 70，并满足至少一个高可信组件匹配。</w:t>
      </w:r>
    </w:p>
    <w:p>
      <w:pPr>
        <w:spacing w:after="100" w:line="283" w:lineRule="auto"/>
      </w:pPr>
      <w:r>
        <w:t>License 中只保存带产品域分离盐的组件哈希，避免暴露原始硬件标识。机器绑定许可应提供解绑、迁移和受控重新激活流程。</w:t>
      </w:r>
    </w:p>
    <w:p>
      <w:pPr>
        <w:pStyle w:val="Heading1"/>
        <w:keepNext/>
      </w:pPr>
      <w:r>
        <w:t>9. 四种许可模式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验证方式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关键策略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离线节点锁定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本地签名 + 机器指纹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工业现场、隔离网络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长期 License；可选人工迁移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在线订阅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本地 License + 周期在线票据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SaaS 辅助桌面软件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1～7 天租约 + 有限宽限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浮动并发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服务器签发短期 Lease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企业内网多终端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心跳、并发令牌、断网宽限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试用许可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短期签名 + 安装实例状态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评估版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服务端激活优先；防重装仅能提高成本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站点许可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客户/域/网络范围声明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大型企业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合同与审计为主，不应过度绑定单机</w:t>
            </w:r>
          </w:p>
        </w:tc>
      </w:tr>
    </w:tbl>
    <w:p>
      <w:pPr>
        <w:spacing w:after="100" w:line="283" w:lineRule="auto"/>
      </w:pPr>
    </w:p>
    <w:p>
      <w:pPr>
        <w:pStyle w:val="Heading2"/>
        <w:keepNext/>
      </w:pPr>
      <w:r>
        <w:t>9.1 浮动许可证租约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Lease {</w:t>
        <w:br/>
        <w:t xml:space="preserve">  lease_id, license_id, installation_id,</w:t>
        <w:br/>
        <w:t xml:space="preserve">  features, issued_at, expires_at, server_nonce</w:t>
        <w:br/>
        <w:t>}</w:t>
        <w:br/>
        <w:t>// 由许可证服务器签名，客户端离线缓存时间应很短。</w:t>
      </w:r>
    </w:p>
    <w:p>
      <w:pPr>
        <w:spacing w:after="100" w:line="283" w:lineRule="auto"/>
      </w:pPr>
      <w:r>
        <w:t>租约服务器采用原子计数或数据库事务分配席位。客户端崩溃时依靠租约超时回收，不以“正常退出释放”作为唯一机制。</w:t>
      </w:r>
    </w:p>
    <w:p>
      <w:pPr>
        <w:pStyle w:val="Heading1"/>
        <w:keepNext/>
      </w:pPr>
      <w:r>
        <w:t>10. 业务集成方式</w:t>
      </w:r>
    </w:p>
    <w:p>
      <w:pPr>
        <w:pStyle w:val="Heading2"/>
        <w:keepNext/>
      </w:pPr>
      <w:r>
        <w:t>10.1 AuthorizationContext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public interface IAuthorizationContext</w:t>
        <w:br/>
        <w:t>{</w:t>
        <w:br/>
        <w:t xml:space="preserve">    bool HasFeature(string feature);</w:t>
        <w:br/>
        <w:t xml:space="preserve">    int GetIntLimit(string name, int defaultValue = 0);</w:t>
        <w:br/>
        <w:t xml:space="preserve">    IReadOnlySet&lt;string&gt; GetResourceScope(string name);</w:t>
        <w:br/>
        <w:t xml:space="preserve">    LicenseStatus Status { get; }</w:t>
        <w:br/>
        <w:t xml:space="preserve">    DateTimeOffset? ExpiresAt { get; }</w:t>
        <w:br/>
        <w:t>}</w:t>
      </w:r>
    </w:p>
    <w:p>
      <w:pPr>
        <w:spacing w:after="100" w:line="283" w:lineRule="auto"/>
      </w:pPr>
      <w:r>
        <w:t>验证模块只负责生成上下文；业务模块通过依赖注入获取上下文。不要在全局暴露可写的 Licensed=true，也不要让每个模块自行解析 License。</w:t>
      </w:r>
    </w:p>
    <w:p>
      <w:pPr>
        <w:pStyle w:val="Heading2"/>
        <w:keepNext/>
      </w:pPr>
      <w:r>
        <w:t>10.2 深度绑定示例（图像处理 SDK）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业务点</w:t>
            </w:r>
          </w:p>
        </w:tc>
        <w:tc>
          <w:tcPr>
            <w:tcW w:type="dxa" w:w="69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授权数据参与方式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算法创建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根据 features 决定是否注册 GPU/DeepZoom/批处理算法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任务调度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max_parallel_jobs 直接约束线程池和任务队列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模型加载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resource_scope.model_ids 决定可加载的模型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设备访问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授权设备 ID 或设备数量参与连接创建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输出能力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根据 edition/limits 限制最大分辨率、导出格式或水印策略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服务接口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每个高价值 API 在入口及关键资源创建处检查上下文</w:t>
            </w:r>
          </w:p>
        </w:tc>
      </w:tr>
    </w:tbl>
    <w:p>
      <w:pPr>
        <w:spacing w:after="100" w:line="283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</w:rPr>
              <w:t>边界：</w:t>
            </w:r>
            <w:r>
              <w:t>多点校验是提高 Patch 成本，不是密码学保证。不要加入会误伤正常客户、导致稳定性显著下降的激进反调试逻辑。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11. 签发服务与密钥管理</w:t>
      </w:r>
    </w:p>
    <w:p>
      <w:pPr>
        <w:pStyle w:val="Heading2"/>
        <w:keepNext/>
      </w:pPr>
      <w:r>
        <w:t>11.1 签发流程</w:t>
      </w:r>
    </w:p>
    <w:p>
      <w:pPr>
        <w:pStyle w:val="ListNumber"/>
      </w:pPr>
      <w:r>
        <w:t>订单/合同系统创建授权申请，包含产品、客户、期限、功能和设备策略。</w:t>
      </w:r>
    </w:p>
    <w:p>
      <w:pPr>
        <w:pStyle w:val="ListNumber"/>
      </w:pPr>
      <w:r>
        <w:t>审批策略校验：高权限功能、永久许可和超大额度需要二次审批。</w:t>
      </w:r>
    </w:p>
    <w:p>
      <w:pPr>
        <w:pStyle w:val="ListNumber"/>
      </w:pPr>
      <w:r>
        <w:t>Issuer 构造规范化 payload，生成 license_id，并调用 KMS/HSM 签名。</w:t>
      </w:r>
    </w:p>
    <w:p>
      <w:pPr>
        <w:pStyle w:val="ListNumber"/>
      </w:pPr>
      <w:r>
        <w:t>写入不可变审计记录：申请者、审批者、KeyId、payload 哈希、签发时间和原因。</w:t>
      </w:r>
    </w:p>
    <w:p>
      <w:pPr>
        <w:pStyle w:val="ListNumber"/>
      </w:pPr>
      <w:r>
        <w:t>输出 License 文件及人类可读摘要；摘要不作为安全依据。</w:t>
      </w:r>
    </w:p>
    <w:p>
      <w:pPr>
        <w:pStyle w:val="Heading2"/>
        <w:keepNext/>
      </w:pPr>
      <w:r>
        <w:t>11.2 私钥保护</w:t>
      </w:r>
    </w:p>
    <w:p>
      <w:pPr>
        <w:pStyle w:val="ListBullet"/>
      </w:pPr>
      <w:r>
        <w:t>生产私钥不硬编码在桌面“License 生成器”中；优先放入 HSM、云 KMS 或隔离签名服务。</w:t>
      </w:r>
    </w:p>
    <w:p>
      <w:pPr>
        <w:pStyle w:val="ListBullet"/>
      </w:pPr>
      <w:r>
        <w:t>签名服务只接受经过身份验证和授权的结构化请求，不接受调用者上传任意待签名字节。</w:t>
      </w:r>
    </w:p>
    <w:p>
      <w:pPr>
        <w:pStyle w:val="ListBullet"/>
      </w:pPr>
      <w:r>
        <w:t>区分开发、测试、生产密钥；测试 License 永远不能被生产客户端信任。</w:t>
      </w:r>
    </w:p>
    <w:p>
      <w:pPr>
        <w:pStyle w:val="ListBullet"/>
      </w:pPr>
      <w:r>
        <w:t>密钥备份、恢复和销毁要有双人控制与演练。</w:t>
      </w:r>
    </w:p>
    <w:p>
      <w:pPr>
        <w:pStyle w:val="ListBullet"/>
      </w:pPr>
      <w:r>
        <w:t>日志中只保存 payload 哈希和必要字段，不记录私钥、原始硬件敏感信息。</w:t>
      </w:r>
    </w:p>
    <w:p>
      <w:pPr>
        <w:pStyle w:val="Heading2"/>
        <w:keepNext/>
      </w:pPr>
      <w:r>
        <w:t>11.3 密钥轮换状态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签发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客户端验证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当前生产密钥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VERIFY_ONLY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历史许可验证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按客户端策略拒绝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私钥泄漏或严重事件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旧版本可能验证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超过最长许可生命周期后移除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12. 撤销、升级与版本策略</w:t>
      </w:r>
    </w:p>
    <w:p>
      <w:pPr>
        <w:pStyle w:val="Heading2"/>
        <w:keepNext/>
      </w:pPr>
      <w:r>
        <w:t>12.1 撤销模型</w:t>
      </w:r>
    </w:p>
    <w:p>
      <w:pPr>
        <w:spacing w:after="100" w:line="283" w:lineRule="auto"/>
      </w:pPr>
      <w:r>
        <w:t>完全离线 License 无法获得实时撤销能力，这是物理限制。可选策略如下：</w:t>
      </w:r>
    </w:p>
    <w:p>
      <w:pPr>
        <w:pStyle w:val="ListBullet"/>
      </w:pPr>
      <w:r>
        <w:t>在线激活环境：服务端维护 revoked_license_ids 和 customer/product revocation_epoch。</w:t>
      </w:r>
    </w:p>
    <w:p>
      <w:pPr>
        <w:pStyle w:val="ListBullet"/>
      </w:pPr>
      <w:r>
        <w:t>周期联网环境：在签名时间票据中返回当前 revocation_epoch。</w:t>
      </w:r>
    </w:p>
    <w:p>
      <w:pPr>
        <w:pStyle w:val="ListBullet"/>
      </w:pPr>
      <w:r>
        <w:t>完全离线环境：通过软件升级包携带签名撤销列表；紧急情况下发版拒绝特定 LicenseId/KeyId。</w:t>
      </w:r>
    </w:p>
    <w:p>
      <w:pPr>
        <w:pStyle w:val="ListBullet"/>
      </w:pPr>
      <w:r>
        <w:t>合同层面明确离线永久许可的撤销边界，避免技术承诺超出能力。</w:t>
      </w:r>
    </w:p>
    <w:p>
      <w:pPr>
        <w:pStyle w:val="Heading2"/>
        <w:keepNext/>
      </w:pPr>
      <w:r>
        <w:t>12.2 软件升级权</w:t>
      </w:r>
    </w:p>
    <w:p>
      <w:pPr>
        <w:spacing w:after="100" w:line="283" w:lineRule="auto"/>
      </w:pPr>
      <w:r>
        <w:t>永久使用权与维护升级权应分开建模。客户端比较当前构建发布日期/主版本与 maintenance_until 或允许版本范围；已经授权的旧版本可继续使用，但维护期后发布的新版本不可启动高价值功能。</w:t>
      </w:r>
    </w:p>
    <w:p>
      <w:pPr>
        <w:pStyle w:val="Heading1"/>
        <w:keepNext/>
      </w:pPr>
      <w:r>
        <w:t>13. API 与错误模型</w:t>
      </w:r>
    </w:p>
    <w:p>
      <w:pPr>
        <w:pStyle w:val="Heading2"/>
        <w:keepNext/>
      </w:pPr>
      <w:r>
        <w:t>13.1 建议错误码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73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错误码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用户提示方向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LIC_FORMAT_INVALID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格式或长度不合法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许可证文件损坏或版本不受支持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LIC_SIGNATURE_INVALID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签名验证失败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许可证无效，请联系供应商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LIC_PRODUCT_MISMATCH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产品不匹配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许可证不适用于当前产品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LIC_NOT_YET_VALID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尚未生效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显示生效时间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LIC_EXPIRED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已到期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续费或导入新许可证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LIC_MACHINE_MISMATCH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机器不匹配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申请迁移/重新激活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LIC_FEATURE_DENIED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功能未授权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展示对应版本或购买入口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LIC_TIME_ROLLBACK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检测到时间回拨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校正时间或联网验证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LIC_ONLINE_REQUIRED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需要在线续租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检查网络/许可证服务器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LIC_KEY_REVOKED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签发密钥被撤销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必须升级并重新签发</w:t>
            </w:r>
          </w:p>
        </w:tc>
      </w:tr>
    </w:tbl>
    <w:p>
      <w:pPr>
        <w:spacing w:after="100" w:line="283" w:lineRule="auto"/>
      </w:pPr>
    </w:p>
    <w:p>
      <w:pPr>
        <w:spacing w:after="100" w:line="283" w:lineRule="auto"/>
      </w:pPr>
      <w:r>
        <w:t>外部提示不应暴露可帮助攻击者定位验证阶段的过多细节；内部日志保留原因码、LicenseId 后 8 位、KeyId、当前版本和匹配分数。</w:t>
      </w:r>
    </w:p>
    <w:p>
      <w:pPr>
        <w:pStyle w:val="Heading1"/>
        <w:keepNext/>
      </w:pPr>
      <w:r>
        <w:t>14. 参考验证伪代码</w:t>
      </w:r>
    </w:p>
    <w:p>
      <w:pPr>
        <w:pStyle w:val="CodeBlock"/>
        <w:keepLines/>
      </w:pPr>
      <w:r>
        <w:rPr>
          <w:rFonts w:ascii="Consolas" w:hAnsi="Consolas" w:eastAsia="Consolas"/>
          <w:sz w:val="17"/>
        </w:rPr>
        <w:t>ValidateResult ValidateLicense(byte[] file, ValidationInput input)</w:t>
        <w:br/>
        <w:t>{</w:t>
        <w:br/>
        <w:t xml:space="preserve">    if (file.Length == 0 || file.Length &gt; 64 * 1024)</w:t>
        <w:br/>
        <w:t xml:space="preserve">        return Fail(LIC_FORMAT_INVALID);</w:t>
        <w:br/>
        <w:br/>
        <w:t xml:space="preserve">    var env = StrictDecodeEnvelope(file);</w:t>
        <w:br/>
        <w:t xml:space="preserve">    var key = TrustedKeys.Find(env.KeyId, env.Algorithm);</w:t>
        <w:br/>
        <w:t xml:space="preserve">    if (key is null || key.IsRevoked)</w:t>
        <w:br/>
        <w:t xml:space="preserve">        return Fail(LIC_KEY_REVOKED);</w:t>
        <w:br/>
        <w:br/>
        <w:t xml:space="preserve">    var signed = Concat(DomainSeparatorV1, env.Payload);</w:t>
        <w:br/>
        <w:t xml:space="preserve">    if (!Crypto.Verify(key, signed, env.Signature))</w:t>
        <w:br/>
        <w:t xml:space="preserve">        return Fail(LIC_SIGNATURE_INVALID);</w:t>
        <w:br/>
        <w:br/>
        <w:t xml:space="preserve">    var lic = StrictDecodeCanonicalPayload(env.Payload);</w:t>
        <w:br/>
        <w:t xml:space="preserve">    CheckProductAndSchema(lic, input);</w:t>
        <w:br/>
        <w:t xml:space="preserve">    CheckVersionPolicy(lic, input.AppVersion, input.BuildDate);</w:t>
        <w:br/>
        <w:t xml:space="preserve">    CheckTimePolicy(lic, input.UtcNow, input.TimeAnchor, input.TimeTicket);</w:t>
        <w:br/>
        <w:t xml:space="preserve">    CheckMachinePolicy(lic, input.MachineSignals);</w:t>
        <w:br/>
        <w:t xml:space="preserve">    CheckOnlinePolicyWhenRequired(lic, input.OnlineState);</w:t>
        <w:br/>
        <w:br/>
        <w:t xml:space="preserve">    return Success(BuildImmutableAuthorizationContext(lic));</w:t>
        <w:br/>
        <w:t>}</w:t>
      </w:r>
    </w:p>
    <w:p>
      <w:pPr>
        <w:pStyle w:val="Heading1"/>
        <w:keepNext/>
      </w:pPr>
      <w:r>
        <w:t>15. 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周期参考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P0 设计冻结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2～3 天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字段字典、威胁模型、算法和版本策略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安全评审通过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P1 核心库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1～2 周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签发 CLI、验证 SDK、测试向量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跨语言签名验证一致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P2 产品集成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1～2 周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AuthorizationContext、功能/额度绑定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关键路径不存在单一布尔检查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P3 激活与时间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1～2 周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安装实例、机器指纹、时间锚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换一项硬件不误杀；回拨有明确处理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P4 在线增强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2～4 周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激活、租约、撤销、管理台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并发回收与断网策略通过测试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P5 加固与发布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1～2 周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代码签名、完整性检测、运维手册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私钥演练、轮换演练、模糊测试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16. 测试清单</w:t>
      </w:r>
    </w:p>
    <w:p>
      <w:pPr>
        <w:pStyle w:val="Heading2"/>
        <w:keepNext/>
      </w:pPr>
      <w:r>
        <w:t>16.1 密码与格式</w:t>
      </w:r>
    </w:p>
    <w:p>
      <w:pPr>
        <w:pStyle w:val="ListBullet"/>
      </w:pPr>
      <w:r>
        <w:t>官方/自有测试向量：合法签名、单字节篡改、错误 KeyId、错误算法、截断和超长输入。</w:t>
      </w:r>
    </w:p>
    <w:p>
      <w:pPr>
        <w:pStyle w:val="ListBullet"/>
      </w:pPr>
      <w:r>
        <w:t>跨平台编码一致性：C#、C++、Java 或服务端生成的 payload 字节完全一致。</w:t>
      </w:r>
    </w:p>
    <w:p>
      <w:pPr>
        <w:pStyle w:val="ListBullet"/>
      </w:pPr>
      <w:r>
        <w:t>模糊测试解析器，确保畸形 CBOR/JSON 不崩溃、不越界、不高内存占用。</w:t>
      </w:r>
    </w:p>
    <w:p>
      <w:pPr>
        <w:pStyle w:val="ListBullet"/>
      </w:pPr>
      <w:r>
        <w:t>验证函数对失败场景全部失败关闭。</w:t>
      </w:r>
    </w:p>
    <w:p>
      <w:pPr>
        <w:pStyle w:val="Heading2"/>
        <w:keepNext/>
      </w:pPr>
      <w:r>
        <w:t>16.2 业务与运维</w:t>
      </w:r>
    </w:p>
    <w:p>
      <w:pPr>
        <w:pStyle w:val="ListBullet"/>
      </w:pPr>
      <w:r>
        <w:t>功能组合、额度边界、并发竞争、资源范围为空/重复/超限。</w:t>
      </w:r>
    </w:p>
    <w:p>
      <w:pPr>
        <w:pStyle w:val="ListBullet"/>
      </w:pPr>
      <w:r>
        <w:t>系统时间前后跳变、时区变化、休眠唤醒、离线超过宽限。</w:t>
      </w:r>
    </w:p>
    <w:p>
      <w:pPr>
        <w:pStyle w:val="ListBullet"/>
      </w:pPr>
      <w:r>
        <w:t>换网卡、换硬盘、主板维修、虚拟机快照和克隆。</w:t>
      </w:r>
    </w:p>
    <w:p>
      <w:pPr>
        <w:pStyle w:val="ListBullet"/>
      </w:pPr>
      <w:r>
        <w:t>私钥轮换、KeyId 错误、旧密钥 verify-only、紧急撤销。</w:t>
      </w:r>
    </w:p>
    <w:p>
      <w:pPr>
        <w:pStyle w:val="ListBullet"/>
      </w:pPr>
      <w:r>
        <w:t>License 文件只读目录、权限不足、并发读取、原子替换和断电恢复。</w:t>
      </w:r>
    </w:p>
    <w:p>
      <w:pPr>
        <w:pStyle w:val="ListBullet"/>
      </w:pPr>
      <w:r>
        <w:t>管理操作审计、审批绕过、重复签发和撤销恢复流程。</w:t>
      </w:r>
    </w:p>
    <w:p>
      <w:pPr>
        <w:pStyle w:val="Heading1"/>
        <w:keepNext/>
      </w:pPr>
      <w:r>
        <w:t>17. 上线前安全检查表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77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必须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客户端只包含公钥，不包含生产签发私钥或共享密钥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使用 Ed25519 或 RSA-PSS 等标准 Verify API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签名覆盖全部授权字段和版本字段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载荷有规范化编码和明确域分离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算法、KeyId、产品 ID 均为白名单校验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解析器有文件大小、字段长度、数组数量限制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LicenseId、KeyId、schema_version 可追踪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具备密钥轮换和私钥泄漏应急方案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机器绑定有容错、迁移和客户支持流程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节点锁定时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订阅许可具备时间回拨和离线宽限策略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订阅时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高价值功能在业务层多点使用 AuthorizationContext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签发、审批、激活和撤销操作具备审计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是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18. 最终推荐基线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</w:rPr>
              <w:t>最小可行版本（MVP）：</w:t>
            </w:r>
            <w:r>
              <w:t>Ed25519 + Canonical CBOR + LicenseId/ProductId/CustomerId/Features/Limits/ExpiresAt/MachinePolicy/KeyId；客户端严格验证并生成 AuthorizationContext；签发私钥放在受控签名服务；支持 KeyId 轮换。</w:t>
            </w:r>
          </w:p>
        </w:tc>
      </w:tr>
    </w:tbl>
    <w:p>
      <w:pPr>
        <w:spacing w:after="100" w:line="283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</w:rPr>
              <w:t>企业增强版：</w:t>
            </w:r>
            <w:r>
              <w:t>在 MVP 上增加在线激活、短期签名租约、服务器时间票据、撤销代际、浮动并发、管理审批、审计报表和密钥泄漏应急流程。</w:t>
            </w:r>
          </w:p>
        </w:tc>
      </w:tr>
    </w:tbl>
    <w:p>
      <w:pPr>
        <w:spacing w:after="100" w:line="283" w:lineRule="auto"/>
      </w:pPr>
    </w:p>
    <w:p>
      <w:pPr>
        <w:spacing w:after="100" w:line="283" w:lineRule="auto"/>
      </w:pPr>
      <w:r>
        <w:t>该基线兼顾离线部署、工程复杂度、客户运维体验和长期演进能力。密码学负责“License 是否由软件商签发且未被修改”，业务集成负责“绕过是否昂贵”，在线服务负责“撤销、并发与订阅状态是否及时”。三者职责应清晰分离。</w:t>
      </w:r>
    </w:p>
    <w:p>
      <w:pPr>
        <w:pStyle w:val="Heading1"/>
        <w:keepNext/>
      </w:pPr>
      <w:r>
        <w:t>附录 A：与常见错误方案的对比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常见错误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本方案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私钥加密整个 License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混淆签名与加密，需分块，易自研出错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标准数字签名覆盖规范化载荷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明文时间戳 + 校验和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可修改并重算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时间字段在签名载荷内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启动时一次 check_license()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单点 Patch 成本低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不可变授权上下文参与核心业务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绑定单一 MAC/硬盘号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易伪造或换件误杀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多信号加权和迁移流程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私钥硬编码在生成器 EXE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被拷贝后不可控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HSM/KMS/隔离签名服务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永久使用权等于永久升级权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商业策略不清晰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expires_at 与 maintenance_until 分离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完全离线但承诺实时撤销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技术上不可实现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明确离线撤销边界</w:t>
            </w:r>
          </w:p>
        </w:tc>
      </w:tr>
    </w:tbl>
    <w:p>
      <w:pPr>
        <w:spacing w:after="100" w:line="283" w:lineRule="auto"/>
      </w:pPr>
    </w:p>
    <w:p>
      <w:pPr>
        <w:pStyle w:val="Heading1"/>
        <w:keepNext/>
      </w:pPr>
      <w:r>
        <w:t>附录 B：规范与参考资料</w:t>
      </w:r>
    </w:p>
    <w:p>
      <w:pPr>
        <w:pStyle w:val="ListBullet"/>
      </w:pPr>
      <w:r>
        <w:t>RFC 8032, Edwards-Curve Digital Signature Algorithm (EdDSA)：Ed25519/Ed448 规范与测试向量。</w:t>
      </w:r>
    </w:p>
    <w:p>
      <w:pPr>
        <w:pStyle w:val="ListBullet"/>
      </w:pPr>
      <w:r>
        <w:t>RFC 8017, PKCS #1 v2.2：RSA-OAEP 与 RSASSA-PSS 等标准方案。</w:t>
      </w:r>
    </w:p>
    <w:p>
      <w:pPr>
        <w:pStyle w:val="ListBullet"/>
      </w:pPr>
      <w:r>
        <w:t>NIST SP 800-57 Part 1 Rev. 5, Recommendation for Key Management：密钥强度、生命周期与管理原则。</w:t>
      </w:r>
    </w:p>
    <w:p>
      <w:pPr>
        <w:pStyle w:val="ListBullet"/>
      </w:pPr>
      <w:r>
        <w:t>OWASP Key Management Cheat Sheet：数字签名与密钥管理工程实践。</w:t>
      </w:r>
    </w:p>
    <w:p>
      <w:pPr>
        <w:pStyle w:val="ListBullet"/>
      </w:pPr>
      <w:r>
        <w:t>《商业软件 License 设计与实现指南》（用户提供材料）：其中“公私钥分离、时间字段受保护、授权数据融入业务”的方向被保留；本文对其分块 RSA、自定义填充/XOR 及密钥管理部分进行了工程化修正。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内部技术设计文档  | 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商业软件 License 架构设计方案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Microsoft YaHe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