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Times New Roman" w:hAnsi="Times New Roman" w:eastAsia="Noto Sans CJK SC"/>
          <w:b/>
          <w:color w:val="1F3864"/>
          <w:sz w:val="36"/>
        </w:rPr>
        <w:t>自然语言处理2026春夏</w:t>
      </w:r>
    </w:p>
    <w:p>
      <w:pPr>
        <w:spacing w:before="700"/>
        <w:jc w:val="center"/>
      </w:pPr>
      <w:r>
        <w:rPr>
          <w:rFonts w:ascii="Times New Roman" w:hAnsi="Times New Roman" w:eastAsia="Noto Sans CJK SC"/>
          <w:b/>
          <w:color w:val="141414"/>
          <w:sz w:val="52"/>
        </w:rPr>
        <w:t>《地书翻译机》技术报告</w:t>
      </w:r>
    </w:p>
    <w:p>
      <w:pPr>
        <w:jc w:val="center"/>
      </w:pPr>
      <w:r>
        <w:rPr>
          <w:rFonts w:ascii="Times New Roman" w:hAnsi="Times New Roman" w:eastAsia="Noto Sans CJK SC"/>
          <w:b w:val="0"/>
          <w:color w:val="464646"/>
          <w:sz w:val="32"/>
        </w:rPr>
        <w:t>图形语言的语义漂移实验</w:t>
      </w:r>
    </w:p>
    <w:p>
      <w:pPr>
        <w:spacing w:before="440"/>
        <w:jc w:val="center"/>
      </w:pPr>
      <w:r>
        <w:rPr>
          <w:rFonts w:ascii="Times New Roman" w:hAnsi="Times New Roman" w:eastAsia="Noto Sans CJK SC"/>
          <w:color w:val="464646"/>
          <w:sz w:val="24"/>
        </w:rPr>
        <w:t>分组项目主题二：拓展“图形化文字”概念的创作</w:t>
      </w:r>
    </w:p>
    <w:tbl>
      <w:tblPr>
        <w:tblStyle w:val="TableGrid"/>
        <w:tblW w:type="auto" w:w="0"/>
        <w:jc w:val="center"/>
        <w:tblLook w:firstColumn="1" w:firstRow="1" w:lastColumn="0" w:lastRow="0" w:noHBand="0" w:noVBand="1" w:val="04A0"/>
      </w:tblPr>
      <w:tblGrid>
        <w:gridCol w:w="4479"/>
        <w:gridCol w:w="4479"/>
      </w:tblGrid>
      <w:tr>
        <w:tc>
          <w:tcPr>
            <w:tcW w:type="dxa" w:w="1984"/>
            <w:tcMar>
              <w:top w:w="120" w:type="dxa"/>
              <w:start w:w="120" w:type="dxa"/>
              <w:bottom w:w="120" w:type="dxa"/>
              <w:end w:w="120" w:type="dxa"/>
            </w:tcMar>
            <w:vAlign w:val="center"/>
            <w:shd w:fill="EAF0F8"/>
          </w:tcPr>
          <w:p>
            <w:pPr>
              <w:ind w:firstLine="0"/>
              <w:jc w:val="center"/>
            </w:pPr>
            <w:r>
              <w:rPr>
                <w:rFonts w:ascii="Times New Roman" w:hAnsi="Times New Roman" w:eastAsia="Noto Sans CJK SC"/>
                <w:b/>
                <w:sz w:val="22"/>
              </w:rPr>
              <w:t>作品形式</w:t>
            </w:r>
          </w:p>
        </w:tc>
        <w:tc>
          <w:tcPr>
            <w:tcW w:type="dxa" w:w="5953"/>
            <w:tcMar>
              <w:top w:w="120" w:type="dxa"/>
              <w:start w:w="120" w:type="dxa"/>
              <w:bottom w:w="120" w:type="dxa"/>
              <w:end w:w="120" w:type="dxa"/>
            </w:tcMar>
            <w:vAlign w:val="center"/>
          </w:tcPr>
          <w:p>
            <w:pPr>
              <w:ind w:firstLine="0"/>
              <w:jc w:val="left"/>
            </w:pPr>
            <w:r>
              <w:rPr>
                <w:rFonts w:ascii="Times New Roman" w:hAnsi="Times New Roman" w:eastAsia="Noto Serif CJK SC"/>
                <w:b w:val="0"/>
                <w:sz w:val="22"/>
              </w:rPr>
              <w:t>交互式网页作品 / 图形语言翻译工具 / 语义实验平台</w:t>
            </w:r>
          </w:p>
        </w:tc>
      </w:tr>
      <w:tr>
        <w:tc>
          <w:tcPr>
            <w:tcW w:type="dxa" w:w="1984"/>
            <w:tcMar>
              <w:top w:w="120" w:type="dxa"/>
              <w:start w:w="120" w:type="dxa"/>
              <w:bottom w:w="120" w:type="dxa"/>
              <w:end w:w="120" w:type="dxa"/>
            </w:tcMar>
            <w:vAlign w:val="center"/>
            <w:shd w:fill="EAF0F8"/>
          </w:tcPr>
          <w:p>
            <w:pPr>
              <w:ind w:firstLine="0"/>
              <w:jc w:val="center"/>
            </w:pPr>
            <w:r>
              <w:rPr>
                <w:rFonts w:ascii="Times New Roman" w:hAnsi="Times New Roman" w:eastAsia="Noto Sans CJK SC"/>
                <w:b/>
                <w:sz w:val="22"/>
              </w:rPr>
              <w:t>核心技术</w:t>
            </w:r>
          </w:p>
        </w:tc>
        <w:tc>
          <w:tcPr>
            <w:tcW w:type="dxa" w:w="5953"/>
            <w:tcMar>
              <w:top w:w="120" w:type="dxa"/>
              <w:start w:w="120" w:type="dxa"/>
              <w:bottom w:w="120" w:type="dxa"/>
              <w:end w:w="120" w:type="dxa"/>
            </w:tcMar>
            <w:vAlign w:val="center"/>
          </w:tcPr>
          <w:p>
            <w:pPr>
              <w:ind w:firstLine="0"/>
              <w:jc w:val="left"/>
            </w:pPr>
            <w:r>
              <w:rPr>
                <w:rFonts w:ascii="Times New Roman" w:hAnsi="Times New Roman" w:eastAsia="Noto Serif CJK SC"/>
                <w:b w:val="0"/>
                <w:sz w:val="22"/>
              </w:rPr>
              <w:t>Python、HTML/CSS/JavaScript、Node.js、大语言模型、视觉语言模型</w:t>
            </w:r>
          </w:p>
        </w:tc>
      </w:tr>
      <w:tr>
        <w:tc>
          <w:tcPr>
            <w:tcW w:type="dxa" w:w="1984"/>
            <w:tcMar>
              <w:top w:w="120" w:type="dxa"/>
              <w:start w:w="120" w:type="dxa"/>
              <w:bottom w:w="120" w:type="dxa"/>
              <w:end w:w="120" w:type="dxa"/>
            </w:tcMar>
            <w:vAlign w:val="center"/>
            <w:shd w:fill="EAF0F8"/>
          </w:tcPr>
          <w:p>
            <w:pPr>
              <w:ind w:firstLine="0"/>
              <w:jc w:val="center"/>
            </w:pPr>
            <w:r>
              <w:rPr>
                <w:rFonts w:ascii="Times New Roman" w:hAnsi="Times New Roman" w:eastAsia="Noto Sans CJK SC"/>
                <w:b/>
                <w:sz w:val="22"/>
              </w:rPr>
              <w:t>组员</w:t>
            </w:r>
          </w:p>
        </w:tc>
        <w:tc>
          <w:tcPr>
            <w:tcW w:type="dxa" w:w="5953"/>
            <w:tcMar>
              <w:top w:w="120" w:type="dxa"/>
              <w:start w:w="120" w:type="dxa"/>
              <w:bottom w:w="120" w:type="dxa"/>
              <w:end w:w="120" w:type="dxa"/>
            </w:tcMar>
            <w:vAlign w:val="center"/>
          </w:tcPr>
          <w:p>
            <w:pPr>
              <w:ind w:firstLine="0"/>
              <w:jc w:val="left"/>
            </w:pPr>
            <w:r>
              <w:rPr>
                <w:rFonts w:ascii="Times New Roman" w:hAnsi="Times New Roman" w:eastAsia="Noto Serif CJK SC"/>
                <w:b w:val="0"/>
                <w:sz w:val="22"/>
              </w:rPr>
              <w:t>待填写</w:t>
            </w:r>
          </w:p>
        </w:tc>
      </w:tr>
      <w:tr>
        <w:tc>
          <w:tcPr>
            <w:tcW w:type="dxa" w:w="1984"/>
            <w:tcMar>
              <w:top w:w="120" w:type="dxa"/>
              <w:start w:w="120" w:type="dxa"/>
              <w:bottom w:w="120" w:type="dxa"/>
              <w:end w:w="120" w:type="dxa"/>
            </w:tcMar>
            <w:vAlign w:val="center"/>
            <w:shd w:fill="EAF0F8"/>
          </w:tcPr>
          <w:p>
            <w:pPr>
              <w:ind w:firstLine="0"/>
              <w:jc w:val="center"/>
            </w:pPr>
            <w:r>
              <w:rPr>
                <w:rFonts w:ascii="Times New Roman" w:hAnsi="Times New Roman" w:eastAsia="Noto Sans CJK SC"/>
                <w:b/>
                <w:sz w:val="22"/>
              </w:rPr>
              <w:t>学号及分工</w:t>
            </w:r>
          </w:p>
        </w:tc>
        <w:tc>
          <w:tcPr>
            <w:tcW w:type="dxa" w:w="5953"/>
            <w:tcMar>
              <w:top w:w="120" w:type="dxa"/>
              <w:start w:w="120" w:type="dxa"/>
              <w:bottom w:w="120" w:type="dxa"/>
              <w:end w:w="120" w:type="dxa"/>
            </w:tcMar>
            <w:vAlign w:val="center"/>
          </w:tcPr>
          <w:p>
            <w:pPr>
              <w:ind w:firstLine="0"/>
              <w:jc w:val="left"/>
            </w:pPr>
            <w:r>
              <w:rPr>
                <w:rFonts w:ascii="Times New Roman" w:hAnsi="Times New Roman" w:eastAsia="Noto Serif CJK SC"/>
                <w:b w:val="0"/>
                <w:sz w:val="22"/>
              </w:rPr>
              <w:t>待填写</w:t>
            </w:r>
          </w:p>
        </w:tc>
      </w:tr>
      <w:tr>
        <w:tc>
          <w:tcPr>
            <w:tcW w:type="dxa" w:w="1984"/>
            <w:tcMar>
              <w:top w:w="120" w:type="dxa"/>
              <w:start w:w="120" w:type="dxa"/>
              <w:bottom w:w="120" w:type="dxa"/>
              <w:end w:w="120" w:type="dxa"/>
            </w:tcMar>
            <w:vAlign w:val="center"/>
            <w:shd w:fill="EAF0F8"/>
          </w:tcPr>
          <w:p>
            <w:pPr>
              <w:ind w:firstLine="0"/>
              <w:jc w:val="center"/>
            </w:pPr>
            <w:r>
              <w:rPr>
                <w:rFonts w:ascii="Times New Roman" w:hAnsi="Times New Roman" w:eastAsia="Noto Sans CJK SC"/>
                <w:b/>
                <w:sz w:val="22"/>
              </w:rPr>
              <w:t>完成日期</w:t>
            </w:r>
          </w:p>
        </w:tc>
        <w:tc>
          <w:tcPr>
            <w:tcW w:type="dxa" w:w="5953"/>
            <w:tcMar>
              <w:top w:w="120" w:type="dxa"/>
              <w:start w:w="120" w:type="dxa"/>
              <w:bottom w:w="120" w:type="dxa"/>
              <w:end w:w="120" w:type="dxa"/>
            </w:tcMar>
            <w:vAlign w:val="center"/>
          </w:tcPr>
          <w:p>
            <w:pPr>
              <w:ind w:firstLine="0"/>
              <w:jc w:val="left"/>
            </w:pPr>
            <w:r>
              <w:rPr>
                <w:rFonts w:ascii="Times New Roman" w:hAnsi="Times New Roman" w:eastAsia="Noto Serif CJK SC"/>
                <w:b w:val="0"/>
                <w:sz w:val="22"/>
              </w:rPr>
              <w:t>2026年6月</w:t>
            </w:r>
          </w:p>
        </w:tc>
      </w:tr>
    </w:tbl>
    <w:p/>
    <w:p>
      <w:pPr>
        <w:spacing w:before="500"/>
        <w:jc w:val="center"/>
      </w:pPr>
      <w:hyperlink r:id="rId11">
        <w:r>
          <w:rPr>
            <w:color w:val="0563C1"/>
            <w:u w:val="single"/>
            <w:rFonts w:eastAsia="Noto Sans CJK SC" w:ascii="Times New Roman"/>
          </w:rPr>
          <w:t>代码仓库：https://github.com/Augenstern1-star/NLP/tree/main/dishu-translator</w:t>
        </w:r>
      </w:hyperlink>
    </w:p>
    <w:p>
      <w:r>
        <w:rPr>
          <w:rFonts w:ascii="Times New Roman" w:hAnsi="Times New Roman" w:eastAsia="Noto Serif CJK SC"/>
          <w:sz w:val="22"/>
        </w:rPr>
        <w:br w:type="page"/>
      </w:r>
    </w:p>
    <w:p>
      <w:pPr>
        <w:pStyle w:val="Heading1"/>
        <w:keepNext/>
      </w:pPr>
      <w:r>
        <w:rPr>
          <w:rFonts w:ascii="Arial" w:hAnsi="Arial" w:eastAsia="Noto Sans CJK SC"/>
          <w:b/>
          <w:color w:val="1F3864"/>
          <w:sz w:val="32"/>
        </w:rPr>
        <w:t>摘要</w:t>
      </w:r>
    </w:p>
    <w:p>
      <w:pPr>
        <w:pStyle w:val="BodyText"/>
      </w:pPr>
      <w:r>
        <w:rPr>
          <w:rFonts w:ascii="Times New Roman" w:hAnsi="Times New Roman" w:eastAsia="Noto Serif CJK SC"/>
          <w:sz w:val="22"/>
        </w:rPr>
        <w:t>《地书翻译机》是一件以徐冰《地书》图形语言为基础的交互式网页作品。用户输入一段自然语言短句后，系统会根据《地书》的原始图形素材、人工标注数据和白话文本标注数据，将自然语言转换为一组图形序列，并进一步展示字面解释、语境解释、候选图形、翻译置信度、自然语言回译、语义漂移和可能的视觉误读。</w:t>
      </w:r>
    </w:p>
    <w:p>
      <w:pPr>
        <w:pStyle w:val="BodyText"/>
      </w:pPr>
      <w:r>
        <w:rPr>
          <w:rFonts w:ascii="Times New Roman" w:hAnsi="Times New Roman" w:eastAsia="Noto Serif CJK SC"/>
          <w:sz w:val="22"/>
        </w:rPr>
        <w:t>本作品并不把“翻译正确率”作为唯一目标，而是将自然语言转换为图形语言的过程设计为一场可观察的语义实验：当文字被替换为图形时，哪些意义能够被保留，哪些意义只能通过近似图形借用表达，哪些意义会在观看和回译时发生偏移？系统通过字面版、语境版和AI辅助版三种翻译结果，将翻译中的选择、不确定性和误读显性化。</w:t>
      </w:r>
    </w:p>
    <w:p>
      <w:pPr>
        <w:pStyle w:val="BodyText"/>
      </w:pPr>
      <w:r>
        <w:rPr>
          <w:rFonts w:ascii="Times New Roman" w:hAnsi="Times New Roman" w:eastAsia="Noto Serif CJK SC"/>
          <w:sz w:val="22"/>
        </w:rPr>
        <w:t>项目同时引入三种大模型应用方式：第一，使用文本大模型为本地词典无法匹配的片段推荐已有《地书》概念；第二，使用视觉语言模型检查图形内容与目标含义是否一致，并生成视觉误读分析；第三，使用文本大模型模拟第一次观看作品的普通观众，在不知道原句的情况下盲读图形序列。由此，模型不只是生成答案的工具，也分别承担“翻译助手”“视觉审稿人”和“模拟观众”三种角色。</w:t>
      </w:r>
    </w:p>
    <w:p>
      <w:pPr>
        <w:pStyle w:val="BodyText"/>
        <w:ind w:firstLine="0"/>
      </w:pPr>
      <w:r>
        <w:rPr>
          <w:rFonts w:ascii="Times New Roman" w:hAnsi="Times New Roman" w:eastAsia="Noto Serif CJK SC"/>
          <w:b/>
          <w:sz w:val="22"/>
        </w:rPr>
        <w:t>关键词：《地书》、图形语言、自然语言处理、语义漂移、大语言模型、视觉语言模型、人机协同</w:t>
      </w:r>
    </w:p>
    <w:p>
      <w:pPr>
        <w:pStyle w:val="Heading1"/>
        <w:keepNext/>
      </w:pPr>
      <w:r>
        <w:rPr>
          <w:rFonts w:ascii="Arial" w:hAnsi="Arial" w:eastAsia="Noto Sans CJK SC"/>
          <w:b/>
          <w:color w:val="1F3864"/>
          <w:sz w:val="32"/>
        </w:rPr>
        <w:t>目录</w:t>
      </w:r>
    </w:p>
    <w:p>
      <w:pPr>
        <w:jc w:val="left"/>
      </w:pPr>
      <w:r>
        <w:rPr>
          <w:rFonts w:ascii="Times New Roman" w:hAnsi="Times New Roman" w:eastAsia="Noto Serif CJK SC"/>
          <w:sz w:val="22"/>
        </w:rPr>
        <w:fldChar w:fldCharType="begin"/>
        <w:instrText xml:space="preserve"> TOC \o "1-3" \h \z \u </w:instrText>
        <w:fldChar w:fldCharType="separate"/>
        <w:t>右键目录并选择“更新域”以刷新页码。</w:t>
        <w:fldChar w:fldCharType="end"/>
      </w:r>
    </w:p>
    <w:p>
      <w:r>
        <w:rPr>
          <w:rFonts w:ascii="Times New Roman" w:hAnsi="Times New Roman" w:eastAsia="Noto Serif CJK SC"/>
          <w:sz w:val="22"/>
        </w:rPr>
        <w:br w:type="page"/>
      </w:r>
    </w:p>
    <w:p>
      <w:pPr>
        <w:pStyle w:val="Heading1"/>
        <w:keepNext/>
      </w:pPr>
      <w:r>
        <w:rPr>
          <w:rFonts w:ascii="Arial" w:hAnsi="Arial" w:eastAsia="Noto Sans CJK SC"/>
          <w:b/>
          <w:color w:val="1F3864"/>
          <w:sz w:val="32"/>
        </w:rPr>
        <w:t>1. 项目背景与创作目标</w:t>
      </w:r>
    </w:p>
    <w:p>
      <w:pPr>
        <w:pStyle w:val="BodyText"/>
      </w:pPr>
      <w:r>
        <w:rPr>
          <w:rFonts w:ascii="Times New Roman" w:hAnsi="Times New Roman" w:eastAsia="Noto Serif CJK SC"/>
          <w:sz w:val="22"/>
        </w:rPr>
        <w:t>徐冰的《地书》试图使用来自公共空间、互联网和日常生活的通用图形符号，构造一种不依赖具体自然语言的图形书写系统。图形具有直观、跨语言和快速识别的特点，但它也存在明显限制：图形通常容易表达具体人物、物品和动作，却较难稳定表达抽象概念、复杂逻辑、时态、语气和上下文关系。</w:t>
      </w:r>
    </w:p>
    <w:p>
      <w:pPr>
        <w:pStyle w:val="BodyText"/>
      </w:pPr>
      <w:r>
        <w:rPr>
          <w:rFonts w:ascii="Times New Roman" w:hAnsi="Times New Roman" w:eastAsia="Noto Serif CJK SC"/>
          <w:sz w:val="22"/>
        </w:rPr>
        <w:t>本项目从以下问题出发：</w:t>
      </w:r>
    </w:p>
    <w:p>
      <w:pPr>
        <w:pStyle w:val="ListNumber"/>
      </w:pPr>
      <w:r>
        <w:rPr>
          <w:rFonts w:ascii="Times New Roman" w:hAnsi="Times New Roman" w:eastAsia="Noto Serif CJK SC"/>
          <w:sz w:val="22"/>
        </w:rPr>
        <w:t>自然语言能否被稳定地转换为《地书》式图形序列？</w:t>
      </w:r>
    </w:p>
    <w:p>
      <w:pPr>
        <w:pStyle w:val="ListNumber"/>
      </w:pPr>
      <w:r>
        <w:rPr>
          <w:rFonts w:ascii="Times New Roman" w:hAnsi="Times New Roman" w:eastAsia="Noto Serif CJK SC"/>
          <w:sz w:val="22"/>
        </w:rPr>
        <w:t>同一个图形在不同上下文中是否会产生不同解释？</w:t>
      </w:r>
    </w:p>
    <w:p>
      <w:pPr>
        <w:pStyle w:val="ListNumber"/>
      </w:pPr>
      <w:r>
        <w:rPr>
          <w:rFonts w:ascii="Times New Roman" w:hAnsi="Times New Roman" w:eastAsia="Noto Serif CJK SC"/>
          <w:sz w:val="22"/>
        </w:rPr>
        <w:t>当目标词在图形库中不存在时，系统应当强行近似、保留空位，还是调用大模型辅助判断？</w:t>
      </w:r>
    </w:p>
    <w:p>
      <w:pPr>
        <w:pStyle w:val="ListNumber"/>
      </w:pPr>
      <w:r>
        <w:rPr>
          <w:rFonts w:ascii="Times New Roman" w:hAnsi="Times New Roman" w:eastAsia="Noto Serif CJK SC"/>
          <w:sz w:val="22"/>
        </w:rPr>
        <w:t>图形序列被重新翻译回自然语言时，原意还剩下多少？</w:t>
      </w:r>
    </w:p>
    <w:p>
      <w:pPr>
        <w:pStyle w:val="ListNumber"/>
      </w:pPr>
      <w:r>
        <w:rPr>
          <w:rFonts w:ascii="Times New Roman" w:hAnsi="Times New Roman" w:eastAsia="Noto Serif CJK SC"/>
          <w:sz w:val="22"/>
        </w:rPr>
        <w:t>一个没有看过原句的观众，会如何理解这些图形？</w:t>
      </w:r>
    </w:p>
    <w:p>
      <w:pPr>
        <w:pStyle w:val="BodyText"/>
      </w:pPr>
      <w:r>
        <w:rPr>
          <w:rFonts w:ascii="Times New Roman" w:hAnsi="Times New Roman" w:eastAsia="Noto Serif CJK SC"/>
          <w:sz w:val="22"/>
        </w:rPr>
        <w:t>因此，作品的核心目标不是制作一个宣称“完全正确”的翻译器，而是将翻译过程本身变成作品：用户可以观察意义在自然语言、图形概念、视觉图像和观众理解之间如何被保留、压缩、借用和重新生成。</w:t>
      </w:r>
    </w:p>
    <w:p>
      <w:pPr>
        <w:pStyle w:val="Heading1"/>
        <w:keepNext/>
      </w:pPr>
      <w:r>
        <w:rPr>
          <w:rFonts w:ascii="Arial" w:hAnsi="Arial" w:eastAsia="Noto Sans CJK SC"/>
          <w:b/>
          <w:color w:val="1F3864"/>
          <w:sz w:val="32"/>
        </w:rPr>
        <w:t>2. 作品定位与创新点</w:t>
      </w:r>
    </w:p>
    <w:p>
      <w:pPr>
        <w:pStyle w:val="Heading2"/>
        <w:keepNext/>
      </w:pPr>
      <w:r>
        <w:rPr>
          <w:rFonts w:ascii="Arial" w:hAnsi="Arial" w:eastAsia="Noto Sans CJK SC"/>
          <w:b/>
          <w:color w:val="1F3864"/>
          <w:sz w:val="28"/>
        </w:rPr>
        <w:t>2.1 从工具转化为可观看的作品</w:t>
      </w:r>
    </w:p>
    <w:p>
      <w:pPr>
        <w:pStyle w:val="BodyText"/>
      </w:pPr>
      <w:r>
        <w:rPr>
          <w:rFonts w:ascii="Times New Roman" w:hAnsi="Times New Roman" w:eastAsia="Noto Serif CJK SC"/>
          <w:sz w:val="22"/>
        </w:rPr>
        <w:t>系统具有自然语言输入、图形输出和概念检索等工具属性，同时加入作品画布、图形动画、语义漂移展示、观众盲读和作品说明卡，使输出不只是一串查询结果，而是一组可展示、可讨论、可截图和可回译的视觉叙事。</w:t>
      </w:r>
    </w:p>
    <w:p>
      <w:pPr>
        <w:pStyle w:val="Heading2"/>
        <w:keepNext/>
      </w:pPr>
      <w:r>
        <w:rPr>
          <w:rFonts w:ascii="Arial" w:hAnsi="Arial" w:eastAsia="Noto Sans CJK SC"/>
          <w:b/>
          <w:color w:val="1F3864"/>
          <w:sz w:val="28"/>
        </w:rPr>
        <w:t>2.2 将“不确定性”作为展示内容</w:t>
      </w:r>
    </w:p>
    <w:p>
      <w:pPr>
        <w:pStyle w:val="BodyText"/>
      </w:pPr>
      <w:r>
        <w:rPr>
          <w:rFonts w:ascii="Times New Roman" w:hAnsi="Times New Roman" w:eastAsia="Noto Serif CJK SC"/>
          <w:sz w:val="22"/>
        </w:rPr>
        <w:t>普通翻译系统通常隐藏中间过程，只提供一个最终答案。本作品主动展示：</w:t>
      </w:r>
    </w:p>
    <w:p>
      <w:pPr>
        <w:pStyle w:val="ListBullet"/>
      </w:pPr>
      <w:r>
        <w:rPr>
          <w:rFonts w:ascii="Times New Roman" w:hAnsi="Times New Roman" w:eastAsia="Noto Serif CJK SC"/>
          <w:sz w:val="22"/>
        </w:rPr>
        <w:t>当前输入片段对应了哪个概念；</w:t>
      </w:r>
    </w:p>
    <w:p>
      <w:pPr>
        <w:pStyle w:val="ListBullet"/>
      </w:pPr>
      <w:r>
        <w:rPr>
          <w:rFonts w:ascii="Times New Roman" w:hAnsi="Times New Roman" w:eastAsia="Noto Serif CJK SC"/>
          <w:sz w:val="22"/>
        </w:rPr>
        <w:t>该概念来自哪一组《地书》图形；</w:t>
      </w:r>
    </w:p>
    <w:p>
      <w:pPr>
        <w:pStyle w:val="ListBullet"/>
      </w:pPr>
      <w:r>
        <w:rPr>
          <w:rFonts w:ascii="Times New Roman" w:hAnsi="Times New Roman" w:eastAsia="Noto Serif CJK SC"/>
          <w:sz w:val="22"/>
        </w:rPr>
        <w:t>字面意义与语境意义是否一致；</w:t>
      </w:r>
    </w:p>
    <w:p>
      <w:pPr>
        <w:pStyle w:val="ListBullet"/>
      </w:pPr>
      <w:r>
        <w:rPr>
          <w:rFonts w:ascii="Times New Roman" w:hAnsi="Times New Roman" w:eastAsia="Noto Serif CJK SC"/>
          <w:sz w:val="22"/>
        </w:rPr>
        <w:t>当前匹配置信度是多少；</w:t>
      </w:r>
    </w:p>
    <w:p>
      <w:pPr>
        <w:pStyle w:val="ListBullet"/>
      </w:pPr>
      <w:r>
        <w:rPr>
          <w:rFonts w:ascii="Times New Roman" w:hAnsi="Times New Roman" w:eastAsia="Noto Serif CJK SC"/>
          <w:sz w:val="22"/>
        </w:rPr>
        <w:t>是否存在同义候选；</w:t>
      </w:r>
    </w:p>
    <w:p>
      <w:pPr>
        <w:pStyle w:val="ListBullet"/>
      </w:pPr>
      <w:r>
        <w:rPr>
          <w:rFonts w:ascii="Times New Roman" w:hAnsi="Times New Roman" w:eastAsia="Noto Serif CJK SC"/>
          <w:sz w:val="22"/>
        </w:rPr>
        <w:t>是否属于近似匹配或语义借用；</w:t>
      </w:r>
    </w:p>
    <w:p>
      <w:pPr>
        <w:pStyle w:val="ListBullet"/>
      </w:pPr>
      <w:r>
        <w:rPr>
          <w:rFonts w:ascii="Times New Roman" w:hAnsi="Times New Roman" w:eastAsia="Noto Serif CJK SC"/>
          <w:sz w:val="22"/>
        </w:rPr>
        <w:t>图形可能被观众误读成什么。</w:t>
      </w:r>
    </w:p>
    <w:p>
      <w:pPr>
        <w:pStyle w:val="BodyText"/>
      </w:pPr>
      <w:r>
        <w:rPr>
          <w:rFonts w:ascii="Times New Roman" w:hAnsi="Times New Roman" w:eastAsia="Noto Serif CJK SC"/>
          <w:sz w:val="22"/>
        </w:rPr>
        <w:t>不可译片段不会被悄悄删除，而是被保留为“不可译空位”，成为图形语言表达边界的一部分。</w:t>
      </w:r>
    </w:p>
    <w:p>
      <w:pPr>
        <w:pStyle w:val="Heading2"/>
        <w:keepNext/>
      </w:pPr>
      <w:r>
        <w:rPr>
          <w:rFonts w:ascii="Arial" w:hAnsi="Arial" w:eastAsia="Noto Sans CJK SC"/>
          <w:b/>
          <w:color w:val="1F3864"/>
          <w:sz w:val="28"/>
        </w:rPr>
        <w:t>2.3 三种AI角色协作</w:t>
      </w:r>
    </w:p>
    <w:p>
      <w:pPr>
        <w:pStyle w:val="BodyText"/>
      </w:pPr>
      <w:r>
        <w:rPr>
          <w:rFonts w:ascii="Times New Roman" w:hAnsi="Times New Roman" w:eastAsia="Noto Serif CJK SC"/>
          <w:sz w:val="22"/>
        </w:rPr>
        <w:t>本作品中的大模型不只负责聊天或直接生成最终结果，而是被分为三个相互独立的工作角色：</w:t>
      </w:r>
    </w:p>
    <w:p>
      <w:pPr>
        <w:pStyle w:val="ListBullet"/>
      </w:pPr>
      <w:r>
        <w:rPr>
          <w:rFonts w:ascii="Times New Roman" w:hAnsi="Times New Roman" w:eastAsia="Noto Serif CJK SC"/>
          <w:sz w:val="22"/>
        </w:rPr>
        <w:t>AI补译器：在限定候选概念中，为不可译片段选择近似图形；</w:t>
      </w:r>
    </w:p>
    <w:p>
      <w:pPr>
        <w:pStyle w:val="ListBullet"/>
      </w:pPr>
      <w:r>
        <w:rPr>
          <w:rFonts w:ascii="Times New Roman" w:hAnsi="Times New Roman" w:eastAsia="Noto Serif CJK SC"/>
          <w:sz w:val="22"/>
        </w:rPr>
        <w:t>AI视觉审稿人：直接查看图形图片，评价图片与目标意义的适配度；</w:t>
      </w:r>
    </w:p>
    <w:p>
      <w:pPr>
        <w:pStyle w:val="ListBullet"/>
      </w:pPr>
      <w:r>
        <w:rPr>
          <w:rFonts w:ascii="Times New Roman" w:hAnsi="Times New Roman" w:eastAsia="Noto Serif CJK SC"/>
          <w:sz w:val="22"/>
        </w:rPr>
        <w:t>AI观众模拟器：隐藏原句，仅根据图形信息猜测作品含义。</w:t>
      </w:r>
    </w:p>
    <w:p>
      <w:pPr>
        <w:pStyle w:val="BodyText"/>
      </w:pPr>
      <w:r>
        <w:rPr>
          <w:rFonts w:ascii="Times New Roman" w:hAnsi="Times New Roman" w:eastAsia="Noto Serif CJK SC"/>
          <w:sz w:val="22"/>
        </w:rPr>
        <w:t>三种角色形成“创作者—翻译模型—视觉审稿模型—模拟观众”的评价链。</w:t>
      </w:r>
    </w:p>
    <w:p>
      <w:pPr>
        <w:pStyle w:val="Heading2"/>
        <w:keepNext/>
      </w:pPr>
      <w:r>
        <w:rPr>
          <w:rFonts w:ascii="Arial" w:hAnsi="Arial" w:eastAsia="Noto Sans CJK SC"/>
          <w:b/>
          <w:color w:val="1F3864"/>
          <w:sz w:val="28"/>
        </w:rPr>
        <w:t>2.4 离线优先与人机协同</w:t>
      </w:r>
    </w:p>
    <w:p>
      <w:pPr>
        <w:pStyle w:val="BodyText"/>
      </w:pPr>
      <w:r>
        <w:rPr>
          <w:rFonts w:ascii="Times New Roman" w:hAnsi="Times New Roman" w:eastAsia="Noto Serif CJK SC"/>
          <w:sz w:val="22"/>
        </w:rPr>
        <w:t>基础翻译、概念检索、回译、语义地图和作品画布均可在浏览器中离线运行。只有AI补译、视觉审稿和观众模拟需要调用外部模型。AI生成的建议不会自动覆盖结果，而是先显示给用户，由用户选择采纳或忽略，避免模型直接修改作品含义。</w:t>
      </w:r>
    </w:p>
    <w:p>
      <w:pPr>
        <w:pStyle w:val="Heading1"/>
        <w:keepNext/>
      </w:pPr>
      <w:r>
        <w:rPr>
          <w:rFonts w:ascii="Arial" w:hAnsi="Arial" w:eastAsia="Noto Sans CJK SC"/>
          <w:b/>
          <w:color w:val="1F3864"/>
          <w:sz w:val="32"/>
        </w:rPr>
        <w:t>3. 系统总体架构</w:t>
      </w:r>
    </w:p>
    <w:p>
      <w:pPr>
        <w:pStyle w:val="CodeBlock"/>
        <w:ind w:firstLine="0"/>
      </w:pPr>
      <w:r>
        <w:rPr>
          <w:rFonts w:ascii="DejaVu Sans Mono" w:hAnsi="DejaVu Sans Mono" w:eastAsia="Noto Sans Mono CJK SC"/>
          <w:sz w:val="18"/>
        </w:rPr>
        <w:t>《地书》原始图形素材</w:t>
        <w:br/>
        <w:t>《地书》人工标注数据</w:t>
        <w:br/>
        <w:t>《地书》白话版文本标注数据</w:t>
        <w:br/>
        <w:t>数据标注规范</w:t>
        <w:br/>
        <w:t xml:space="preserve">          │</w:t>
        <w:br/>
        <w:t xml:space="preserve">          ▼</w:t>
        <w:br/>
        <w:t>scripts/build_translator_data.py</w:t>
        <w:br/>
        <w:t xml:space="preserve">          │</w:t>
        <w:br/>
        <w:t xml:space="preserve">          ├─ 统一数据格式</w:t>
        <w:br/>
        <w:t xml:space="preserve">          ├─ 建立图形目标与标注关联</w:t>
        <w:br/>
        <w:t xml:space="preserve">          ├─ 抽取候选概念、同义词和语义标签</w:t>
        <w:br/>
        <w:t xml:space="preserve">          ├─ 计算图形候选得分与置信度</w:t>
        <w:br/>
        <w:t xml:space="preserve">          ├─ 生成260个作品概念</w:t>
        <w:br/>
        <w:t xml:space="preserve">          ├─ 生成精选示例与LLM处理批次</w:t>
        <w:br/>
        <w:t xml:space="preserve">          ▼</w:t>
        <w:br/>
        <w:t>data/translator/</w:t>
        <w:br/>
        <w:t xml:space="preserve">          ├─ concept_index.js/json</w:t>
        <w:br/>
        <w:t xml:space="preserve">          ├─ examples.js/json</w:t>
        <w:br/>
        <w:t xml:space="preserve">          ├─ normalized_dishu_annotations.jsonl</w:t>
        <w:br/>
        <w:t xml:space="preserve">          ├─ normalized_text_annotations.jsonl</w:t>
        <w:br/>
        <w:t xml:space="preserve">          └─ llm_batches/</w:t>
        <w:br/>
        <w:t xml:space="preserve">          │</w:t>
        <w:br/>
        <w:t xml:space="preserve">          ▼</w:t>
        <w:br/>
        <w:t>前端交互层：index.html + app.js + styles.css</w:t>
        <w:br/>
        <w:t xml:space="preserve">          │</w:t>
        <w:br/>
        <w:t xml:space="preserve">          ├─ 本地最长匹配翻译</w:t>
        <w:br/>
        <w:t xml:space="preserve">          ├─ 字面/语境/AI辅助版本</w:t>
        <w:br/>
        <w:t xml:space="preserve">          ├─ 图形动画与作品画布</w:t>
        <w:br/>
        <w:t xml:space="preserve">          ├─ 双向回译与语义漂移</w:t>
        <w:br/>
        <w:t xml:space="preserve">          ├─ 概念检索与语义地图</w:t>
        <w:br/>
        <w:t xml:space="preserve">          └─ 本地历史与用户别名</w:t>
        <w:br/>
        <w:t xml:space="preserve">          │</w:t>
        <w:br/>
        <w:t xml:space="preserve">          ▼</w:t>
        <w:br/>
        <w:t>本地服务层：server.js</w:t>
        <w:br/>
        <w:t xml:space="preserve">          ├─ /api/ai-gap-fill</w:t>
        <w:br/>
        <w:t xml:space="preserve">          ├─ /api/ai-image-review</w:t>
        <w:br/>
        <w:t xml:space="preserve">          └─ /api/ai-audience-sim</w:t>
        <w:br/>
        <w:t xml:space="preserve">          │</w:t>
        <w:br/>
        <w:t xml:space="preserve">          ▼</w:t>
        <w:br/>
        <w:t>DeepSeek或其他OpenAI兼容模型 / Qwen-VL / Qwen文本模型</w:t>
      </w:r>
    </w:p>
    <w:p>
      <w:pPr>
        <w:pStyle w:val="BodyText"/>
      </w:pPr>
      <w:r>
        <w:rPr>
          <w:rFonts w:ascii="Times New Roman" w:hAnsi="Times New Roman" w:eastAsia="Noto Serif CJK SC"/>
          <w:sz w:val="22"/>
        </w:rPr>
        <w:t>系统采用“离线数据生成 + 纯前端交互 + 可选本地AI代理”的结构。静态页面无需安装前端框架，降低了课堂展示时的运行依赖；本地Node.js服务只在需要访问模型接口时启动。</w:t>
      </w:r>
    </w:p>
    <w:p>
      <w:pPr>
        <w:pStyle w:val="Heading1"/>
        <w:keepNext/>
      </w:pPr>
      <w:r>
        <w:rPr>
          <w:rFonts w:ascii="Arial" w:hAnsi="Arial" w:eastAsia="Noto Sans CJK SC"/>
          <w:b/>
          <w:color w:val="1F3864"/>
          <w:sz w:val="32"/>
        </w:rPr>
        <w:t>4. 数据来源与数据处理</w:t>
      </w:r>
    </w:p>
    <w:p>
      <w:pPr>
        <w:pStyle w:val="Heading2"/>
        <w:keepNext/>
      </w:pPr>
      <w:r>
        <w:rPr>
          <w:rFonts w:ascii="Arial" w:hAnsi="Arial" w:eastAsia="Noto Sans CJK SC"/>
          <w:b/>
          <w:color w:val="1F3864"/>
          <w:sz w:val="28"/>
        </w:rPr>
        <w:t>4.1 数据来源</w:t>
      </w:r>
    </w:p>
    <w:p>
      <w:pPr>
        <w:pStyle w:val="BodyText"/>
      </w:pPr>
      <w:r>
        <w:rPr>
          <w:rFonts w:ascii="Times New Roman" w:hAnsi="Times New Roman" w:eastAsia="Noto Serif CJK SC"/>
          <w:sz w:val="22"/>
        </w:rPr>
        <w:t>项目使用了以下课程数据：</w:t>
      </w:r>
    </w:p>
    <w:p>
      <w:pPr>
        <w:pStyle w:val="ListNumber"/>
      </w:pPr>
      <w:r>
        <w:rPr>
          <w:rFonts w:ascii="Times New Roman" w:hAnsi="Times New Roman" w:eastAsia="Noto Serif CJK SC"/>
          <w:sz w:val="22"/>
        </w:rPr>
        <w:t>`地书标注系统 V1.0/images/auto_cut_segments/`中的《地书》切分图形；</w:t>
      </w:r>
    </w:p>
    <w:p>
      <w:pPr>
        <w:pStyle w:val="ListNumber"/>
      </w:pPr>
      <w:r>
        <w:rPr>
          <w:rFonts w:ascii="Times New Roman" w:hAnsi="Times New Roman" w:eastAsia="Noto Serif CJK SC"/>
          <w:sz w:val="22"/>
        </w:rPr>
        <w:t>`《地书》标注数据/`中的图形及图形组人工标注；</w:t>
      </w:r>
    </w:p>
    <w:p>
      <w:pPr>
        <w:pStyle w:val="ListNumber"/>
      </w:pPr>
      <w:r>
        <w:rPr>
          <w:rFonts w:ascii="Times New Roman" w:hAnsi="Times New Roman" w:eastAsia="Noto Serif CJK SC"/>
          <w:sz w:val="22"/>
        </w:rPr>
        <w:t>`《地书》白话版标注数据/`中的自然语言词与句子标注；</w:t>
      </w:r>
    </w:p>
    <w:p>
      <w:pPr>
        <w:pStyle w:val="ListNumber"/>
      </w:pPr>
      <w:r>
        <w:rPr>
          <w:rFonts w:ascii="Times New Roman" w:hAnsi="Times New Roman" w:eastAsia="Noto Serif CJK SC"/>
          <w:sz w:val="22"/>
        </w:rPr>
        <w:t>`数据标注规范.md`中定义的标注任务和字段规则。</w:t>
      </w:r>
    </w:p>
    <w:p>
      <w:pPr>
        <w:pStyle w:val="BodyText"/>
      </w:pPr>
      <w:r>
        <w:rPr>
          <w:rFonts w:ascii="Times New Roman" w:hAnsi="Times New Roman" w:eastAsia="Noto Serif CJK SC"/>
          <w:sz w:val="22"/>
        </w:rPr>
        <w:t>主要使用的标注任务包括：</w:t>
      </w:r>
    </w:p>
    <w:p>
      <w:pPr>
        <w:pStyle w:val="ListBullet"/>
      </w:pPr>
      <w:r>
        <w:rPr>
          <w:rFonts w:ascii="Times New Roman" w:hAnsi="Times New Roman" w:eastAsia="Noto Serif CJK SC"/>
          <w:sz w:val="22"/>
        </w:rPr>
        <w:t>`literal_gloss`：字面释义；</w:t>
      </w:r>
    </w:p>
    <w:p>
      <w:pPr>
        <w:pStyle w:val="ListBullet"/>
      </w:pPr>
      <w:r>
        <w:rPr>
          <w:rFonts w:ascii="Times New Roman" w:hAnsi="Times New Roman" w:eastAsia="Noto Serif CJK SC"/>
          <w:sz w:val="22"/>
        </w:rPr>
        <w:t>`pragmatic_meaning`：语境实际含义；</w:t>
      </w:r>
    </w:p>
    <w:p>
      <w:pPr>
        <w:pStyle w:val="ListBullet"/>
      </w:pPr>
      <w:r>
        <w:rPr>
          <w:rFonts w:ascii="Times New Roman" w:hAnsi="Times New Roman" w:eastAsia="Noto Serif CJK SC"/>
          <w:sz w:val="22"/>
        </w:rPr>
        <w:t>`free_translation`：自由翻译；</w:t>
      </w:r>
    </w:p>
    <w:p>
      <w:pPr>
        <w:pStyle w:val="ListBullet"/>
      </w:pPr>
      <w:r>
        <w:rPr>
          <w:rFonts w:ascii="Times New Roman" w:hAnsi="Times New Roman" w:eastAsia="Noto Serif CJK SC"/>
          <w:sz w:val="22"/>
        </w:rPr>
        <w:t>`event_description`：事件描述；</w:t>
      </w:r>
    </w:p>
    <w:p>
      <w:pPr>
        <w:pStyle w:val="ListBullet"/>
      </w:pPr>
      <w:r>
        <w:rPr>
          <w:rFonts w:ascii="Times New Roman" w:hAnsi="Times New Roman" w:eastAsia="Noto Serif CJK SC"/>
          <w:sz w:val="22"/>
        </w:rPr>
        <w:t>`semantic_primitives`：语义基元；</w:t>
      </w:r>
    </w:p>
    <w:p>
      <w:pPr>
        <w:pStyle w:val="ListBullet"/>
      </w:pPr>
      <w:r>
        <w:rPr>
          <w:rFonts w:ascii="Times New Roman" w:hAnsi="Times New Roman" w:eastAsia="Noto Serif CJK SC"/>
          <w:sz w:val="22"/>
        </w:rPr>
        <w:t>`pos_like_category`：类词性类别；</w:t>
      </w:r>
    </w:p>
    <w:p>
      <w:pPr>
        <w:pStyle w:val="ListBullet"/>
      </w:pPr>
      <w:r>
        <w:rPr>
          <w:rFonts w:ascii="Times New Roman" w:hAnsi="Times New Roman" w:eastAsia="Noto Serif CJK SC"/>
          <w:sz w:val="22"/>
        </w:rPr>
        <w:t>`morphological_features`：形态特征。</w:t>
      </w:r>
    </w:p>
    <w:p>
      <w:pPr>
        <w:pStyle w:val="Heading2"/>
        <w:keepNext/>
      </w:pPr>
      <w:r>
        <w:rPr>
          <w:rFonts w:ascii="Arial" w:hAnsi="Arial" w:eastAsia="Noto Sans CJK SC"/>
          <w:b/>
          <w:color w:val="1F3864"/>
          <w:sz w:val="28"/>
        </w:rPr>
        <w:t>4.2 数据规范化</w:t>
      </w:r>
    </w:p>
    <w:p>
      <w:pPr>
        <w:pStyle w:val="BodyText"/>
      </w:pPr>
      <w:r>
        <w:rPr>
          <w:rFonts w:ascii="Times New Roman" w:hAnsi="Times New Roman" w:eastAsia="Noto Serif CJK SC"/>
          <w:sz w:val="22"/>
        </w:rPr>
        <w:t>数据构建脚本`build_translator_data.py`分别读取图形标注和白话文本标注，并统一转换为包含以下核心字段的行式数据：</w:t>
      </w:r>
    </w:p>
    <w:p>
      <w:pPr>
        <w:pStyle w:val="CodeBlock"/>
        <w:ind w:firstLine="0"/>
      </w:pPr>
      <w:r>
        <w:rPr>
          <w:rFonts w:ascii="DejaVu Sans Mono" w:hAnsi="DejaVu Sans Mono" w:eastAsia="Noto Sans Mono CJK SC"/>
          <w:sz w:val="18"/>
        </w:rPr>
        <w:t>source</w:t>
        <w:br/>
        <w:t>source_file</w:t>
        <w:br/>
        <w:t>target_id</w:t>
        <w:br/>
        <w:t>target_type</w:t>
        <w:br/>
        <w:t>task_id</w:t>
        <w:br/>
        <w:t>value</w:t>
        <w:br/>
        <w:t>value_text</w:t>
      </w:r>
    </w:p>
    <w:p>
      <w:pPr>
        <w:pStyle w:val="BodyText"/>
      </w:pPr>
      <w:r>
        <w:rPr>
          <w:rFonts w:ascii="Times New Roman" w:hAnsi="Times New Roman" w:eastAsia="Noto Serif CJK SC"/>
          <w:sz w:val="22"/>
        </w:rPr>
        <w:t>脚本兼容两种标注导出格式：一种直接使用`task_id + value`，另一种将任务名称作为对象字段。图形目标根据`target_id`区分单个图形和图形组，并通过`segments_manifest.js`恢复对应图片路径、全局序号、页码和图形范围。</w:t>
      </w:r>
    </w:p>
    <w:p>
      <w:pPr>
        <w:pStyle w:val="Heading2"/>
        <w:keepNext/>
      </w:pPr>
      <w:r>
        <w:rPr>
          <w:rFonts w:ascii="Arial" w:hAnsi="Arial" w:eastAsia="Noto Sans CJK SC"/>
          <w:b/>
          <w:color w:val="1F3864"/>
          <w:sz w:val="28"/>
        </w:rPr>
        <w:t>4.3 概念抽取与噪声过滤</w:t>
      </w:r>
    </w:p>
    <w:p>
      <w:pPr>
        <w:pStyle w:val="BodyText"/>
      </w:pPr>
      <w:r>
        <w:rPr>
          <w:rFonts w:ascii="Times New Roman" w:hAnsi="Times New Roman" w:eastAsia="Noto Serif CJK SC"/>
          <w:sz w:val="22"/>
        </w:rPr>
        <w:t>系统从字面释义、语境意义、自由翻译和事件描述中抽取中文概念词，同时过滤“图形”“语境”“含义”“标注”等不适合作为翻译概念的高频说明词。过长文本会被切分为可阅读片段，大多数无意义单字和纯数字词也会被排除。</w:t>
      </w:r>
    </w:p>
    <w:p>
      <w:pPr>
        <w:pStyle w:val="BodyText"/>
      </w:pPr>
      <w:r>
        <w:rPr>
          <w:rFonts w:ascii="Times New Roman" w:hAnsi="Times New Roman" w:eastAsia="Noto Serif CJK SC"/>
          <w:sz w:val="22"/>
        </w:rPr>
        <w:t>词性、形态和语义基元不直接作为翻译词，而是作为概念的语义标签保留。这样既避免把“动作”“名词”等类别误当成输出词，又能用于后续语义分类和解释。</w:t>
      </w:r>
    </w:p>
    <w:p>
      <w:pPr>
        <w:pStyle w:val="Heading2"/>
        <w:keepNext/>
      </w:pPr>
      <w:r>
        <w:rPr>
          <w:rFonts w:ascii="Arial" w:hAnsi="Arial" w:eastAsia="Noto Sans CJK SC"/>
          <w:b/>
          <w:color w:val="1F3864"/>
          <w:sz w:val="28"/>
        </w:rPr>
        <w:t>4.4 图形候选评分</w:t>
      </w:r>
    </w:p>
    <w:p>
      <w:pPr>
        <w:pStyle w:val="BodyText"/>
      </w:pPr>
      <w:r>
        <w:rPr>
          <w:rFonts w:ascii="Times New Roman" w:hAnsi="Times New Roman" w:eastAsia="Noto Serif CJK SC"/>
          <w:sz w:val="22"/>
        </w:rPr>
        <w:t>同一个自然语言概念可能对应多个图形或图形组。系统会为每个候选目标计算启发式分数，评分因素包括：</w:t>
      </w:r>
    </w:p>
    <w:p>
      <w:pPr>
        <w:pStyle w:val="ListBullet"/>
      </w:pPr>
      <w:r>
        <w:rPr>
          <w:rFonts w:ascii="Times New Roman" w:hAnsi="Times New Roman" w:eastAsia="Noto Serif CJK SC"/>
          <w:sz w:val="22"/>
        </w:rPr>
        <w:t>标注文本中是否直接出现目标概念；</w:t>
      </w:r>
    </w:p>
    <w:p>
      <w:pPr>
        <w:pStyle w:val="ListBullet"/>
      </w:pPr>
      <w:r>
        <w:rPr>
          <w:rFonts w:ascii="Times New Roman" w:hAnsi="Times New Roman" w:eastAsia="Noto Serif CJK SC"/>
          <w:sz w:val="22"/>
        </w:rPr>
        <w:t>目标是图形组还是单个图形；</w:t>
      </w:r>
    </w:p>
    <w:p>
      <w:pPr>
        <w:pStyle w:val="ListBullet"/>
      </w:pPr>
      <w:r>
        <w:rPr>
          <w:rFonts w:ascii="Times New Roman" w:hAnsi="Times New Roman" w:eastAsia="Noto Serif CJK SC"/>
          <w:sz w:val="22"/>
        </w:rPr>
        <w:t>图形组长度是否处于易展示的范围；</w:t>
      </w:r>
    </w:p>
    <w:p>
      <w:pPr>
        <w:pStyle w:val="ListBullet"/>
      </w:pPr>
      <w:r>
        <w:rPr>
          <w:rFonts w:ascii="Times New Roman" w:hAnsi="Times New Roman" w:eastAsia="Noto Serif CJK SC"/>
          <w:sz w:val="22"/>
        </w:rPr>
        <w:t>是否具有字面释义、语境意义、自由翻译和事件描述；</w:t>
      </w:r>
    </w:p>
    <w:p>
      <w:pPr>
        <w:pStyle w:val="ListBullet"/>
      </w:pPr>
      <w:r>
        <w:rPr>
          <w:rFonts w:ascii="Times New Roman" w:hAnsi="Times New Roman" w:eastAsia="Noto Serif CJK SC"/>
          <w:sz w:val="22"/>
        </w:rPr>
        <w:t>同一概念拥有多少个不同图形候选。</w:t>
      </w:r>
    </w:p>
    <w:p>
      <w:pPr>
        <w:pStyle w:val="CodeBlock"/>
        <w:ind w:firstLine="0"/>
      </w:pPr>
      <w:r>
        <w:rPr>
          <w:rFonts w:ascii="DejaVu Sans Mono" w:hAnsi="DejaVu Sans Mono" w:eastAsia="Noto Sans Mono CJK SC"/>
          <w:sz w:val="18"/>
        </w:rPr>
        <w:t>目标得分 = 概念直接命中 + 图形组奖励 + 合理长度奖励 + 标注完整度奖励</w:t>
        <w:br/>
        <w:t>概念得分 = 最佳目标得分 + 候选数量奖励 + 标签长度微调</w:t>
        <w:br/>
        <w:t>概念置信度 = 0.55 + 候选数量项 + 概念得分项，上限为0.96</w:t>
      </w:r>
    </w:p>
    <w:p>
      <w:pPr>
        <w:pStyle w:val="BodyText"/>
      </w:pPr>
      <w:r>
        <w:rPr>
          <w:rFonts w:ascii="Times New Roman" w:hAnsi="Times New Roman" w:eastAsia="Noto Serif CJK SC"/>
          <w:sz w:val="22"/>
        </w:rPr>
        <w:t>最终每个概念保存一个主要图形候选和最多四个备选候选，并记录同义词、语义标签、自然语言上下文、解释文本和可能误读。</w:t>
      </w:r>
    </w:p>
    <w:p>
      <w:pPr>
        <w:pStyle w:val="Heading2"/>
        <w:keepNext/>
      </w:pPr>
      <w:r>
        <w:rPr>
          <w:rFonts w:ascii="Arial" w:hAnsi="Arial" w:eastAsia="Noto Sans CJK SC"/>
          <w:b/>
          <w:color w:val="1F3864"/>
          <w:sz w:val="28"/>
        </w:rPr>
        <w:t>4.5 当前数据规模</w:t>
      </w:r>
    </w:p>
    <w:tbl>
      <w:tblPr>
        <w:tblStyle w:val="TableGrid"/>
        <w:tblW w:type="auto" w:w="0"/>
        <w:jc w:val="center"/>
        <w:tblLook w:firstColumn="1" w:firstRow="1" w:lastColumn="0" w:lastRow="0" w:noHBand="0" w:noVBand="1" w:val="04A0"/>
      </w:tblPr>
      <w:tblGrid>
        <w:gridCol w:w="4479"/>
        <w:gridCol w:w="4479"/>
      </w:tblGrid>
      <w:tr>
        <w:tc>
          <w:tcPr>
            <w:tcW w:type="dxa" w:w="5953"/>
            <w:vAlign w:val="center"/>
            <w:shd w:fill="DCE6F1"/>
            <w:tcMar>
              <w:top w:w="90" w:type="dxa"/>
              <w:start w:w="100" w:type="dxa"/>
              <w:bottom w:w="90" w:type="dxa"/>
              <w:end w:w="100" w:type="dxa"/>
            </w:tcMar>
          </w:tcPr>
          <w:p>
            <w:pPr>
              <w:jc w:val="center"/>
            </w:pPr>
            <w:r>
              <w:rPr>
                <w:rFonts w:ascii="Times New Roman" w:hAnsi="Times New Roman" w:eastAsia="Noto Sans CJK SC"/>
                <w:b/>
                <w:sz w:val="21"/>
              </w:rPr>
              <w:t>数据项</w:t>
            </w:r>
          </w:p>
        </w:tc>
        <w:tc>
          <w:tcPr>
            <w:tcW w:type="dxa" w:w="2268"/>
            <w:vAlign w:val="center"/>
            <w:shd w:fill="DCE6F1"/>
            <w:tcMar>
              <w:top w:w="90" w:type="dxa"/>
              <w:start w:w="100" w:type="dxa"/>
              <w:bottom w:w="90" w:type="dxa"/>
              <w:end w:w="100" w:type="dxa"/>
            </w:tcMar>
          </w:tcPr>
          <w:p>
            <w:pPr>
              <w:jc w:val="center"/>
            </w:pPr>
            <w:r>
              <w:rPr>
                <w:rFonts w:ascii="Times New Roman" w:hAnsi="Times New Roman" w:eastAsia="Noto Sans CJK SC"/>
                <w:b/>
                <w:sz w:val="21"/>
              </w:rPr>
              <w:t>数量</w:t>
            </w:r>
          </w:p>
        </w:tc>
      </w:tr>
      <w:tr>
        <w:tc>
          <w:tcPr>
            <w:tcW w:type="dxa" w:w="5953"/>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《地书》图形标注行</w:t>
            </w:r>
          </w:p>
        </w:tc>
        <w:tc>
          <w:tcPr>
            <w:tcW w:type="dxa" w:w="2268"/>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46,494</w:t>
            </w:r>
          </w:p>
        </w:tc>
      </w:tr>
      <w:tr>
        <w:tc>
          <w:tcPr>
            <w:tcW w:type="dxa" w:w="5953"/>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图形及图形组目标</w:t>
            </w:r>
          </w:p>
        </w:tc>
        <w:tc>
          <w:tcPr>
            <w:tcW w:type="dxa" w:w="2268"/>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23,883</w:t>
            </w:r>
          </w:p>
        </w:tc>
      </w:tr>
      <w:tr>
        <w:tc>
          <w:tcPr>
            <w:tcW w:type="dxa" w:w="5953"/>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白话文本标注行</w:t>
            </w:r>
          </w:p>
        </w:tc>
        <w:tc>
          <w:tcPr>
            <w:tcW w:type="dxa" w:w="2268"/>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31,181</w:t>
            </w:r>
          </w:p>
        </w:tc>
      </w:tr>
      <w:tr>
        <w:tc>
          <w:tcPr>
            <w:tcW w:type="dxa" w:w="5953"/>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初始候选概念</w:t>
            </w:r>
          </w:p>
        </w:tc>
        <w:tc>
          <w:tcPr>
            <w:tcW w:type="dxa" w:w="2268"/>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13,522</w:t>
            </w:r>
          </w:p>
        </w:tc>
      </w:tr>
      <w:tr>
        <w:tc>
          <w:tcPr>
            <w:tcW w:type="dxa" w:w="5953"/>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作品概念索引</w:t>
            </w:r>
          </w:p>
        </w:tc>
        <w:tc>
          <w:tcPr>
            <w:tcW w:type="dxa" w:w="2268"/>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260</w:t>
            </w:r>
          </w:p>
        </w:tc>
      </w:tr>
      <w:tr>
        <w:tc>
          <w:tcPr>
            <w:tcW w:type="dxa" w:w="5953"/>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精选演示句</w:t>
            </w:r>
          </w:p>
        </w:tc>
        <w:tc>
          <w:tcPr>
            <w:tcW w:type="dxa" w:w="2268"/>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10</w:t>
            </w:r>
          </w:p>
        </w:tc>
      </w:tr>
      <w:tr>
        <w:tc>
          <w:tcPr>
            <w:tcW w:type="dxa" w:w="5953"/>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LLM概念处理批次</w:t>
            </w:r>
          </w:p>
        </w:tc>
        <w:tc>
          <w:tcPr>
            <w:tcW w:type="dxa" w:w="2268"/>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18</w:t>
            </w:r>
          </w:p>
        </w:tc>
      </w:tr>
      <w:tr>
        <w:tc>
          <w:tcPr>
            <w:tcW w:type="dxa" w:w="5953"/>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被作品引用的图像路径</w:t>
            </w:r>
          </w:p>
        </w:tc>
        <w:tc>
          <w:tcPr>
            <w:tcW w:type="dxa" w:w="2268"/>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1,867</w:t>
            </w:r>
          </w:p>
        </w:tc>
      </w:tr>
      <w:tr>
        <w:tc>
          <w:tcPr>
            <w:tcW w:type="dxa" w:w="5953"/>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缺失图像路径</w:t>
            </w:r>
          </w:p>
        </w:tc>
        <w:tc>
          <w:tcPr>
            <w:tcW w:type="dxa" w:w="2268"/>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0</w:t>
            </w:r>
          </w:p>
        </w:tc>
      </w:tr>
    </w:tbl>
    <w:p/>
    <w:p>
      <w:pPr>
        <w:pStyle w:val="BodyText"/>
      </w:pPr>
      <w:r>
        <w:rPr>
          <w:rFonts w:ascii="Times New Roman" w:hAnsi="Times New Roman" w:eastAsia="Noto Serif CJK SC"/>
          <w:sz w:val="22"/>
        </w:rPr>
        <w:t>概念索引被同时输出为JSON文件和浏览器可直接加载的JavaScript变量，因此页面既可由本地服务运行，也可直接双击HTML进行基础离线展示。</w:t>
      </w:r>
    </w:p>
    <w:p>
      <w:pPr>
        <w:pStyle w:val="Heading1"/>
        <w:keepNext/>
      </w:pPr>
      <w:r>
        <w:rPr>
          <w:rFonts w:ascii="Arial" w:hAnsi="Arial" w:eastAsia="Noto Sans CJK SC"/>
          <w:b/>
          <w:color w:val="1F3864"/>
          <w:sz w:val="32"/>
        </w:rPr>
        <w:t>5. 核心翻译算法</w:t>
      </w:r>
    </w:p>
    <w:p>
      <w:pPr>
        <w:pStyle w:val="Heading2"/>
        <w:keepNext/>
      </w:pPr>
      <w:r>
        <w:rPr>
          <w:rFonts w:ascii="Arial" w:hAnsi="Arial" w:eastAsia="Noto Sans CJK SC"/>
          <w:b/>
          <w:color w:val="1F3864"/>
          <w:sz w:val="28"/>
        </w:rPr>
        <w:t>5.1 词典构建</w:t>
      </w:r>
    </w:p>
    <w:p>
      <w:pPr>
        <w:pStyle w:val="BodyText"/>
      </w:pPr>
      <w:r>
        <w:rPr>
          <w:rFonts w:ascii="Times New Roman" w:hAnsi="Times New Roman" w:eastAsia="Noto Serif CJK SC"/>
          <w:sz w:val="22"/>
        </w:rPr>
        <w:t>前端加载260个概念后建立本地词典，词典条目分为三类：</w:t>
      </w:r>
    </w:p>
    <w:p>
      <w:pPr>
        <w:pStyle w:val="ListNumber"/>
      </w:pPr>
      <w:r>
        <w:rPr>
          <w:rFonts w:ascii="Times New Roman" w:hAnsi="Times New Roman" w:eastAsia="Noto Serif CJK SC"/>
          <w:sz w:val="22"/>
        </w:rPr>
        <w:t>用户此前采纳的AI别名，优先级最高；</w:t>
      </w:r>
    </w:p>
    <w:p>
      <w:pPr>
        <w:pStyle w:val="ListNumber"/>
      </w:pPr>
      <w:r>
        <w:rPr>
          <w:rFonts w:ascii="Times New Roman" w:hAnsi="Times New Roman" w:eastAsia="Noto Serif CJK SC"/>
          <w:sz w:val="22"/>
        </w:rPr>
        <w:t>概念标签和同义词，作为主要匹配来源；</w:t>
      </w:r>
    </w:p>
    <w:p>
      <w:pPr>
        <w:pStyle w:val="ListNumber"/>
      </w:pPr>
      <w:r>
        <w:rPr>
          <w:rFonts w:ascii="Times New Roman" w:hAnsi="Times New Roman" w:eastAsia="Noto Serif CJK SC"/>
          <w:sz w:val="22"/>
        </w:rPr>
        <w:t>人工设置的后备别名，用于“明天”“上班”“路口”等常见近似表达。</w:t>
      </w:r>
    </w:p>
    <w:p>
      <w:pPr>
        <w:pStyle w:val="BodyText"/>
      </w:pPr>
      <w:r>
        <w:rPr>
          <w:rFonts w:ascii="Times New Roman" w:hAnsi="Times New Roman" w:eastAsia="Noto Serif CJK SC"/>
          <w:sz w:val="22"/>
        </w:rPr>
        <w:t>词典按“词语长度从长到短、同长度时优先级从高到低”排序。因此系统会优先匹配“关掉电视”而不是先匹配“关掉”和“电视”，减少短词对长短语的错误拆分。</w:t>
      </w:r>
    </w:p>
    <w:p>
      <w:pPr>
        <w:pStyle w:val="Heading2"/>
        <w:keepNext/>
      </w:pPr>
      <w:r>
        <w:rPr>
          <w:rFonts w:ascii="Arial" w:hAnsi="Arial" w:eastAsia="Noto Sans CJK SC"/>
          <w:b/>
          <w:color w:val="1F3864"/>
          <w:sz w:val="28"/>
        </w:rPr>
        <w:t>5.2 自左向右最长匹配</w:t>
      </w:r>
    </w:p>
    <w:p>
      <w:pPr>
        <w:pStyle w:val="BodyText"/>
      </w:pPr>
      <w:r>
        <w:rPr>
          <w:rFonts w:ascii="Times New Roman" w:hAnsi="Times New Roman" w:eastAsia="Noto Serif CJK SC"/>
          <w:sz w:val="22"/>
        </w:rPr>
        <w:t>翻译时系统从句首开始扫描：</w:t>
      </w:r>
    </w:p>
    <w:p>
      <w:pPr>
        <w:pStyle w:val="ListNumber"/>
      </w:pPr>
      <w:r>
        <w:rPr>
          <w:rFonts w:ascii="Times New Roman" w:hAnsi="Times New Roman" w:eastAsia="Noto Serif CJK SC"/>
          <w:sz w:val="22"/>
        </w:rPr>
        <w:t>跳过空格、标点和部分结构助词；</w:t>
      </w:r>
    </w:p>
    <w:p>
      <w:pPr>
        <w:pStyle w:val="ListNumber"/>
      </w:pPr>
      <w:r>
        <w:rPr>
          <w:rFonts w:ascii="Times New Roman" w:hAnsi="Times New Roman" w:eastAsia="Noto Serif CJK SC"/>
          <w:sz w:val="22"/>
        </w:rPr>
        <w:t>在当前位置查找能够匹配的最长词典条目；</w:t>
      </w:r>
    </w:p>
    <w:p>
      <w:pPr>
        <w:pStyle w:val="ListNumber"/>
      </w:pPr>
      <w:r>
        <w:rPr>
          <w:rFonts w:ascii="Times New Roman" w:hAnsi="Times New Roman" w:eastAsia="Noto Serif CJK SC"/>
          <w:sz w:val="22"/>
        </w:rPr>
        <w:t>找到后生成对应图形卡片，并向后移动相应长度；</w:t>
      </w:r>
    </w:p>
    <w:p>
      <w:pPr>
        <w:pStyle w:val="ListNumber"/>
      </w:pPr>
      <w:r>
        <w:rPr>
          <w:rFonts w:ascii="Times New Roman" w:hAnsi="Times New Roman" w:eastAsia="Noto Serif CJK SC"/>
          <w:sz w:val="22"/>
        </w:rPr>
        <w:t>未找到时继续读取连续未知片段，将其合并为一个“不可译空位”；</w:t>
      </w:r>
    </w:p>
    <w:p>
      <w:pPr>
        <w:pStyle w:val="ListNumber"/>
      </w:pPr>
      <w:r>
        <w:rPr>
          <w:rFonts w:ascii="Times New Roman" w:hAnsi="Times New Roman" w:eastAsia="Noto Serif CJK SC"/>
          <w:sz w:val="22"/>
        </w:rPr>
        <w:t>直到处理完整句子。</w:t>
      </w:r>
    </w:p>
    <w:p>
      <w:pPr>
        <w:pStyle w:val="BodyText"/>
      </w:pPr>
      <w:r>
        <w:rPr>
          <w:rFonts w:ascii="Times New Roman" w:hAnsi="Times New Roman" w:eastAsia="Noto Serif CJK SC"/>
          <w:sz w:val="22"/>
        </w:rPr>
        <w:t>该方法实现简单、运行快速、可完全离线，并且便于展示每个输入片段究竟匹配到哪个图形概念。</w:t>
      </w:r>
    </w:p>
    <w:p>
      <w:pPr>
        <w:pStyle w:val="Heading2"/>
        <w:keepNext/>
      </w:pPr>
      <w:r>
        <w:rPr>
          <w:rFonts w:ascii="Arial" w:hAnsi="Arial" w:eastAsia="Noto Sans CJK SC"/>
          <w:b/>
          <w:color w:val="1F3864"/>
          <w:sz w:val="28"/>
        </w:rPr>
        <w:t>5.3 三种翻译版本</w:t>
      </w:r>
    </w:p>
    <w:p>
      <w:pPr>
        <w:pStyle w:val="ListBullet"/>
      </w:pPr>
      <w:r>
        <w:rPr>
          <w:rFonts w:ascii="Times New Roman" w:hAnsi="Times New Roman" w:eastAsia="Noto Serif CJK SC"/>
          <w:sz w:val="22"/>
        </w:rPr>
        <w:t>字面版：使用词典最长匹配得到的主要图形候选；</w:t>
      </w:r>
    </w:p>
    <w:p>
      <w:pPr>
        <w:pStyle w:val="ListBullet"/>
      </w:pPr>
      <w:r>
        <w:rPr>
          <w:rFonts w:ascii="Times New Roman" w:hAnsi="Times New Roman" w:eastAsia="Noto Serif CJK SC"/>
          <w:sz w:val="22"/>
        </w:rPr>
        <w:t>语境版：尝试从同一概念的备选图形中选择具有语境释义、自由翻译或事件描述的候选；</w:t>
      </w:r>
    </w:p>
    <w:p>
      <w:pPr>
        <w:pStyle w:val="ListBullet"/>
      </w:pPr>
      <w:r>
        <w:rPr>
          <w:rFonts w:ascii="Times New Roman" w:hAnsi="Times New Roman" w:eastAsia="Noto Serif CJK SC"/>
          <w:sz w:val="22"/>
        </w:rPr>
        <w:t>AI辅助版：在用户确认AI建议后，用被采纳的概念替换不可译空位。</w:t>
      </w:r>
    </w:p>
    <w:p>
      <w:pPr>
        <w:pStyle w:val="BodyText"/>
      </w:pPr>
      <w:r>
        <w:rPr>
          <w:rFonts w:ascii="Times New Roman" w:hAnsi="Times New Roman" w:eastAsia="Noto Serif CJK SC"/>
          <w:sz w:val="22"/>
        </w:rPr>
        <w:t>用户可以在三个版本之间切换，比较同一句自然语言在不同翻译策略下形成的图形序列。</w:t>
      </w:r>
    </w:p>
    <w:p>
      <w:pPr>
        <w:pStyle w:val="Heading2"/>
        <w:keepNext/>
      </w:pPr>
      <w:r>
        <w:rPr>
          <w:rFonts w:ascii="Arial" w:hAnsi="Arial" w:eastAsia="Noto Sans CJK SC"/>
          <w:b/>
          <w:color w:val="1F3864"/>
          <w:sz w:val="28"/>
        </w:rPr>
        <w:t>5.4 置信度</w:t>
      </w:r>
    </w:p>
    <w:p>
      <w:pPr>
        <w:pStyle w:val="BodyText"/>
      </w:pPr>
      <w:r>
        <w:rPr>
          <w:rFonts w:ascii="Times New Roman" w:hAnsi="Times New Roman" w:eastAsia="Noto Serif CJK SC"/>
          <w:sz w:val="22"/>
        </w:rPr>
        <w:t>每个概念在数据构建阶段拥有一个启发式置信度。整句翻译的置信度取所有成功匹配概念置信度的平均值。该数值不是统计意义上的真实准确率，而是用于提示数据支持强弱：候选来源越丰富、标注越完整、图形组合越合理，显示置信度通常越高。</w:t>
      </w:r>
    </w:p>
    <w:p>
      <w:pPr>
        <w:pStyle w:val="Heading1"/>
        <w:keepNext/>
      </w:pPr>
      <w:r>
        <w:rPr>
          <w:rFonts w:ascii="Arial" w:hAnsi="Arial" w:eastAsia="Noto Sans CJK SC"/>
          <w:b/>
          <w:color w:val="1F3864"/>
          <w:sz w:val="32"/>
        </w:rPr>
        <w:t>6. 双向翻译与语义漂移</w:t>
      </w:r>
    </w:p>
    <w:p>
      <w:pPr>
        <w:pStyle w:val="Heading2"/>
        <w:keepNext/>
      </w:pPr>
      <w:r>
        <w:rPr>
          <w:rFonts w:ascii="Arial" w:hAnsi="Arial" w:eastAsia="Noto Sans CJK SC"/>
          <w:b/>
          <w:color w:val="1F3864"/>
          <w:sz w:val="28"/>
        </w:rPr>
        <w:t>6.1 图形回译</w:t>
      </w:r>
    </w:p>
    <w:p>
      <w:pPr>
        <w:pStyle w:val="BodyText"/>
      </w:pPr>
      <w:r>
        <w:rPr>
          <w:rFonts w:ascii="Times New Roman" w:hAnsi="Times New Roman" w:eastAsia="Noto Serif CJK SC"/>
          <w:sz w:val="22"/>
        </w:rPr>
        <w:t>用户可以把当前图形序列直接加入回译器，也可以通过概念检索手动添加和调整图形顺序。系统生成四种回译结果：</w:t>
      </w:r>
    </w:p>
    <w:p>
      <w:pPr>
        <w:pStyle w:val="ListBullet"/>
      </w:pPr>
      <w:r>
        <w:rPr>
          <w:rFonts w:ascii="Times New Roman" w:hAnsi="Times New Roman" w:eastAsia="Noto Serif CJK SC"/>
          <w:sz w:val="22"/>
        </w:rPr>
        <w:t>保守读法：逐个读取图形的主要概念；</w:t>
      </w:r>
    </w:p>
    <w:p>
      <w:pPr>
        <w:pStyle w:val="ListBullet"/>
      </w:pPr>
      <w:r>
        <w:rPr>
          <w:rFonts w:ascii="Times New Roman" w:hAnsi="Times New Roman" w:eastAsia="Noto Serif CJK SC"/>
          <w:sz w:val="22"/>
        </w:rPr>
        <w:t>图形概念链：显示图形在索引中真正对应的概念；</w:t>
      </w:r>
    </w:p>
    <w:p>
      <w:pPr>
        <w:pStyle w:val="ListBullet"/>
      </w:pPr>
      <w:r>
        <w:rPr>
          <w:rFonts w:ascii="Times New Roman" w:hAnsi="Times New Roman" w:eastAsia="Noto Serif CJK SC"/>
          <w:sz w:val="22"/>
        </w:rPr>
        <w:t>自然句尝试：将各概念连接为连续自然语言；</w:t>
      </w:r>
    </w:p>
    <w:p>
      <w:pPr>
        <w:pStyle w:val="ListBullet"/>
      </w:pPr>
      <w:r>
        <w:rPr>
          <w:rFonts w:ascii="Times New Roman" w:hAnsi="Times New Roman" w:eastAsia="Noto Serif CJK SC"/>
          <w:sz w:val="22"/>
        </w:rPr>
        <w:t>可能读法：使用同义词生成另一种解释。</w:t>
      </w:r>
    </w:p>
    <w:p>
      <w:pPr>
        <w:pStyle w:val="BodyText"/>
      </w:pPr>
      <w:r>
        <w:rPr>
          <w:rFonts w:ascii="Times New Roman" w:hAnsi="Times New Roman" w:eastAsia="Noto Serif CJK SC"/>
          <w:sz w:val="22"/>
        </w:rPr>
        <w:t>回译器还会根据动作、时间、地点、人物、物品、情绪和关系等类别，生成序列结构诊断，并显示每个位置的置信度和误读风险。</w:t>
      </w:r>
    </w:p>
    <w:p>
      <w:pPr>
        <w:pStyle w:val="Heading2"/>
        <w:keepNext/>
      </w:pPr>
      <w:r>
        <w:rPr>
          <w:rFonts w:ascii="Arial" w:hAnsi="Arial" w:eastAsia="Noto Sans CJK SC"/>
          <w:b/>
          <w:color w:val="1F3864"/>
          <w:sz w:val="28"/>
        </w:rPr>
        <w:t>6.2 语义漂移判定</w:t>
      </w:r>
    </w:p>
    <w:p>
      <w:pPr>
        <w:pStyle w:val="BodyText"/>
      </w:pPr>
      <w:r>
        <w:rPr>
          <w:rFonts w:ascii="Times New Roman" w:hAnsi="Times New Roman" w:eastAsia="Noto Serif CJK SC"/>
          <w:sz w:val="22"/>
        </w:rPr>
        <w:t>当输入片段与实际图形概念一致时，系统视为意义基本保留；当输入词只是概念标签的一部分、来自更长的同义表达，或借用了含义相近但不相同的图形时，系统标记为“近似回读”或“语义借用”；完全无法匹配的内容则标记为“不可译空位”。</w:t>
      </w:r>
    </w:p>
    <w:p>
      <w:pPr>
        <w:pStyle w:val="CodeBlock"/>
        <w:ind w:firstLine="0"/>
      </w:pPr>
      <w:r>
        <w:rPr>
          <w:rFonts w:ascii="DejaVu Sans Mono" w:hAnsi="DejaVu Sans Mono" w:eastAsia="Noto Sans Mono CJK SC"/>
          <w:sz w:val="18"/>
        </w:rPr>
        <w:t>原始自然语言</w:t>
        <w:br/>
        <w:t>→ 输入片段</w:t>
        <w:br/>
        <w:t>→ 图形序列</w:t>
        <w:br/>
        <w:t>→ 图形概念链</w:t>
        <w:br/>
        <w:t>→ 自然语言回译</w:t>
        <w:br/>
        <w:t>→ 语义漂移与误读说明</w:t>
      </w:r>
    </w:p>
    <w:p>
      <w:pPr>
        <w:pStyle w:val="BodyText"/>
      </w:pPr>
      <w:r>
        <w:rPr>
          <w:rFonts w:ascii="Times New Roman" w:hAnsi="Times New Roman" w:eastAsia="Noto Serif CJK SC"/>
          <w:sz w:val="22"/>
        </w:rPr>
        <w:t>这种设计将通常隐藏在算法内部的匹配误差转化为可观看的作品内容。</w:t>
      </w:r>
    </w:p>
    <w:p>
      <w:pPr>
        <w:pStyle w:val="Heading1"/>
        <w:keepNext/>
      </w:pPr>
      <w:r>
        <w:rPr>
          <w:rFonts w:ascii="Arial" w:hAnsi="Arial" w:eastAsia="Noto Sans CJK SC"/>
          <w:b/>
          <w:color w:val="1F3864"/>
          <w:sz w:val="32"/>
        </w:rPr>
        <w:t>7. 大模型技术的使用</w:t>
      </w:r>
    </w:p>
    <w:p>
      <w:pPr>
        <w:pStyle w:val="Heading2"/>
        <w:keepNext/>
      </w:pPr>
      <w:r>
        <w:rPr>
          <w:rFonts w:ascii="Arial" w:hAnsi="Arial" w:eastAsia="Noto Sans CJK SC"/>
          <w:b/>
          <w:color w:val="1F3864"/>
          <w:sz w:val="28"/>
        </w:rPr>
        <w:t>7.1 制作阶段：概念整理批次</w:t>
      </w:r>
    </w:p>
    <w:p>
      <w:pPr>
        <w:pStyle w:val="BodyText"/>
      </w:pPr>
      <w:r>
        <w:rPr>
          <w:rFonts w:ascii="Times New Roman" w:hAnsi="Times New Roman" w:eastAsia="Noto Serif CJK SC"/>
          <w:sz w:val="22"/>
        </w:rPr>
        <w:t>数据脚本会将13,522个候选概念整理成18个LLM批次。批次任务要求模型合并近义概念、选择可读标签、保留较强的图形目标，并生成简洁解释和可能误读。当前网页可直接使用规则构建的260概念索引，这些批次也为后续继续优化概念库预留了接口。</w:t>
      </w:r>
    </w:p>
    <w:p>
      <w:pPr>
        <w:pStyle w:val="Heading2"/>
        <w:keepNext/>
      </w:pPr>
      <w:r>
        <w:rPr>
          <w:rFonts w:ascii="Arial" w:hAnsi="Arial" w:eastAsia="Noto Sans CJK SC"/>
          <w:b/>
          <w:color w:val="1F3864"/>
          <w:sz w:val="28"/>
        </w:rPr>
        <w:t>7.2 运行阶段一：AI补译</w:t>
      </w:r>
    </w:p>
    <w:p>
      <w:pPr>
        <w:pStyle w:val="BodyText"/>
      </w:pPr>
      <w:r>
        <w:rPr>
          <w:rFonts w:ascii="Times New Roman" w:hAnsi="Times New Roman" w:eastAsia="Noto Serif CJK SC"/>
          <w:sz w:val="22"/>
        </w:rPr>
        <w:t>当本地最长匹配产生不可译空位时，系统不会把整个概念库直接发送给模型，而是先根据文字包含关系和字符重合度，为每个空位筛选最多12个候选概念。随后要求模型只能从候选的`concept_id`中选择，不允许凭空创建不存在的图形。</w:t>
      </w:r>
    </w:p>
    <w:p>
      <w:pPr>
        <w:pStyle w:val="BodyText"/>
      </w:pPr>
      <w:r>
        <w:rPr>
          <w:rFonts w:ascii="Times New Roman" w:hAnsi="Times New Roman" w:eastAsia="Noto Serif CJK SC"/>
          <w:sz w:val="22"/>
        </w:rPr>
        <w:t>模型返回格式被限制为：</w:t>
      </w:r>
    </w:p>
    <w:p>
      <w:pPr>
        <w:pStyle w:val="CodeBlock"/>
        <w:ind w:firstLine="0"/>
      </w:pPr>
      <w:r>
        <w:rPr>
          <w:rFonts w:ascii="DejaVu Sans Mono" w:hAnsi="DejaVu Sans Mono" w:eastAsia="Noto Sans Mono CJK SC"/>
          <w:sz w:val="18"/>
        </w:rPr>
        <w:t>{</w:t>
        <w:br/>
        <w:t xml:space="preserve">  "replacements": [</w:t>
        <w:br/>
        <w:t xml:space="preserve">    {</w:t>
        <w:br/>
        <w:t xml:space="preserve">      "gap": "原不可译片段",</w:t>
        <w:br/>
        <w:t xml:space="preserve">      "concept_id": "候选概念ID或null",</w:t>
        <w:br/>
        <w:t xml:space="preserve">      "term": "显示用短词",</w:t>
        <w:br/>
        <w:t xml:space="preserve">      "note": "选择理由"</w:t>
        <w:br/>
        <w:t xml:space="preserve">    }</w:t>
        <w:br/>
        <w:t xml:space="preserve">  ]</w:t>
        <w:br/>
        <w:t>}</w:t>
      </w:r>
    </w:p>
    <w:p>
      <w:pPr>
        <w:pStyle w:val="BodyText"/>
      </w:pPr>
      <w:r>
        <w:rPr>
          <w:rFonts w:ascii="Times New Roman" w:hAnsi="Times New Roman" w:eastAsia="Noto Serif CJK SC"/>
          <w:sz w:val="22"/>
        </w:rPr>
        <w:t>建议返回后先进入待确认状态，用户可以逐项采纳、忽略或一次性采纳全部有效建议。被采纳的对应关系会保存在浏览器`localStorage`中，成为新的用户别名，使同样的表达下次可以直接离线匹配。</w:t>
      </w:r>
    </w:p>
    <w:p>
      <w:pPr>
        <w:pStyle w:val="Heading2"/>
        <w:keepNext/>
      </w:pPr>
      <w:r>
        <w:rPr>
          <w:rFonts w:ascii="Arial" w:hAnsi="Arial" w:eastAsia="Noto Sans CJK SC"/>
          <w:b/>
          <w:color w:val="1F3864"/>
          <w:sz w:val="28"/>
        </w:rPr>
        <w:t>7.3 运行阶段二：AI图像审稿</w:t>
      </w:r>
    </w:p>
    <w:p>
      <w:pPr>
        <w:pStyle w:val="BodyText"/>
      </w:pPr>
      <w:r>
        <w:rPr>
          <w:rFonts w:ascii="Times New Roman" w:hAnsi="Times New Roman" w:eastAsia="Noto Serif CJK SC"/>
          <w:sz w:val="22"/>
        </w:rPr>
        <w:t>视觉审稿功能默认面向Qwen-VL等视觉语言模型。系统最多选择当前序列中的10个项目，每个项目附带最多2张图形图片，同时发送输入词、概念标签、同义词、置信度和已有解释。</w:t>
      </w:r>
    </w:p>
    <w:p>
      <w:pPr>
        <w:pStyle w:val="BodyText"/>
      </w:pPr>
      <w:r>
        <w:rPr>
          <w:rFonts w:ascii="Times New Roman" w:hAnsi="Times New Roman" w:eastAsia="Noto Serif CJK SC"/>
          <w:sz w:val="22"/>
        </w:rPr>
        <w:t>视觉模型需要输出：</w:t>
      </w:r>
    </w:p>
    <w:p>
      <w:pPr>
        <w:pStyle w:val="ListBullet"/>
      </w:pPr>
      <w:r>
        <w:rPr>
          <w:rFonts w:ascii="Times New Roman" w:hAnsi="Times New Roman" w:eastAsia="Noto Serif CJK SC"/>
          <w:sz w:val="22"/>
        </w:rPr>
        <w:t>图形看起来像什么；</w:t>
      </w:r>
    </w:p>
    <w:p>
      <w:pPr>
        <w:pStyle w:val="ListBullet"/>
      </w:pPr>
      <w:r>
        <w:rPr>
          <w:rFonts w:ascii="Times New Roman" w:hAnsi="Times New Roman" w:eastAsia="Noto Serif CJK SC"/>
          <w:sz w:val="22"/>
        </w:rPr>
        <w:t>图形试图表达什么；</w:t>
      </w:r>
    </w:p>
    <w:p>
      <w:pPr>
        <w:pStyle w:val="ListBullet"/>
      </w:pPr>
      <w:r>
        <w:rPr>
          <w:rFonts w:ascii="Times New Roman" w:hAnsi="Times New Roman" w:eastAsia="Noto Serif CJK SC"/>
          <w:sz w:val="22"/>
        </w:rPr>
        <w:t>图片与目标词的适配度；</w:t>
      </w:r>
    </w:p>
    <w:p>
      <w:pPr>
        <w:pStyle w:val="ListBullet"/>
      </w:pPr>
      <w:r>
        <w:rPr>
          <w:rFonts w:ascii="Times New Roman" w:hAnsi="Times New Roman" w:eastAsia="Noto Serif CJK SC"/>
          <w:sz w:val="22"/>
        </w:rPr>
        <w:t>可能的视觉误读；</w:t>
      </w:r>
    </w:p>
    <w:p>
      <w:pPr>
        <w:pStyle w:val="ListBullet"/>
      </w:pPr>
      <w:r>
        <w:rPr>
          <w:rFonts w:ascii="Times New Roman" w:hAnsi="Times New Roman" w:eastAsia="Noto Serif CJK SC"/>
          <w:sz w:val="22"/>
        </w:rPr>
        <w:t>是否应该换图、补图或保留；</w:t>
      </w:r>
    </w:p>
    <w:p>
      <w:pPr>
        <w:pStyle w:val="ListBullet"/>
      </w:pPr>
      <w:r>
        <w:rPr>
          <w:rFonts w:ascii="Times New Roman" w:hAnsi="Times New Roman" w:eastAsia="Noto Serif CJK SC"/>
          <w:sz w:val="22"/>
        </w:rPr>
        <w:t>一句适合展览展示的图形释义。</w:t>
      </w:r>
    </w:p>
    <w:p>
      <w:pPr>
        <w:pStyle w:val="BodyText"/>
      </w:pPr>
      <w:r>
        <w:rPr>
          <w:rFonts w:ascii="Times New Roman" w:hAnsi="Times New Roman" w:eastAsia="Noto Serif CJK SC"/>
          <w:sz w:val="22"/>
        </w:rPr>
        <w:t>审稿结果会重新写入作品展示层，并与本地检测到的语义漂移共同呈现。</w:t>
      </w:r>
    </w:p>
    <w:p>
      <w:pPr>
        <w:pStyle w:val="Heading2"/>
        <w:keepNext/>
      </w:pPr>
      <w:r>
        <w:rPr>
          <w:rFonts w:ascii="Arial" w:hAnsi="Arial" w:eastAsia="Noto Sans CJK SC"/>
          <w:b/>
          <w:color w:val="1F3864"/>
          <w:sz w:val="28"/>
        </w:rPr>
        <w:t>7.4 运行阶段三：AI观众模拟</w:t>
      </w:r>
    </w:p>
    <w:p>
      <w:pPr>
        <w:pStyle w:val="BodyText"/>
      </w:pPr>
      <w:r>
        <w:rPr>
          <w:rFonts w:ascii="Times New Roman" w:hAnsi="Times New Roman" w:eastAsia="Noto Serif CJK SC"/>
          <w:sz w:val="22"/>
        </w:rPr>
        <w:t>观众模拟器会隐藏用户输入的原句，只向模型提供当前图形序列的可见信息，包括概念标签、类别、同义词和可能误读。模型被要求扮演第一次观看作品的普通观众，输出：</w:t>
      </w:r>
    </w:p>
    <w:p>
      <w:pPr>
        <w:pStyle w:val="ListBullet"/>
      </w:pPr>
      <w:r>
        <w:rPr>
          <w:rFonts w:ascii="Times New Roman" w:hAnsi="Times New Roman" w:eastAsia="Noto Serif CJK SC"/>
          <w:sz w:val="22"/>
        </w:rPr>
        <w:t>猜测出的自然语言句子；</w:t>
      </w:r>
    </w:p>
    <w:p>
      <w:pPr>
        <w:pStyle w:val="ListBullet"/>
      </w:pPr>
      <w:r>
        <w:rPr>
          <w:rFonts w:ascii="Times New Roman" w:hAnsi="Times New Roman" w:eastAsia="Noto Serif CJK SC"/>
          <w:sz w:val="22"/>
        </w:rPr>
        <w:t>更保守的逐图形读法；</w:t>
      </w:r>
    </w:p>
    <w:p>
      <w:pPr>
        <w:pStyle w:val="ListBullet"/>
      </w:pPr>
      <w:r>
        <w:rPr>
          <w:rFonts w:ascii="Times New Roman" w:hAnsi="Times New Roman" w:eastAsia="Noto Serif CJK SC"/>
          <w:sz w:val="22"/>
        </w:rPr>
        <w:t>阅读置信度；</w:t>
      </w:r>
    </w:p>
    <w:p>
      <w:pPr>
        <w:pStyle w:val="ListBullet"/>
      </w:pPr>
      <w:r>
        <w:rPr>
          <w:rFonts w:ascii="Times New Roman" w:hAnsi="Times New Roman" w:eastAsia="Noto Serif CJK SC"/>
          <w:sz w:val="22"/>
        </w:rPr>
        <w:t>每个图形的阅读路径；</w:t>
      </w:r>
    </w:p>
    <w:p>
      <w:pPr>
        <w:pStyle w:val="ListBullet"/>
      </w:pPr>
      <w:r>
        <w:rPr>
          <w:rFonts w:ascii="Times New Roman" w:hAnsi="Times New Roman" w:eastAsia="Noto Serif CJK SC"/>
          <w:sz w:val="22"/>
        </w:rPr>
        <w:t>可能发生误读的位置；</w:t>
      </w:r>
    </w:p>
    <w:p>
      <w:pPr>
        <w:pStyle w:val="ListBullet"/>
      </w:pPr>
      <w:r>
        <w:rPr>
          <w:rFonts w:ascii="Times New Roman" w:hAnsi="Times New Roman" w:eastAsia="Noto Serif CJK SC"/>
          <w:sz w:val="22"/>
        </w:rPr>
        <w:t>对整组图形是否可读的判断。</w:t>
      </w:r>
    </w:p>
    <w:p>
      <w:pPr>
        <w:pStyle w:val="BodyText"/>
      </w:pPr>
      <w:r>
        <w:rPr>
          <w:rFonts w:ascii="Times New Roman" w:hAnsi="Times New Roman" w:eastAsia="Noto Serif CJK SC"/>
          <w:sz w:val="22"/>
        </w:rPr>
        <w:t>系统在得到模型结果后，才把AI猜读与原句并列显示。这样可以把“机器知道答案后进行解释”与“真正不知道原句时进行盲读”区分开来。</w:t>
      </w:r>
    </w:p>
    <w:p>
      <w:pPr>
        <w:pStyle w:val="Heading2"/>
        <w:keepNext/>
      </w:pPr>
      <w:r>
        <w:rPr>
          <w:rFonts w:ascii="Arial" w:hAnsi="Arial" w:eastAsia="Noto Sans CJK SC"/>
          <w:b/>
          <w:color w:val="1F3864"/>
          <w:sz w:val="28"/>
        </w:rPr>
        <w:t>7.5 模型调用安全与容错</w:t>
      </w:r>
    </w:p>
    <w:p>
      <w:pPr>
        <w:pStyle w:val="BodyText"/>
      </w:pPr>
      <w:r>
        <w:rPr>
          <w:rFonts w:ascii="Times New Roman" w:hAnsi="Times New Roman" w:eastAsia="Noto Serif CJK SC"/>
          <w:sz w:val="22"/>
        </w:rPr>
        <w:t>本地服务不把API Key写入项目文件或数据文件。密钥仅由当前页面发送给运行在`127.0.0.1`的本地服务，再转发到用户指定的模型接口。服务实现了以下保护与容错：</w:t>
      </w:r>
    </w:p>
    <w:p>
      <w:pPr>
        <w:pStyle w:val="ListBullet"/>
      </w:pPr>
      <w:r>
        <w:rPr>
          <w:rFonts w:ascii="Times New Roman" w:hAnsi="Times New Roman" w:eastAsia="Noto Serif CJK SC"/>
          <w:sz w:val="22"/>
        </w:rPr>
        <w:t>请求体上限为2 MB；</w:t>
      </w:r>
    </w:p>
    <w:p>
      <w:pPr>
        <w:pStyle w:val="ListBullet"/>
      </w:pPr>
      <w:r>
        <w:rPr>
          <w:rFonts w:ascii="Times New Roman" w:hAnsi="Times New Roman" w:eastAsia="Noto Serif CJK SC"/>
          <w:sz w:val="22"/>
        </w:rPr>
        <w:t>检查Endpoint、Model、API Key和Payload是否完整；</w:t>
      </w:r>
    </w:p>
    <w:p>
      <w:pPr>
        <w:pStyle w:val="ListBullet"/>
      </w:pPr>
      <w:r>
        <w:rPr>
          <w:rFonts w:ascii="Times New Roman" w:hAnsi="Times New Roman" w:eastAsia="Noto Serif CJK SC"/>
          <w:sz w:val="22"/>
        </w:rPr>
        <w:t>处理网络失败和上游HTTP错误；</w:t>
      </w:r>
    </w:p>
    <w:p>
      <w:pPr>
        <w:pStyle w:val="ListBullet"/>
      </w:pPr>
      <w:r>
        <w:rPr>
          <w:rFonts w:ascii="Times New Roman" w:hAnsi="Times New Roman" w:eastAsia="Noto Serif CJK SC"/>
          <w:sz w:val="22"/>
        </w:rPr>
        <w:t>尝试从Markdown代码块或混合文本中提取JSON；</w:t>
      </w:r>
    </w:p>
    <w:p>
      <w:pPr>
        <w:pStyle w:val="ListBullet"/>
      </w:pPr>
      <w:r>
        <w:rPr>
          <w:rFonts w:ascii="Times New Roman" w:hAnsi="Times New Roman" w:eastAsia="Noto Serif CJK SC"/>
          <w:sz w:val="22"/>
        </w:rPr>
        <w:t>对多种可能的返回字段进行兼容归一化；</w:t>
      </w:r>
    </w:p>
    <w:p>
      <w:pPr>
        <w:pStyle w:val="ListBullet"/>
      </w:pPr>
      <w:r>
        <w:rPr>
          <w:rFonts w:ascii="Times New Roman" w:hAnsi="Times New Roman" w:eastAsia="Noto Serif CJK SC"/>
          <w:sz w:val="22"/>
        </w:rPr>
        <w:t>模型建议必须经过人工确认才能替换结果。</w:t>
      </w:r>
    </w:p>
    <w:p>
      <w:pPr>
        <w:pStyle w:val="Heading1"/>
        <w:keepNext/>
      </w:pPr>
      <w:r>
        <w:rPr>
          <w:rFonts w:ascii="Arial" w:hAnsi="Arial" w:eastAsia="Noto Sans CJK SC"/>
          <w:b/>
          <w:color w:val="1F3864"/>
          <w:sz w:val="32"/>
        </w:rPr>
        <w:t>8. 前端功能设计</w:t>
      </w:r>
    </w:p>
    <w:p>
      <w:pPr>
        <w:pStyle w:val="Heading2"/>
        <w:keepNext/>
      </w:pPr>
      <w:r>
        <w:rPr>
          <w:rFonts w:ascii="Arial" w:hAnsi="Arial" w:eastAsia="Noto Sans CJK SC"/>
          <w:b/>
          <w:color w:val="1F3864"/>
          <w:sz w:val="28"/>
        </w:rPr>
        <w:t>8.1 自然语言输入与精选示例</w:t>
      </w:r>
    </w:p>
    <w:p>
      <w:pPr>
        <w:pStyle w:val="BodyText"/>
      </w:pPr>
      <w:r>
        <w:rPr>
          <w:rFonts w:ascii="Times New Roman" w:hAnsi="Times New Roman" w:eastAsia="Noto Serif CJK SC"/>
          <w:sz w:val="22"/>
        </w:rPr>
        <w:t>用户可以输入任意中文短句，也可以从10条精选示例中快速选择。系统支持点击按钮和`Ctrl + Enter`两种翻译方式。</w:t>
      </w:r>
    </w:p>
    <w:p>
      <w:pPr>
        <w:pStyle w:val="Heading2"/>
        <w:keepNext/>
      </w:pPr>
      <w:r>
        <w:rPr>
          <w:rFonts w:ascii="Arial" w:hAnsi="Arial" w:eastAsia="Noto Sans CJK SC"/>
          <w:b/>
          <w:color w:val="1F3864"/>
          <w:sz w:val="28"/>
        </w:rPr>
        <w:t>8.2 图形序列与解释层</w:t>
      </w:r>
    </w:p>
    <w:p>
      <w:pPr>
        <w:pStyle w:val="BodyText"/>
      </w:pPr>
      <w:r>
        <w:rPr>
          <w:rFonts w:ascii="Times New Roman" w:hAnsi="Times New Roman" w:eastAsia="Noto Serif CJK SC"/>
          <w:sz w:val="22"/>
        </w:rPr>
        <w:t>每个匹配结果以图形卡片呈现。点击卡片后可以查看概念ID和语义类别、图形预览、字面释义和语境意义、同义词和语义标签、图形来源文件、当前置信度和可能误读。</w:t>
      </w:r>
    </w:p>
    <w:p>
      <w:pPr>
        <w:pStyle w:val="Heading2"/>
        <w:keepNext/>
      </w:pPr>
      <w:r>
        <w:rPr>
          <w:rFonts w:ascii="Arial" w:hAnsi="Arial" w:eastAsia="Noto Sans CJK SC"/>
          <w:b/>
          <w:color w:val="1F3864"/>
          <w:sz w:val="28"/>
        </w:rPr>
        <w:t>8.3 图形动画</w:t>
      </w:r>
    </w:p>
    <w:p>
      <w:pPr>
        <w:pStyle w:val="BodyText"/>
      </w:pPr>
      <w:r>
        <w:rPr>
          <w:rFonts w:ascii="Times New Roman" w:hAnsi="Times New Roman" w:eastAsia="Noto Serif CJK SC"/>
          <w:sz w:val="22"/>
        </w:rPr>
        <w:t>图形序列可以按顺序播放。不同语义类别使用不同的运动样式，播放过程中显示当前图形、序号、类别、解释和整体进度，使静态图形序列转化为具有时间结构的视觉叙事。</w:t>
      </w:r>
    </w:p>
    <w:p>
      <w:pPr>
        <w:pStyle w:val="Heading2"/>
        <w:keepNext/>
      </w:pPr>
      <w:r>
        <w:rPr>
          <w:rFonts w:ascii="Arial" w:hAnsi="Arial" w:eastAsia="Noto Sans CJK SC"/>
          <w:b/>
          <w:color w:val="1F3864"/>
          <w:sz w:val="28"/>
        </w:rPr>
        <w:t>8.4 作品画布和作品卡片</w:t>
      </w:r>
    </w:p>
    <w:p>
      <w:pPr>
        <w:pStyle w:val="BodyText"/>
      </w:pPr>
      <w:r>
        <w:rPr>
          <w:rFonts w:ascii="Times New Roman" w:hAnsi="Times New Roman" w:eastAsia="Noto Serif CJK SC"/>
          <w:sz w:val="22"/>
        </w:rPr>
        <w:t>作品画布把当前输入、图形、回译、概念链、平均置信度和语义漂移整理为完整展示版面。系统还能生成可直接复制到报告或PPT中的作品说明卡。</w:t>
      </w:r>
    </w:p>
    <w:p>
      <w:pPr>
        <w:pStyle w:val="Heading2"/>
        <w:keepNext/>
      </w:pPr>
      <w:r>
        <w:rPr>
          <w:rFonts w:ascii="Arial" w:hAnsi="Arial" w:eastAsia="Noto Sans CJK SC"/>
          <w:b/>
          <w:color w:val="1F3864"/>
          <w:sz w:val="28"/>
        </w:rPr>
        <w:t>8.5 概念检索与语义地图</w:t>
      </w:r>
    </w:p>
    <w:p>
      <w:pPr>
        <w:pStyle w:val="BodyText"/>
      </w:pPr>
      <w:r>
        <w:rPr>
          <w:rFonts w:ascii="Times New Roman" w:hAnsi="Times New Roman" w:eastAsia="Noto Serif CJK SC"/>
          <w:sz w:val="22"/>
        </w:rPr>
        <w:t>用户可以使用中文词或概念ID反向检索图形。语义地图将260个概念按动作、时间、地点、人物、物品、情绪、关系和其他类别组织，节点大小反映候选数量和概念可靠程度。</w:t>
      </w:r>
    </w:p>
    <w:p>
      <w:pPr>
        <w:pStyle w:val="Heading2"/>
        <w:keepNext/>
      </w:pPr>
      <w:r>
        <w:rPr>
          <w:rFonts w:ascii="Arial" w:hAnsi="Arial" w:eastAsia="Noto Sans CJK SC"/>
          <w:b/>
          <w:color w:val="1F3864"/>
          <w:sz w:val="28"/>
        </w:rPr>
        <w:t>8.6 历史记录与本地学习</w:t>
      </w:r>
    </w:p>
    <w:p>
      <w:pPr>
        <w:pStyle w:val="BodyText"/>
      </w:pPr>
      <w:r>
        <w:rPr>
          <w:rFonts w:ascii="Times New Roman" w:hAnsi="Times New Roman" w:eastAsia="Noto Serif CJK SC"/>
          <w:sz w:val="22"/>
        </w:rPr>
        <w:t>最近20次翻译结果保存在浏览器本地。用户采纳的AI概念映射也存入本地别名库，使作品在使用过程中形成个人化词典，但不会修改原始课程数据。</w:t>
      </w:r>
    </w:p>
    <w:p>
      <w:pPr>
        <w:pStyle w:val="Heading2"/>
        <w:keepNext/>
      </w:pPr>
      <w:r>
        <w:rPr>
          <w:rFonts w:ascii="Arial" w:hAnsi="Arial" w:eastAsia="Noto Sans CJK SC"/>
          <w:b/>
          <w:color w:val="1F3864"/>
          <w:sz w:val="28"/>
        </w:rPr>
        <w:t>8.7 视觉与响应式设计</w:t>
      </w:r>
    </w:p>
    <w:p>
      <w:pPr>
        <w:pStyle w:val="BodyText"/>
      </w:pPr>
      <w:r>
        <w:rPr>
          <w:rFonts w:ascii="Times New Roman" w:hAnsi="Times New Roman" w:eastAsia="Noto Serif CJK SC"/>
          <w:sz w:val="22"/>
        </w:rPr>
        <w:t>界面采用浅色纸张、网格、蓝绿印章色和细线结构，呼应图形书写、档案索引和语言实验的视觉主题。桌面端使用三栏工作区；在较窄屏幕下自动折叠为两栏或单栏。系统同时检测`prefers-reduced-motion`，在用户要求减少动画时关闭背景和大部分持续运动效果。</w:t>
      </w:r>
    </w:p>
    <w:p>
      <w:pPr>
        <w:pStyle w:val="Heading1"/>
        <w:keepNext/>
      </w:pPr>
      <w:r>
        <w:rPr>
          <w:rFonts w:ascii="Arial" w:hAnsi="Arial" w:eastAsia="Noto Sans CJK SC"/>
          <w:b/>
          <w:color w:val="1F3864"/>
          <w:sz w:val="32"/>
        </w:rPr>
        <w:t>9. 本地服务实现</w:t>
      </w:r>
    </w:p>
    <w:p>
      <w:pPr>
        <w:pStyle w:val="BodyText"/>
      </w:pPr>
      <w:r>
        <w:rPr>
          <w:rFonts w:ascii="Times New Roman" w:hAnsi="Times New Roman" w:eastAsia="Noto Serif CJK SC"/>
          <w:sz w:val="22"/>
        </w:rPr>
        <w:t>`server.js`只使用Node.js内置的`http`、`fs`和`path`模块，不依赖Express等第三方框架。服务监听`127.0.0.1:8787`，同时负责静态文件访问和三种AI请求代理。</w:t>
      </w:r>
    </w:p>
    <w:tbl>
      <w:tblPr>
        <w:tblStyle w:val="TableGrid"/>
        <w:tblW w:type="auto" w:w="0"/>
        <w:jc w:val="center"/>
        <w:tblLook w:firstColumn="1" w:firstRow="1" w:lastColumn="0" w:lastRow="0" w:noHBand="0" w:noVBand="1" w:val="04A0"/>
      </w:tblPr>
      <w:tblGrid>
        <w:gridCol w:w="4479"/>
        <w:gridCol w:w="4479"/>
      </w:tblGrid>
      <w:tr>
        <w:tc>
          <w:tcPr>
            <w:tcW w:type="dxa" w:w="3685"/>
            <w:vAlign w:val="center"/>
            <w:shd w:fill="DCE6F1"/>
            <w:tcMar>
              <w:top w:w="90" w:type="dxa"/>
              <w:start w:w="100" w:type="dxa"/>
              <w:bottom w:w="90" w:type="dxa"/>
              <w:end w:w="100" w:type="dxa"/>
            </w:tcMar>
          </w:tcPr>
          <w:p>
            <w:pPr>
              <w:jc w:val="center"/>
            </w:pPr>
            <w:r>
              <w:rPr>
                <w:rFonts w:ascii="Times New Roman" w:hAnsi="Times New Roman" w:eastAsia="Noto Sans CJK SC"/>
                <w:b/>
                <w:sz w:val="21"/>
              </w:rPr>
              <w:t>接口</w:t>
            </w:r>
          </w:p>
        </w:tc>
        <w:tc>
          <w:tcPr>
            <w:tcW w:type="dxa" w:w="4535"/>
            <w:vAlign w:val="center"/>
            <w:shd w:fill="DCE6F1"/>
            <w:tcMar>
              <w:top w:w="90" w:type="dxa"/>
              <w:start w:w="100" w:type="dxa"/>
              <w:bottom w:w="90" w:type="dxa"/>
              <w:end w:w="100" w:type="dxa"/>
            </w:tcMar>
          </w:tcPr>
          <w:p>
            <w:pPr>
              <w:jc w:val="center"/>
            </w:pPr>
            <w:r>
              <w:rPr>
                <w:rFonts w:ascii="Times New Roman" w:hAnsi="Times New Roman" w:eastAsia="Noto Sans CJK SC"/>
                <w:b/>
                <w:sz w:val="21"/>
              </w:rPr>
              <w:t>作用</w:t>
            </w:r>
          </w:p>
        </w:tc>
      </w:tr>
      <w:tr>
        <w:tc>
          <w:tcPr>
            <w:tcW w:type="dxa" w:w="368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GET /api/health</w:t>
            </w:r>
          </w:p>
        </w:tc>
        <w:tc>
          <w:tcPr>
            <w:tcW w:type="dxa" w:w="453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检查本地AI服务是否可用</w:t>
            </w:r>
          </w:p>
        </w:tc>
      </w:tr>
      <w:tr>
        <w:tc>
          <w:tcPr>
            <w:tcW w:type="dxa" w:w="368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POST /api/ai-gap-fill</w:t>
            </w:r>
          </w:p>
        </w:tc>
        <w:tc>
          <w:tcPr>
            <w:tcW w:type="dxa" w:w="453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调用文本模型完成不可译片段补译</w:t>
            </w:r>
          </w:p>
        </w:tc>
      </w:tr>
      <w:tr>
        <w:tc>
          <w:tcPr>
            <w:tcW w:type="dxa" w:w="368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POST /api/ai-image-review</w:t>
            </w:r>
          </w:p>
        </w:tc>
        <w:tc>
          <w:tcPr>
            <w:tcW w:type="dxa" w:w="453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读取本地图形并调用视觉模型审稿</w:t>
            </w:r>
          </w:p>
        </w:tc>
      </w:tr>
      <w:tr>
        <w:tc>
          <w:tcPr>
            <w:tcW w:type="dxa" w:w="368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POST /api/ai-audience-sim</w:t>
            </w:r>
          </w:p>
        </w:tc>
        <w:tc>
          <w:tcPr>
            <w:tcW w:type="dxa" w:w="453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调用文本模型进行图形序列盲读</w:t>
            </w:r>
          </w:p>
        </w:tc>
      </w:tr>
    </w:tbl>
    <w:p/>
    <w:p>
      <w:pPr>
        <w:pStyle w:val="BodyText"/>
      </w:pPr>
      <w:r>
        <w:rPr>
          <w:rFonts w:ascii="Times New Roman" w:hAnsi="Times New Roman" w:eastAsia="Noto Serif CJK SC"/>
          <w:sz w:val="22"/>
        </w:rPr>
        <w:t>视觉审稿接口会把本地图形转换为Base64 Data URL，再以OpenAI兼容的多模态消息格式发送给视觉模型。三个接口均使用不同的系统提示和温度参数，以适配确定性选择、视觉判断和开放式观众猜读三类任务。</w:t>
      </w:r>
    </w:p>
    <w:p>
      <w:pPr>
        <w:pStyle w:val="Heading1"/>
        <w:keepNext/>
      </w:pPr>
      <w:r>
        <w:rPr>
          <w:rFonts w:ascii="Arial" w:hAnsi="Arial" w:eastAsia="Noto Sans CJK SC"/>
          <w:b/>
          <w:color w:val="1F3864"/>
          <w:sz w:val="32"/>
        </w:rPr>
        <w:t>10. 运行与展示流程</w:t>
      </w:r>
    </w:p>
    <w:p>
      <w:pPr>
        <w:pStyle w:val="Heading2"/>
        <w:keepNext/>
      </w:pPr>
      <w:r>
        <w:rPr>
          <w:rFonts w:ascii="Arial" w:hAnsi="Arial" w:eastAsia="Noto Sans CJK SC"/>
          <w:b/>
          <w:color w:val="1F3864"/>
          <w:sz w:val="28"/>
        </w:rPr>
        <w:t>10.1 纯离线模式</w:t>
      </w:r>
    </w:p>
    <w:p>
      <w:pPr>
        <w:pStyle w:val="BodyText"/>
      </w:pPr>
      <w:r>
        <w:rPr>
          <w:rFonts w:ascii="Times New Roman" w:hAnsi="Times New Roman" w:eastAsia="Noto Serif CJK SC"/>
          <w:sz w:val="22"/>
        </w:rPr>
        <w:t>直接用浏览器打开：</w:t>
      </w:r>
    </w:p>
    <w:p>
      <w:pPr>
        <w:pStyle w:val="CodeBlock"/>
        <w:ind w:firstLine="0"/>
      </w:pPr>
      <w:r>
        <w:rPr>
          <w:rFonts w:ascii="DejaVu Sans Mono" w:hAnsi="DejaVu Sans Mono" w:eastAsia="Noto Sans Mono CJK SC"/>
          <w:sz w:val="18"/>
        </w:rPr>
        <w:t>dishu-translator/index.html</w:t>
      </w:r>
    </w:p>
    <w:p>
      <w:pPr>
        <w:pStyle w:val="BodyText"/>
      </w:pPr>
      <w:r>
        <w:rPr>
          <w:rFonts w:ascii="Times New Roman" w:hAnsi="Times New Roman" w:eastAsia="Noto Serif CJK SC"/>
          <w:sz w:val="22"/>
        </w:rPr>
        <w:t>该模式可以使用：</w:t>
      </w:r>
    </w:p>
    <w:p>
      <w:pPr>
        <w:pStyle w:val="ListBullet"/>
      </w:pPr>
      <w:r>
        <w:rPr>
          <w:rFonts w:ascii="Times New Roman" w:hAnsi="Times New Roman" w:eastAsia="Noto Serif CJK SC"/>
          <w:sz w:val="22"/>
        </w:rPr>
        <w:t>自然语言本地翻译；</w:t>
      </w:r>
    </w:p>
    <w:p>
      <w:pPr>
        <w:pStyle w:val="ListBullet"/>
      </w:pPr>
      <w:r>
        <w:rPr>
          <w:rFonts w:ascii="Times New Roman" w:hAnsi="Times New Roman" w:eastAsia="Noto Serif CJK SC"/>
          <w:sz w:val="22"/>
        </w:rPr>
        <w:t>字面版和语境版切换；</w:t>
      </w:r>
    </w:p>
    <w:p>
      <w:pPr>
        <w:pStyle w:val="ListBullet"/>
      </w:pPr>
      <w:r>
        <w:rPr>
          <w:rFonts w:ascii="Times New Roman" w:hAnsi="Times New Roman" w:eastAsia="Noto Serif CJK SC"/>
          <w:sz w:val="22"/>
        </w:rPr>
        <w:t>图形解释和概念检索；</w:t>
      </w:r>
    </w:p>
    <w:p>
      <w:pPr>
        <w:pStyle w:val="ListBullet"/>
      </w:pPr>
      <w:r>
        <w:rPr>
          <w:rFonts w:ascii="Times New Roman" w:hAnsi="Times New Roman" w:eastAsia="Noto Serif CJK SC"/>
          <w:sz w:val="22"/>
        </w:rPr>
        <w:t>动画、作品画布和语义漂移；</w:t>
      </w:r>
    </w:p>
    <w:p>
      <w:pPr>
        <w:pStyle w:val="ListBullet"/>
      </w:pPr>
      <w:r>
        <w:rPr>
          <w:rFonts w:ascii="Times New Roman" w:hAnsi="Times New Roman" w:eastAsia="Noto Serif CJK SC"/>
          <w:sz w:val="22"/>
        </w:rPr>
        <w:t>双向回译和语义地图；</w:t>
      </w:r>
    </w:p>
    <w:p>
      <w:pPr>
        <w:pStyle w:val="ListBullet"/>
      </w:pPr>
      <w:r>
        <w:rPr>
          <w:rFonts w:ascii="Times New Roman" w:hAnsi="Times New Roman" w:eastAsia="Noto Serif CJK SC"/>
          <w:sz w:val="22"/>
        </w:rPr>
        <w:t>手动生成AI提示并粘贴JSON结果。</w:t>
      </w:r>
    </w:p>
    <w:p>
      <w:pPr>
        <w:pStyle w:val="Heading2"/>
        <w:keepNext/>
      </w:pPr>
      <w:r>
        <w:rPr>
          <w:rFonts w:ascii="Arial" w:hAnsi="Arial" w:eastAsia="Noto Sans CJK SC"/>
          <w:b/>
          <w:color w:val="1F3864"/>
          <w:sz w:val="28"/>
        </w:rPr>
        <w:t>10.2 本地AI模式</w:t>
      </w:r>
    </w:p>
    <w:p>
      <w:pPr>
        <w:pStyle w:val="BodyText"/>
      </w:pPr>
      <w:r>
        <w:rPr>
          <w:rFonts w:ascii="Times New Roman" w:hAnsi="Times New Roman" w:eastAsia="Noto Serif CJK SC"/>
          <w:sz w:val="22"/>
        </w:rPr>
        <w:t>在仓库根目录启动：</w:t>
      </w:r>
    </w:p>
    <w:p>
      <w:pPr>
        <w:pStyle w:val="CodeBlock"/>
        <w:ind w:firstLine="0"/>
      </w:pPr>
      <w:r>
        <w:rPr>
          <w:rFonts w:ascii="DejaVu Sans Mono" w:hAnsi="DejaVu Sans Mono" w:eastAsia="Noto Sans Mono CJK SC"/>
          <w:sz w:val="18"/>
        </w:rPr>
        <w:t>node dishu-translator/server.js</w:t>
      </w:r>
    </w:p>
    <w:p>
      <w:pPr>
        <w:pStyle w:val="BodyText"/>
      </w:pPr>
      <w:r>
        <w:rPr>
          <w:rFonts w:ascii="Times New Roman" w:hAnsi="Times New Roman" w:eastAsia="Noto Serif CJK SC"/>
          <w:sz w:val="22"/>
        </w:rPr>
        <w:t>随后打开：</w:t>
      </w:r>
    </w:p>
    <w:p>
      <w:pPr>
        <w:pStyle w:val="CodeBlock"/>
        <w:ind w:firstLine="0"/>
      </w:pPr>
      <w:r>
        <w:rPr>
          <w:rFonts w:ascii="DejaVu Sans Mono" w:hAnsi="DejaVu Sans Mono" w:eastAsia="Noto Sans Mono CJK SC"/>
          <w:sz w:val="18"/>
        </w:rPr>
        <w:t>http://127.0.0.1:8787/dishu-translator/index.html</w:t>
      </w:r>
    </w:p>
    <w:p>
      <w:pPr>
        <w:pStyle w:val="BodyText"/>
      </w:pPr>
      <w:r>
        <w:rPr>
          <w:rFonts w:ascii="Times New Roman" w:hAnsi="Times New Roman" w:eastAsia="Noto Serif CJK SC"/>
          <w:sz w:val="22"/>
        </w:rPr>
        <w:t>填写对应模型的Endpoint、Model和API Key后，即可使用后台AI补译、视觉审稿和观众模拟。</w:t>
      </w:r>
    </w:p>
    <w:p>
      <w:pPr>
        <w:pStyle w:val="Heading2"/>
        <w:keepNext/>
      </w:pPr>
      <w:r>
        <w:rPr>
          <w:rFonts w:ascii="Arial" w:hAnsi="Arial" w:eastAsia="Noto Sans CJK SC"/>
          <w:b/>
          <w:color w:val="1F3864"/>
          <w:sz w:val="28"/>
        </w:rPr>
        <w:t>10.3 数据重新构建</w:t>
      </w:r>
    </w:p>
    <w:p>
      <w:pPr>
        <w:pStyle w:val="BodyText"/>
      </w:pPr>
      <w:r>
        <w:rPr>
          <w:rFonts w:ascii="Times New Roman" w:hAnsi="Times New Roman" w:eastAsia="Noto Serif CJK SC"/>
          <w:sz w:val="22"/>
        </w:rPr>
        <w:t>当标注数据发生变化时运行：</w:t>
      </w:r>
    </w:p>
    <w:p>
      <w:pPr>
        <w:pStyle w:val="CodeBlock"/>
        <w:ind w:firstLine="0"/>
      </w:pPr>
      <w:r>
        <w:rPr>
          <w:rFonts w:ascii="DejaVu Sans Mono" w:hAnsi="DejaVu Sans Mono" w:eastAsia="Noto Sans Mono CJK SC"/>
          <w:sz w:val="18"/>
        </w:rPr>
        <w:t>python scripts/build_translator_data.py</w:t>
      </w:r>
    </w:p>
    <w:p>
      <w:pPr>
        <w:pStyle w:val="BodyText"/>
      </w:pPr>
      <w:r>
        <w:rPr>
          <w:rFonts w:ascii="Times New Roman" w:hAnsi="Times New Roman" w:eastAsia="Noto Serif CJK SC"/>
          <w:sz w:val="22"/>
        </w:rPr>
        <w:t>脚本会重新生成规范化数据、概念索引、示例、LLM批次和构建统计。</w:t>
      </w:r>
    </w:p>
    <w:p>
      <w:pPr>
        <w:pStyle w:val="Heading1"/>
        <w:keepNext/>
      </w:pPr>
      <w:r>
        <w:rPr>
          <w:rFonts w:ascii="Arial" w:hAnsi="Arial" w:eastAsia="Noto Sans CJK SC"/>
          <w:b/>
          <w:color w:val="1F3864"/>
          <w:sz w:val="32"/>
        </w:rPr>
        <w:t>11. 测试与验证</w:t>
      </w:r>
    </w:p>
    <w:p>
      <w:pPr>
        <w:pStyle w:val="BodyText"/>
      </w:pPr>
      <w:r>
        <w:rPr>
          <w:rFonts w:ascii="Times New Roman" w:hAnsi="Times New Roman" w:eastAsia="Noto Serif CJK SC"/>
          <w:sz w:val="22"/>
        </w:rPr>
        <w:t>根据仓库中的构建结果和现有测试记录，项目完成了以下验证：</w:t>
      </w:r>
    </w:p>
    <w:p>
      <w:pPr>
        <w:pStyle w:val="ListNumber"/>
      </w:pPr>
      <w:r>
        <w:rPr>
          <w:rFonts w:ascii="Times New Roman" w:hAnsi="Times New Roman" w:eastAsia="Noto Serif CJK SC"/>
          <w:sz w:val="22"/>
        </w:rPr>
        <w:t>数据脚本可以读取两类标注数据并生成规范化文件；</w:t>
      </w:r>
    </w:p>
    <w:p>
      <w:pPr>
        <w:pStyle w:val="ListNumber"/>
      </w:pPr>
      <w:r>
        <w:rPr>
          <w:rFonts w:ascii="Times New Roman" w:hAnsi="Times New Roman" w:eastAsia="Noto Serif CJK SC"/>
          <w:sz w:val="22"/>
        </w:rPr>
        <w:t>共生成260个作品概念和10条精选示例；</w:t>
      </w:r>
    </w:p>
    <w:p>
      <w:pPr>
        <w:pStyle w:val="ListNumber"/>
      </w:pPr>
      <w:r>
        <w:rPr>
          <w:rFonts w:ascii="Times New Roman" w:hAnsi="Times New Roman" w:eastAsia="Noto Serif CJK SC"/>
          <w:sz w:val="22"/>
        </w:rPr>
        <w:t>概念索引引用1,867条图像路径，缺失路径为0；</w:t>
      </w:r>
    </w:p>
    <w:p>
      <w:pPr>
        <w:pStyle w:val="ListNumber"/>
      </w:pPr>
      <w:r>
        <w:rPr>
          <w:rFonts w:ascii="Times New Roman" w:hAnsi="Times New Roman" w:eastAsia="Noto Serif CJK SC"/>
          <w:sz w:val="22"/>
        </w:rPr>
        <w:t>示例句中使用的概念ID均存在于当前概念索引；</w:t>
      </w:r>
    </w:p>
    <w:p>
      <w:pPr>
        <w:pStyle w:val="ListNumber"/>
      </w:pPr>
      <w:r>
        <w:rPr>
          <w:rFonts w:ascii="Times New Roman" w:hAnsi="Times New Roman" w:eastAsia="Noto Serif CJK SC"/>
          <w:sz w:val="22"/>
        </w:rPr>
        <w:t>基础网页不依赖运行时模型接口，可离线完成翻译和展示；</w:t>
      </w:r>
    </w:p>
    <w:p>
      <w:pPr>
        <w:pStyle w:val="ListNumber"/>
      </w:pPr>
      <w:r>
        <w:rPr>
          <w:rFonts w:ascii="Times New Roman" w:hAnsi="Times New Roman" w:eastAsia="Noto Serif CJK SC"/>
          <w:sz w:val="22"/>
        </w:rPr>
        <w:t>AI返回内容支持JSON代码块、单对象、数组及多种外层字段的兼容解析；</w:t>
      </w:r>
    </w:p>
    <w:p>
      <w:pPr>
        <w:pStyle w:val="ListNumber"/>
      </w:pPr>
      <w:r>
        <w:rPr>
          <w:rFonts w:ascii="Times New Roman" w:hAnsi="Times New Roman" w:eastAsia="Noto Serif CJK SC"/>
          <w:sz w:val="22"/>
        </w:rPr>
        <w:t>AI建议在采纳前不会直接修改图形序列；</w:t>
      </w:r>
    </w:p>
    <w:p>
      <w:pPr>
        <w:pStyle w:val="ListNumber"/>
      </w:pPr>
      <w:r>
        <w:rPr>
          <w:rFonts w:ascii="Times New Roman" w:hAnsi="Times New Roman" w:eastAsia="Noto Serif CJK SC"/>
          <w:sz w:val="22"/>
        </w:rPr>
        <w:t>后端对参数缺失、无图片、上游网络失败和非法JSON提供错误提示；</w:t>
      </w:r>
    </w:p>
    <w:p>
      <w:pPr>
        <w:pStyle w:val="ListNumber"/>
      </w:pPr>
      <w:r>
        <w:rPr>
          <w:rFonts w:ascii="Times New Roman" w:hAnsi="Times New Roman" w:eastAsia="Noto Serif CJK SC"/>
          <w:sz w:val="22"/>
        </w:rPr>
        <w:t>页面针对桌面、平板和移动宽度设计了响应式布局；</w:t>
      </w:r>
    </w:p>
    <w:p>
      <w:pPr>
        <w:pStyle w:val="ListNumber"/>
      </w:pPr>
      <w:r>
        <w:rPr>
          <w:rFonts w:ascii="Times New Roman" w:hAnsi="Times New Roman" w:eastAsia="Noto Serif CJK SC"/>
          <w:sz w:val="22"/>
        </w:rPr>
        <w:t>系统提供减少动态效果的无障碍适配。</w:t>
      </w:r>
    </w:p>
    <w:p>
      <w:pPr>
        <w:pStyle w:val="Heading2"/>
        <w:keepNext/>
      </w:pPr>
      <w:r>
        <w:rPr>
          <w:rFonts w:ascii="Arial" w:hAnsi="Arial" w:eastAsia="Noto Sans CJK SC"/>
          <w:b/>
          <w:color w:val="1F3864"/>
          <w:sz w:val="28"/>
        </w:rPr>
        <w:t>11.1 建议的演示测试用例</w:t>
      </w:r>
    </w:p>
    <w:tbl>
      <w:tblPr>
        <w:tblStyle w:val="TableGrid"/>
        <w:tblW w:type="auto" w:w="0"/>
        <w:jc w:val="center"/>
        <w:tblLook w:firstColumn="1" w:firstRow="1" w:lastColumn="0" w:lastRow="0" w:noHBand="0" w:noVBand="1" w:val="04A0"/>
      </w:tblPr>
      <w:tblGrid>
        <w:gridCol w:w="2986"/>
        <w:gridCol w:w="2986"/>
        <w:gridCol w:w="2986"/>
      </w:tblGrid>
      <w:tr>
        <w:tc>
          <w:tcPr>
            <w:tcW w:type="dxa" w:w="1871"/>
            <w:vAlign w:val="center"/>
            <w:shd w:fill="DCE6F1"/>
            <w:tcMar>
              <w:top w:w="90" w:type="dxa"/>
              <w:start w:w="100" w:type="dxa"/>
              <w:bottom w:w="90" w:type="dxa"/>
              <w:end w:w="100" w:type="dxa"/>
            </w:tcMar>
          </w:tcPr>
          <w:p>
            <w:pPr>
              <w:jc w:val="center"/>
            </w:pPr>
            <w:r>
              <w:rPr>
                <w:rFonts w:ascii="Times New Roman" w:hAnsi="Times New Roman" w:eastAsia="Noto Sans CJK SC"/>
                <w:b/>
                <w:sz w:val="21"/>
              </w:rPr>
              <w:t>类型</w:t>
            </w:r>
          </w:p>
        </w:tc>
        <w:tc>
          <w:tcPr>
            <w:tcW w:type="dxa" w:w="4082"/>
            <w:vAlign w:val="center"/>
            <w:shd w:fill="DCE6F1"/>
            <w:tcMar>
              <w:top w:w="90" w:type="dxa"/>
              <w:start w:w="100" w:type="dxa"/>
              <w:bottom w:w="90" w:type="dxa"/>
              <w:end w:w="100" w:type="dxa"/>
            </w:tcMar>
          </w:tcPr>
          <w:p>
            <w:pPr>
              <w:jc w:val="center"/>
            </w:pPr>
            <w:r>
              <w:rPr>
                <w:rFonts w:ascii="Times New Roman" w:hAnsi="Times New Roman" w:eastAsia="Noto Sans CJK SC"/>
                <w:b/>
                <w:sz w:val="21"/>
              </w:rPr>
              <w:t>示例</w:t>
            </w:r>
          </w:p>
        </w:tc>
        <w:tc>
          <w:tcPr>
            <w:tcW w:type="dxa" w:w="2835"/>
            <w:vAlign w:val="center"/>
            <w:shd w:fill="DCE6F1"/>
            <w:tcMar>
              <w:top w:w="90" w:type="dxa"/>
              <w:start w:w="100" w:type="dxa"/>
              <w:bottom w:w="90" w:type="dxa"/>
              <w:end w:w="100" w:type="dxa"/>
            </w:tcMar>
          </w:tcPr>
          <w:p>
            <w:pPr>
              <w:jc w:val="center"/>
            </w:pPr>
            <w:r>
              <w:rPr>
                <w:rFonts w:ascii="Times New Roman" w:hAnsi="Times New Roman" w:eastAsia="Noto Sans CJK SC"/>
                <w:b/>
                <w:sz w:val="21"/>
              </w:rPr>
              <w:t>观察重点</w:t>
            </w:r>
          </w:p>
        </w:tc>
      </w:tr>
      <w:tr>
        <w:tc>
          <w:tcPr>
            <w:tcW w:type="dxa" w:w="1871"/>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高覆盖句</w:t>
            </w:r>
          </w:p>
        </w:tc>
        <w:tc>
          <w:tcPr>
            <w:tcW w:type="dxa" w:w="408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我走进书店，想到礼物。</w:t>
            </w:r>
          </w:p>
        </w:tc>
        <w:tc>
          <w:tcPr>
            <w:tcW w:type="dxa" w:w="283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图形匹配完整、置信度较高</w:t>
            </w:r>
          </w:p>
        </w:tc>
      </w:tr>
      <w:tr>
        <w:tc>
          <w:tcPr>
            <w:tcW w:type="dxa" w:w="1871"/>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动作序列</w:t>
            </w:r>
          </w:p>
        </w:tc>
        <w:tc>
          <w:tcPr>
            <w:tcW w:type="dxa" w:w="408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晚上我看时间，然后关灯睡觉。</w:t>
            </w:r>
          </w:p>
        </w:tc>
        <w:tc>
          <w:tcPr>
            <w:tcW w:type="dxa" w:w="283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时间、动作和顺序关系</w:t>
            </w:r>
          </w:p>
        </w:tc>
      </w:tr>
      <w:tr>
        <w:tc>
          <w:tcPr>
            <w:tcW w:type="dxa" w:w="1871"/>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情绪表达</w:t>
            </w:r>
          </w:p>
        </w:tc>
        <w:tc>
          <w:tcPr>
            <w:tcW w:type="dxa" w:w="408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他看到警察来了，有点害怕。</w:t>
            </w:r>
          </w:p>
        </w:tc>
        <w:tc>
          <w:tcPr>
            <w:tcW w:type="dxa" w:w="283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情绪图形是否容易误读</w:t>
            </w:r>
          </w:p>
        </w:tc>
      </w:tr>
      <w:tr>
        <w:tc>
          <w:tcPr>
            <w:tcW w:type="dxa" w:w="1871"/>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含未知词句</w:t>
            </w:r>
          </w:p>
        </w:tc>
        <w:tc>
          <w:tcPr>
            <w:tcW w:type="dxa" w:w="408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明天我去图书馆参加答辩。</w:t>
            </w:r>
          </w:p>
        </w:tc>
        <w:tc>
          <w:tcPr>
            <w:tcW w:type="dxa" w:w="283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不可译空位与AI补译流程</w:t>
            </w:r>
          </w:p>
        </w:tc>
      </w:tr>
      <w:tr>
        <w:tc>
          <w:tcPr>
            <w:tcW w:type="dxa" w:w="1871"/>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回译测试</w:t>
            </w:r>
          </w:p>
        </w:tc>
        <w:tc>
          <w:tcPr>
            <w:tcW w:type="dxa" w:w="408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使用当前图形序列</w:t>
            </w:r>
          </w:p>
        </w:tc>
        <w:tc>
          <w:tcPr>
            <w:tcW w:type="dxa" w:w="283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原句与自然回译之间的漂移</w:t>
            </w:r>
          </w:p>
        </w:tc>
      </w:tr>
      <w:tr>
        <w:tc>
          <w:tcPr>
            <w:tcW w:type="dxa" w:w="1871"/>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盲读测试</w:t>
            </w:r>
          </w:p>
        </w:tc>
        <w:tc>
          <w:tcPr>
            <w:tcW w:type="dxa" w:w="408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隐藏原句调用观众模拟</w:t>
            </w:r>
          </w:p>
        </w:tc>
        <w:tc>
          <w:tcPr>
            <w:tcW w:type="dxa" w:w="2835"/>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AI猜读是否接近原句</w:t>
            </w:r>
          </w:p>
        </w:tc>
      </w:tr>
    </w:tbl>
    <w:p/>
    <w:p>
      <w:pPr>
        <w:pStyle w:val="Heading1"/>
        <w:keepNext/>
      </w:pPr>
      <w:r>
        <w:rPr>
          <w:rFonts w:ascii="Arial" w:hAnsi="Arial" w:eastAsia="Noto Sans CJK SC"/>
          <w:b/>
          <w:color w:val="1F3864"/>
          <w:sz w:val="32"/>
        </w:rPr>
        <w:t>12. 开发过程中遇到的问题与解决方法</w:t>
      </w:r>
    </w:p>
    <w:p>
      <w:pPr>
        <w:pStyle w:val="Heading2"/>
        <w:keepNext/>
      </w:pPr>
      <w:r>
        <w:rPr>
          <w:rFonts w:ascii="Arial" w:hAnsi="Arial" w:eastAsia="Noto Sans CJK SC"/>
          <w:b/>
          <w:color w:val="1F3864"/>
          <w:sz w:val="28"/>
        </w:rPr>
        <w:t>12.1 标注数据格式不统一</w:t>
      </w:r>
    </w:p>
    <w:p>
      <w:pPr>
        <w:pStyle w:val="BodyText"/>
      </w:pPr>
      <w:r>
        <w:rPr>
          <w:rFonts w:ascii="Times New Roman" w:hAnsi="Times New Roman" w:eastAsia="Noto Serif CJK SC"/>
          <w:sz w:val="22"/>
        </w:rPr>
        <w:t>图形标注和白话文本标注来自不同工具，字段结构不完全一致。解决方法是在构建脚本中增加格式兼容层，将所有记录统一成相同的`target_id、target_type、task_id、value`结构。</w:t>
      </w:r>
    </w:p>
    <w:p>
      <w:pPr>
        <w:pStyle w:val="Heading2"/>
        <w:keepNext/>
      </w:pPr>
      <w:r>
        <w:rPr>
          <w:rFonts w:ascii="Arial" w:hAnsi="Arial" w:eastAsia="Noto Sans CJK SC"/>
          <w:b/>
          <w:color w:val="1F3864"/>
          <w:sz w:val="28"/>
        </w:rPr>
        <w:t>12.2 说明性文字被错误抽取为概念</w:t>
      </w:r>
    </w:p>
    <w:p>
      <w:pPr>
        <w:pStyle w:val="BodyText"/>
      </w:pPr>
      <w:r>
        <w:rPr>
          <w:rFonts w:ascii="Times New Roman" w:hAnsi="Times New Roman" w:eastAsia="Noto Serif CJK SC"/>
          <w:sz w:val="22"/>
        </w:rPr>
        <w:t>原始标注中包含大量自然语言解释，直接抽取会产生“图形”“含义”“语境”等无效概念。项目建立噪声词表，并限制中文片段长度、单字范围和数字形式，提高概念索引的可用性。</w:t>
      </w:r>
    </w:p>
    <w:p>
      <w:pPr>
        <w:pStyle w:val="Heading2"/>
        <w:keepNext/>
      </w:pPr>
      <w:r>
        <w:rPr>
          <w:rFonts w:ascii="Arial" w:hAnsi="Arial" w:eastAsia="Noto Sans CJK SC"/>
          <w:b/>
          <w:color w:val="1F3864"/>
          <w:sz w:val="28"/>
        </w:rPr>
        <w:t>12.3 同一含义对应多个图形</w:t>
      </w:r>
    </w:p>
    <w:p>
      <w:pPr>
        <w:pStyle w:val="BodyText"/>
      </w:pPr>
      <w:r>
        <w:rPr>
          <w:rFonts w:ascii="Times New Roman" w:hAnsi="Times New Roman" w:eastAsia="Noto Serif CJK SC"/>
          <w:sz w:val="22"/>
        </w:rPr>
        <w:t>图形语言具有明显多义性，同一词可能有多组候选图形。项目没有强制只保留一个结果，而是保存主要候选和多个备选候选，并在语境版、解释层和视觉审稿中继续比较。</w:t>
      </w:r>
    </w:p>
    <w:p>
      <w:pPr>
        <w:pStyle w:val="Heading2"/>
        <w:keepNext/>
      </w:pPr>
      <w:r>
        <w:rPr>
          <w:rFonts w:ascii="Arial" w:hAnsi="Arial" w:eastAsia="Noto Sans CJK SC"/>
          <w:b/>
          <w:color w:val="1F3864"/>
          <w:sz w:val="28"/>
        </w:rPr>
        <w:t>12.4 图形库无法覆盖开放自然语言</w:t>
      </w:r>
    </w:p>
    <w:p>
      <w:pPr>
        <w:pStyle w:val="BodyText"/>
      </w:pPr>
      <w:r>
        <w:rPr>
          <w:rFonts w:ascii="Times New Roman" w:hAnsi="Times New Roman" w:eastAsia="Noto Serif CJK SC"/>
          <w:sz w:val="22"/>
        </w:rPr>
        <w:t>260个概念无法覆盖任意中文输入。项目没有让模型随意生成虚构图形，而是保留不可译空位，再通过候选约束的AI补译选择已有概念。这样保证AI结果最终仍然能够对应真实的《地书》图形素材。</w:t>
      </w:r>
    </w:p>
    <w:p>
      <w:pPr>
        <w:pStyle w:val="Heading2"/>
        <w:keepNext/>
      </w:pPr>
      <w:r>
        <w:rPr>
          <w:rFonts w:ascii="Arial" w:hAnsi="Arial" w:eastAsia="Noto Sans CJK SC"/>
          <w:b/>
          <w:color w:val="1F3864"/>
          <w:sz w:val="28"/>
        </w:rPr>
        <w:t>12.5 模型返回格式不稳定</w:t>
      </w:r>
    </w:p>
    <w:p>
      <w:pPr>
        <w:pStyle w:val="BodyText"/>
      </w:pPr>
      <w:r>
        <w:rPr>
          <w:rFonts w:ascii="Times New Roman" w:hAnsi="Times New Roman" w:eastAsia="Noto Serif CJK SC"/>
          <w:sz w:val="22"/>
        </w:rPr>
        <w:t>不同模型可能返回Markdown代码块、额外解释、数组或嵌套对象。前后端均实现JSON提取和返回结构归一化，同时在提示中明确要求“只返回合法JSON”。</w:t>
      </w:r>
    </w:p>
    <w:p>
      <w:pPr>
        <w:pStyle w:val="Heading2"/>
        <w:keepNext/>
      </w:pPr>
      <w:r>
        <w:rPr>
          <w:rFonts w:ascii="Arial" w:hAnsi="Arial" w:eastAsia="Noto Sans CJK SC"/>
          <w:b/>
          <w:color w:val="1F3864"/>
          <w:sz w:val="28"/>
        </w:rPr>
        <w:t>12.6 如何证明图形真的可读</w:t>
      </w:r>
    </w:p>
    <w:p>
      <w:pPr>
        <w:pStyle w:val="BodyText"/>
      </w:pPr>
      <w:r>
        <w:rPr>
          <w:rFonts w:ascii="Times New Roman" w:hAnsi="Times New Roman" w:eastAsia="Noto Serif CJK SC"/>
          <w:sz w:val="22"/>
        </w:rPr>
        <w:t>仅让模型知道原句后解释图形，无法证明图形本身可读。因此项目增加AI观众模拟功能，在请求中完全隐藏原句，让模型以第一次观看者身份进行盲读，再将结果与原句对照。</w:t>
      </w:r>
    </w:p>
    <w:p>
      <w:pPr>
        <w:pStyle w:val="Heading1"/>
        <w:keepNext/>
      </w:pPr>
      <w:r>
        <w:rPr>
          <w:rFonts w:ascii="Arial" w:hAnsi="Arial" w:eastAsia="Noto Sans CJK SC"/>
          <w:b/>
          <w:color w:val="1F3864"/>
          <w:sz w:val="32"/>
        </w:rPr>
        <w:t>13. 项目局限性</w:t>
      </w:r>
    </w:p>
    <w:p>
      <w:pPr>
        <w:pStyle w:val="ListNumber"/>
      </w:pPr>
      <w:r>
        <w:rPr>
          <w:rFonts w:ascii="Times New Roman" w:hAnsi="Times New Roman" w:eastAsia="Noto Serif CJK SC"/>
          <w:sz w:val="22"/>
        </w:rPr>
        <w:t>当前分词与匹配主要依赖规则和最长匹配，不能真正理解复杂句法、否定范围和指代关系；</w:t>
      </w:r>
    </w:p>
    <w:p>
      <w:pPr>
        <w:pStyle w:val="ListNumber"/>
      </w:pPr>
      <w:r>
        <w:rPr>
          <w:rFonts w:ascii="Times New Roman" w:hAnsi="Times New Roman" w:eastAsia="Noto Serif CJK SC"/>
          <w:sz w:val="22"/>
        </w:rPr>
        <w:t>260个概念是为了展示而压缩出的索引，仍无法覆盖开放域自然语言；</w:t>
      </w:r>
    </w:p>
    <w:p>
      <w:pPr>
        <w:pStyle w:val="ListNumber"/>
      </w:pPr>
      <w:r>
        <w:rPr>
          <w:rFonts w:ascii="Times New Roman" w:hAnsi="Times New Roman" w:eastAsia="Noto Serif CJK SC"/>
          <w:sz w:val="22"/>
        </w:rPr>
        <w:t>概念合并和置信度主要基于启发式规则，置信度尚未经过人工实验校准；</w:t>
      </w:r>
    </w:p>
    <w:p>
      <w:pPr>
        <w:pStyle w:val="ListNumber"/>
      </w:pPr>
      <w:r>
        <w:rPr>
          <w:rFonts w:ascii="Times New Roman" w:hAnsi="Times New Roman" w:eastAsia="Noto Serif CJK SC"/>
          <w:sz w:val="22"/>
        </w:rPr>
        <w:t>语义类别使用关键词判断，边界概念可能被分到不完全准确的类别；</w:t>
      </w:r>
    </w:p>
    <w:p>
      <w:pPr>
        <w:pStyle w:val="ListNumber"/>
      </w:pPr>
      <w:r>
        <w:rPr>
          <w:rFonts w:ascii="Times New Roman" w:hAnsi="Times New Roman" w:eastAsia="Noto Serif CJK SC"/>
          <w:sz w:val="22"/>
        </w:rPr>
        <w:t>图形最初出现在特定故事上下文中，脱离原上下文后未必具有真正通用的意义；</w:t>
      </w:r>
    </w:p>
    <w:p>
      <w:pPr>
        <w:pStyle w:val="ListNumber"/>
      </w:pPr>
      <w:r>
        <w:rPr>
          <w:rFonts w:ascii="Times New Roman" w:hAnsi="Times New Roman" w:eastAsia="Noto Serif CJK SC"/>
          <w:sz w:val="22"/>
        </w:rPr>
        <w:t>AI补译、视觉审稿和观众模拟会受到模型版本、提示词和随机性的影响；</w:t>
      </w:r>
    </w:p>
    <w:p>
      <w:pPr>
        <w:pStyle w:val="ListNumber"/>
      </w:pPr>
      <w:r>
        <w:rPr>
          <w:rFonts w:ascii="Times New Roman" w:hAnsi="Times New Roman" w:eastAsia="Noto Serif CJK SC"/>
          <w:sz w:val="22"/>
        </w:rPr>
        <w:t>视觉模型虽然能够看图，但其判断不能代替真实用户实验；</w:t>
      </w:r>
    </w:p>
    <w:p>
      <w:pPr>
        <w:pStyle w:val="ListNumber"/>
      </w:pPr>
      <w:r>
        <w:rPr>
          <w:rFonts w:ascii="Times New Roman" w:hAnsi="Times New Roman" w:eastAsia="Noto Serif CJK SC"/>
          <w:sz w:val="22"/>
        </w:rPr>
        <w:t>当前系统主要面向本地课堂展示，尚未实现账号、多用户协作和云端部署；</w:t>
      </w:r>
    </w:p>
    <w:p>
      <w:pPr>
        <w:pStyle w:val="ListNumber"/>
      </w:pPr>
      <w:r>
        <w:rPr>
          <w:rFonts w:ascii="Times New Roman" w:hAnsi="Times New Roman" w:eastAsia="Noto Serif CJK SC"/>
          <w:sz w:val="22"/>
        </w:rPr>
        <w:t>API Key虽不写入磁盘，但仍应确保只填写可信模型Endpoint；</w:t>
      </w:r>
    </w:p>
    <w:p>
      <w:pPr>
        <w:pStyle w:val="ListNumber"/>
      </w:pPr>
      <w:r>
        <w:rPr>
          <w:rFonts w:ascii="Times New Roman" w:hAnsi="Times New Roman" w:eastAsia="Noto Serif CJK SC"/>
          <w:sz w:val="22"/>
        </w:rPr>
        <w:t>作品使用《地书》素材和课程标注数据，当前定位为课程学习与非商业展示。</w:t>
      </w:r>
    </w:p>
    <w:p>
      <w:pPr>
        <w:pStyle w:val="Heading1"/>
        <w:keepNext/>
      </w:pPr>
      <w:r>
        <w:rPr>
          <w:rFonts w:ascii="Arial" w:hAnsi="Arial" w:eastAsia="Noto Sans CJK SC"/>
          <w:b/>
          <w:color w:val="1F3864"/>
          <w:sz w:val="32"/>
        </w:rPr>
        <w:t>14. 后续改进方向</w:t>
      </w:r>
    </w:p>
    <w:p>
      <w:pPr>
        <w:pStyle w:val="Heading2"/>
        <w:keepNext/>
      </w:pPr>
      <w:r>
        <w:rPr>
          <w:rFonts w:ascii="Arial" w:hAnsi="Arial" w:eastAsia="Noto Sans CJK SC"/>
          <w:b/>
          <w:color w:val="1F3864"/>
          <w:sz w:val="28"/>
        </w:rPr>
        <w:t>14.1 提升自然语言理解</w:t>
      </w:r>
    </w:p>
    <w:p>
      <w:pPr>
        <w:pStyle w:val="BodyText"/>
      </w:pPr>
      <w:r>
        <w:rPr>
          <w:rFonts w:ascii="Times New Roman" w:hAnsi="Times New Roman" w:eastAsia="Noto Serif CJK SC"/>
          <w:sz w:val="22"/>
        </w:rPr>
        <w:t>引入中文分词、词性标注、依存句法或句向量模型，使系统不只依赖字符串匹配，而能识别否定、时态、施事、受事和事件关系。</w:t>
      </w:r>
    </w:p>
    <w:p>
      <w:pPr>
        <w:pStyle w:val="Heading2"/>
        <w:keepNext/>
      </w:pPr>
      <w:r>
        <w:rPr>
          <w:rFonts w:ascii="Arial" w:hAnsi="Arial" w:eastAsia="Noto Sans CJK SC"/>
          <w:b/>
          <w:color w:val="1F3864"/>
          <w:sz w:val="28"/>
        </w:rPr>
        <w:t>14.2 使用向量检索</w:t>
      </w:r>
    </w:p>
    <w:p>
      <w:pPr>
        <w:pStyle w:val="BodyText"/>
      </w:pPr>
      <w:r>
        <w:rPr>
          <w:rFonts w:ascii="Times New Roman" w:hAnsi="Times New Roman" w:eastAsia="Noto Serif CJK SC"/>
          <w:sz w:val="22"/>
        </w:rPr>
        <w:t>将输入词和概念解释编码为向量，结合当前最长匹配和字符重合度，实现语义相似度检索，改善同义表达和抽象词的匹配。</w:t>
      </w:r>
    </w:p>
    <w:p>
      <w:pPr>
        <w:pStyle w:val="Heading2"/>
        <w:keepNext/>
      </w:pPr>
      <w:r>
        <w:rPr>
          <w:rFonts w:ascii="Arial" w:hAnsi="Arial" w:eastAsia="Noto Sans CJK SC"/>
          <w:b/>
          <w:color w:val="1F3864"/>
          <w:sz w:val="28"/>
        </w:rPr>
        <w:t>14.3 完成LLM概念库整理</w:t>
      </w:r>
    </w:p>
    <w:p>
      <w:pPr>
        <w:pStyle w:val="BodyText"/>
      </w:pPr>
      <w:r>
        <w:rPr>
          <w:rFonts w:ascii="Times New Roman" w:hAnsi="Times New Roman" w:eastAsia="Noto Serif CJK SC"/>
          <w:sz w:val="22"/>
        </w:rPr>
        <w:t>使用已经生成的18个批次，让大模型进一步合并近义概念、删除弱候选、统一解释和误读文本，再由人工审核后生成更稳定的概念索引。</w:t>
      </w:r>
    </w:p>
    <w:p>
      <w:pPr>
        <w:pStyle w:val="Heading2"/>
        <w:keepNext/>
      </w:pPr>
      <w:r>
        <w:rPr>
          <w:rFonts w:ascii="Arial" w:hAnsi="Arial" w:eastAsia="Noto Sans CJK SC"/>
          <w:b/>
          <w:color w:val="1F3864"/>
          <w:sz w:val="28"/>
        </w:rPr>
        <w:t>14.4 增加真实观众实验</w:t>
      </w:r>
    </w:p>
    <w:p>
      <w:pPr>
        <w:pStyle w:val="BodyText"/>
      </w:pPr>
      <w:r>
        <w:rPr>
          <w:rFonts w:ascii="Times New Roman" w:hAnsi="Times New Roman" w:eastAsia="Noto Serif CJK SC"/>
          <w:sz w:val="22"/>
        </w:rPr>
        <w:t>邀请不同专业、不同母语背景的用户在不知道原句的情况下阅读图形序列，统计理解一致率、误读类型和平均阅读时间，并与AI观众模拟结果比较。</w:t>
      </w:r>
    </w:p>
    <w:p>
      <w:pPr>
        <w:pStyle w:val="Heading2"/>
        <w:keepNext/>
      </w:pPr>
      <w:r>
        <w:rPr>
          <w:rFonts w:ascii="Arial" w:hAnsi="Arial" w:eastAsia="Noto Sans CJK SC"/>
          <w:b/>
          <w:color w:val="1F3864"/>
          <w:sz w:val="28"/>
        </w:rPr>
        <w:t>14.5 建立更可靠的评价指标</w:t>
      </w:r>
    </w:p>
    <w:p>
      <w:pPr>
        <w:pStyle w:val="BodyText"/>
      </w:pPr>
      <w:r>
        <w:rPr>
          <w:rFonts w:ascii="Times New Roman" w:hAnsi="Times New Roman" w:eastAsia="Noto Serif CJK SC"/>
          <w:sz w:val="22"/>
        </w:rPr>
        <w:t>可增加图形覆盖率、原句与回译的语义相似度、人工可理解率、图形候选一致率、人工与AI审稿一致率，以及不同观众之间的解释一致性。</w:t>
      </w:r>
    </w:p>
    <w:p>
      <w:pPr>
        <w:pStyle w:val="Heading2"/>
        <w:keepNext/>
      </w:pPr>
      <w:r>
        <w:rPr>
          <w:rFonts w:ascii="Arial" w:hAnsi="Arial" w:eastAsia="Noto Sans CJK SC"/>
          <w:b/>
          <w:color w:val="1F3864"/>
          <w:sz w:val="28"/>
        </w:rPr>
        <w:t>14.6 增强作品输出</w:t>
      </w:r>
    </w:p>
    <w:p>
      <w:pPr>
        <w:pStyle w:val="BodyText"/>
      </w:pPr>
      <w:r>
        <w:rPr>
          <w:rFonts w:ascii="Times New Roman" w:hAnsi="Times New Roman" w:eastAsia="Noto Serif CJK SC"/>
          <w:sz w:val="22"/>
        </w:rPr>
        <w:t>增加高清图片、长图、PDF、GIF或视频导出，使用户能够把一次翻译直接保存为独立视觉作品；也可增加图形拖拽编排、声音、节奏和投影展示模式。</w:t>
      </w:r>
    </w:p>
    <w:p>
      <w:pPr>
        <w:pStyle w:val="Heading2"/>
        <w:keepNext/>
      </w:pPr>
      <w:r>
        <w:rPr>
          <w:rFonts w:ascii="Arial" w:hAnsi="Arial" w:eastAsia="Noto Sans CJK SC"/>
          <w:b/>
          <w:color w:val="1F3864"/>
          <w:sz w:val="28"/>
        </w:rPr>
        <w:t>14.7 多语言扩展</w:t>
      </w:r>
    </w:p>
    <w:p>
      <w:pPr>
        <w:pStyle w:val="BodyText"/>
      </w:pPr>
      <w:r>
        <w:rPr>
          <w:rFonts w:ascii="Times New Roman" w:hAnsi="Times New Roman" w:eastAsia="Noto Serif CJK SC"/>
          <w:sz w:val="22"/>
        </w:rPr>
        <w:t>将中文输入扩展为英语、日语等语言，研究不同自然语言经过同一图形系统后，是否会收敛到相似的图形概念链。</w:t>
      </w:r>
    </w:p>
    <w:p>
      <w:pPr>
        <w:pStyle w:val="Heading1"/>
        <w:keepNext/>
      </w:pPr>
      <w:r>
        <w:rPr>
          <w:rFonts w:ascii="Arial" w:hAnsi="Arial" w:eastAsia="Noto Sans CJK SC"/>
          <w:b/>
          <w:color w:val="1F3864"/>
          <w:sz w:val="32"/>
        </w:rPr>
        <w:t>15. 总结</w:t>
      </w:r>
    </w:p>
    <w:p>
      <w:pPr>
        <w:pStyle w:val="BodyText"/>
      </w:pPr>
      <w:r>
        <w:rPr>
          <w:rFonts w:ascii="Times New Roman" w:hAnsi="Times New Roman" w:eastAsia="Noto Serif CJK SC"/>
          <w:sz w:val="22"/>
        </w:rPr>
        <w:t>《地书翻译机》以课程提供的《地书》图形素材和人工标注数据为基础，通过数据规范化、概念抽取、候选评分和最长匹配，建立了一个可离线运行的自然语言—图形语言翻译系统。在此基础上，作品又加入了图形动画、双向回译、语义地图、语义漂移可视化和作品卡片，将翻译结果从普通工具输出转化为具有展示度的交互作品。</w:t>
      </w:r>
    </w:p>
    <w:p>
      <w:pPr>
        <w:pStyle w:val="BodyText"/>
      </w:pPr>
      <w:r>
        <w:rPr>
          <w:rFonts w:ascii="Times New Roman" w:hAnsi="Times New Roman" w:eastAsia="Noto Serif CJK SC"/>
          <w:sz w:val="22"/>
        </w:rPr>
        <w:t>大模型在项目中承担了明确且不同的职责：文本模型帮助解决词典覆盖不足，视觉模型检查图形是否真的表达目标含义，观众模拟模型则在不知道原句的情况下测试图形序列的可读性。所有AI结果都受到本地候选约束、JSON格式约束和人工确认机制控制。</w:t>
      </w:r>
    </w:p>
    <w:p>
      <w:pPr>
        <w:pStyle w:val="BodyText"/>
      </w:pPr>
      <w:r>
        <w:rPr>
          <w:rFonts w:ascii="Times New Roman" w:hAnsi="Times New Roman" w:eastAsia="Noto Serif CJK SC"/>
          <w:sz w:val="22"/>
        </w:rPr>
        <w:t>本作品最终呈现的不是一个关于“图形翻译已经被解决”的结论，而是一种观察语言边界的方法。它让用户亲自看到：意义从文字进入图形后，可能被保留，也可能被压缩、借用或误读；而这种不可完全消除的漂移，正是图形语言作为艺术与交流媒介最值得讨论的部分。</w:t>
      </w:r>
    </w:p>
    <w:p>
      <w:r>
        <w:rPr>
          <w:rFonts w:ascii="Times New Roman" w:hAnsi="Times New Roman" w:eastAsia="Noto Serif CJK SC"/>
          <w:sz w:val="22"/>
        </w:rPr>
        <w:br w:type="page"/>
      </w:r>
    </w:p>
    <w:p>
      <w:pPr>
        <w:pStyle w:val="Heading1"/>
        <w:keepNext/>
      </w:pPr>
      <w:r>
        <w:rPr>
          <w:rFonts w:ascii="Arial" w:hAnsi="Arial" w:eastAsia="Noto Sans CJK SC"/>
          <w:b/>
          <w:color w:val="1F3864"/>
          <w:sz w:val="32"/>
        </w:rPr>
        <w:t>附录：主要文件说明</w:t>
      </w:r>
    </w:p>
    <w:tbl>
      <w:tblPr>
        <w:tblStyle w:val="TableGrid"/>
        <w:tblW w:type="auto" w:w="0"/>
        <w:jc w:val="center"/>
        <w:tblLook w:firstColumn="1" w:firstRow="1" w:lastColumn="0" w:lastRow="0" w:noHBand="0" w:noVBand="1" w:val="04A0"/>
      </w:tblPr>
      <w:tblGrid>
        <w:gridCol w:w="4479"/>
        <w:gridCol w:w="4479"/>
      </w:tblGrid>
      <w:tr>
        <w:tc>
          <w:tcPr>
            <w:tcW w:type="dxa" w:w="4252"/>
            <w:vAlign w:val="center"/>
            <w:shd w:fill="DCE6F1"/>
            <w:tcMar>
              <w:top w:w="90" w:type="dxa"/>
              <w:start w:w="100" w:type="dxa"/>
              <w:bottom w:w="90" w:type="dxa"/>
              <w:end w:w="100" w:type="dxa"/>
            </w:tcMar>
          </w:tcPr>
          <w:p>
            <w:pPr>
              <w:jc w:val="center"/>
            </w:pPr>
            <w:r>
              <w:rPr>
                <w:rFonts w:ascii="Times New Roman" w:hAnsi="Times New Roman" w:eastAsia="Noto Sans CJK SC"/>
                <w:b/>
                <w:sz w:val="21"/>
              </w:rPr>
              <w:t>文件或目录</w:t>
            </w:r>
          </w:p>
        </w:tc>
        <w:tc>
          <w:tcPr>
            <w:tcW w:type="dxa" w:w="3969"/>
            <w:vAlign w:val="center"/>
            <w:shd w:fill="DCE6F1"/>
            <w:tcMar>
              <w:top w:w="90" w:type="dxa"/>
              <w:start w:w="100" w:type="dxa"/>
              <w:bottom w:w="90" w:type="dxa"/>
              <w:end w:w="100" w:type="dxa"/>
            </w:tcMar>
          </w:tcPr>
          <w:p>
            <w:pPr>
              <w:jc w:val="center"/>
            </w:pPr>
            <w:r>
              <w:rPr>
                <w:rFonts w:ascii="Times New Roman" w:hAnsi="Times New Roman" w:eastAsia="Noto Sans CJK SC"/>
                <w:b/>
                <w:sz w:val="21"/>
              </w:rPr>
              <w:t>作用</w:t>
            </w:r>
          </w:p>
        </w:tc>
      </w:tr>
      <w:tr>
        <w:tc>
          <w:tcPr>
            <w:tcW w:type="dxa" w:w="425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dishu-translator/index.html</w:t>
            </w:r>
          </w:p>
        </w:tc>
        <w:tc>
          <w:tcPr>
            <w:tcW w:type="dxa" w:w="3969"/>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页面结构和各功能区</w:t>
            </w:r>
          </w:p>
        </w:tc>
      </w:tr>
      <w:tr>
        <w:tc>
          <w:tcPr>
            <w:tcW w:type="dxa" w:w="425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dishu-translator/styles.css</w:t>
            </w:r>
          </w:p>
        </w:tc>
        <w:tc>
          <w:tcPr>
            <w:tcW w:type="dxa" w:w="3969"/>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视觉设计、动画和响应式布局</w:t>
            </w:r>
          </w:p>
        </w:tc>
      </w:tr>
      <w:tr>
        <w:tc>
          <w:tcPr>
            <w:tcW w:type="dxa" w:w="425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dishu-translator/app.js</w:t>
            </w:r>
          </w:p>
        </w:tc>
        <w:tc>
          <w:tcPr>
            <w:tcW w:type="dxa" w:w="3969"/>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本地翻译、回译、语义漂移和AI交互逻辑</w:t>
            </w:r>
          </w:p>
        </w:tc>
      </w:tr>
      <w:tr>
        <w:tc>
          <w:tcPr>
            <w:tcW w:type="dxa" w:w="425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dishu-translator/server.js</w:t>
            </w:r>
          </w:p>
        </w:tc>
        <w:tc>
          <w:tcPr>
            <w:tcW w:type="dxa" w:w="3969"/>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静态服务和三类AI接口代理</w:t>
            </w:r>
          </w:p>
        </w:tc>
      </w:tr>
      <w:tr>
        <w:tc>
          <w:tcPr>
            <w:tcW w:type="dxa" w:w="425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scripts/build_translator_data.py</w:t>
            </w:r>
          </w:p>
        </w:tc>
        <w:tc>
          <w:tcPr>
            <w:tcW w:type="dxa" w:w="3969"/>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标注数据清洗、概念抽取和索引生成</w:t>
            </w:r>
          </w:p>
        </w:tc>
      </w:tr>
      <w:tr>
        <w:tc>
          <w:tcPr>
            <w:tcW w:type="dxa" w:w="425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data/translator/concept_index.json/js</w:t>
            </w:r>
          </w:p>
        </w:tc>
        <w:tc>
          <w:tcPr>
            <w:tcW w:type="dxa" w:w="3969"/>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260个作品概念及候选图形</w:t>
            </w:r>
          </w:p>
        </w:tc>
      </w:tr>
      <w:tr>
        <w:tc>
          <w:tcPr>
            <w:tcW w:type="dxa" w:w="425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data/translator/examples.json/js</w:t>
            </w:r>
          </w:p>
        </w:tc>
        <w:tc>
          <w:tcPr>
            <w:tcW w:type="dxa" w:w="3969"/>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10条精选示例</w:t>
            </w:r>
          </w:p>
        </w:tc>
      </w:tr>
      <w:tr>
        <w:tc>
          <w:tcPr>
            <w:tcW w:type="dxa" w:w="425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data/translator/llm_batches/</w:t>
            </w:r>
          </w:p>
        </w:tc>
        <w:tc>
          <w:tcPr>
            <w:tcW w:type="dxa" w:w="3969"/>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用于大模型整理候选概念的批次文件</w:t>
            </w:r>
          </w:p>
        </w:tc>
      </w:tr>
      <w:tr>
        <w:tc>
          <w:tcPr>
            <w:tcW w:type="dxa" w:w="4252"/>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data/translator/build_summary.json</w:t>
            </w:r>
          </w:p>
        </w:tc>
        <w:tc>
          <w:tcPr>
            <w:tcW w:type="dxa" w:w="3969"/>
            <w:vAlign w:val="center"/>
            <w:tcMar>
              <w:top w:w="90" w:type="dxa"/>
              <w:start w:w="100" w:type="dxa"/>
              <w:bottom w:w="90" w:type="dxa"/>
              <w:end w:w="100" w:type="dxa"/>
            </w:tcMar>
          </w:tcPr>
          <w:p>
            <w:pPr>
              <w:spacing w:after="0" w:line="276" w:lineRule="auto"/>
              <w:ind w:firstLine="0"/>
            </w:pPr>
            <w:r>
              <w:rPr>
                <w:rFonts w:ascii="Times New Roman" w:hAnsi="Times New Roman" w:eastAsia="Noto Serif CJK SC"/>
                <w:sz w:val="20"/>
              </w:rPr>
              <w:t>数据构建统计</w:t>
            </w:r>
          </w:p>
        </w:tc>
      </w:tr>
    </w:tbl>
    <w:p/>
    <w:sectPr w:rsidR="00FC693F" w:rsidRPr="0006063C" w:rsidSect="00034616">
      <w:headerReference w:type="default" r:id="rId9"/>
      <w:footerReference w:type="default" r:id="rId10"/>
      <w:pgSz w:w="11906" w:h="16838"/>
      <w:pgMar w:top="1417" w:right="1417" w:bottom="1304" w:left="1531"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Noto Sans CJK SC"/>
        <w:color w:val="5A5A5A"/>
        <w:sz w:val="18"/>
      </w:rPr>
      <w:t>自然语言处理2026春夏课程项目技术报告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Noto Serif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w:hAnsi="Arial" w:eastAsia="Noto Sans CJK SC"/>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180" w:after="120"/>
      <w:ind w:firstLine="0"/>
      <w:outlineLvl w:val="1"/>
    </w:pPr>
    <w:rPr>
      <w:rFonts w:asciiTheme="majorHAnsi" w:eastAsiaTheme="majorEastAsia" w:hAnsiTheme="majorHAnsi" w:cstheme="majorBidi" w:ascii="Arial" w:hAnsi="Arial" w:eastAsia="Noto Sans CJK SC"/>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180" w:after="120"/>
      <w:ind w:firstLine="0"/>
      <w:outlineLvl w:val="2"/>
    </w:pPr>
    <w:rPr>
      <w:rFonts w:asciiTheme="majorHAnsi" w:eastAsiaTheme="majorEastAsia" w:hAnsiTheme="majorHAnsi" w:cstheme="majorBidi" w:ascii="Arial" w:hAnsi="Arial" w:eastAsia="Noto Sans CJK SC"/>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60" w:lineRule="auto"/>
      <w:ind w:firstLine="420"/>
    </w:pPr>
    <w:rPr>
      <w:rFonts w:ascii="Times New Roman" w:hAnsi="Times New Roman" w:eastAsia="Noto Serif CJK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24" w:lineRule="auto" w:after="60"/>
      <w:contextualSpacing/>
    </w:pPr>
    <w:rPr>
      <w:rFonts w:ascii="Times New Roman" w:hAnsi="Times New Roman" w:eastAsia="Noto Serif CJK SC"/>
      <w:sz w:val="22"/>
    </w:rPr>
  </w:style>
  <w:style w:type="paragraph" w:styleId="ListBullet2">
    <w:name w:val="List Bullet 2"/>
    <w:basedOn w:val="Normal"/>
    <w:uiPriority w:val="99"/>
    <w:unhideWhenUsed/>
    <w:rsid w:val="00326F90"/>
    <w:pPr>
      <w:numPr>
        <w:numId w:val="2"/>
      </w:numPr>
      <w:spacing w:line="324" w:lineRule="auto" w:after="60"/>
      <w:contextualSpacing/>
    </w:pPr>
    <w:rPr>
      <w:rFonts w:ascii="Times New Roman" w:hAnsi="Times New Roman" w:eastAsia="Noto Serif CJK SC"/>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24" w:lineRule="auto" w:after="60"/>
      <w:contextualSpacing/>
    </w:pPr>
    <w:rPr>
      <w:rFonts w:ascii="Times New Roman" w:hAnsi="Times New Roman" w:eastAsia="Noto Serif CJK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76" w:lineRule="auto"/>
      <w:ind w:left="397" w:right="397"/>
    </w:pPr>
    <w:rPr>
      <w:rFonts w:ascii="Noto Sans Mono CJK SC" w:hAnsi="Noto Sans Mono CJK SC" w:eastAsia="Noto Sans Mono CJK SC"/>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ugenstern1-star/NLP/tree/main/dishu-transl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《地书翻译机》技术报告</dc:title>
  <dc:subject>自然语言处理2026春夏分组项目主题二</dc:subject>
  <dc:creator>项目组（待填写）</dc:creator>
  <cp:keywords>地书, 图形语言, NLP, 大语言模型, 语义漂移</cp:keywords>
  <dc:description>由Notion技术报告整理为Word文档。</dc:description>
  <cp:lastModifiedBy/>
  <cp:revision>1</cp:revision>
  <dcterms:created xsi:type="dcterms:W3CDTF">2013-12-23T23:15:00Z</dcterms:created>
  <dcterms:modified xsi:type="dcterms:W3CDTF">2013-12-23T23:15:00Z</dcterms:modified>
  <cp:category/>
</cp:coreProperties>
</file>