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Data Collection Plan for BSE</w:t>
      </w:r>
      <w:r>
        <w:rPr>
          <w:b/>
        </w:rPr>
        <w:t xml:space="preserve">22 -13 </w:t>
      </w:r>
    </w:p>
    <w:tbl>
      <w:tblPr>
        <w:tblW w:w="1053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4771"/>
        <w:gridCol w:w="5130"/>
      </w:tblGrid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Group Number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rFonts w:ascii="Times New Roman" w:hAnsi="Times New Roman"/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BSE22-13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b/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>Augmented and Automated Insurance Underwriting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Objectives of data collection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To determine </w:t>
            </w:r>
            <w:r>
              <w:rPr/>
              <w:t xml:space="preserve">a broad view </w:t>
            </w:r>
            <w:r>
              <w:rPr/>
              <w:t>on the use of/</w:t>
            </w:r>
            <w:r>
              <w:rPr/>
              <w:t xml:space="preserve"> interest in automated underwriting, why </w:t>
            </w:r>
            <w:r>
              <w:rPr/>
              <w:t>choose such a system</w:t>
            </w:r>
            <w:r>
              <w:rPr/>
              <w:t xml:space="preserve"> and the level of satisfaction </w:t>
            </w:r>
            <w:r>
              <w:rPr/>
              <w:t>for using such a system</w:t>
            </w:r>
            <w:r>
              <w:rPr/>
              <w:t>.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Organization/ community to collect data from. Give reason why the organization was selected</w:t>
            </w:r>
            <w:bookmarkStart w:id="0" w:name="_GoBack"/>
            <w:bookmarkEnd w:id="0"/>
            <w:r>
              <w:rPr/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1. </w:t>
            </w:r>
            <w:r>
              <w:rPr>
                <w:b/>
                <w:bCs/>
              </w:rPr>
              <w:t xml:space="preserve">Sanlam Insurance </w:t>
            </w:r>
            <w:r>
              <w:rPr/>
              <w:t>– It’s Accessibility and it is in line with the type of product we want to research about [ Life and Health Insurance ]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2. </w:t>
            </w:r>
            <w:r>
              <w:rPr>
                <w:b/>
                <w:bCs/>
              </w:rPr>
              <w:t xml:space="preserve">Kaggle </w:t>
            </w:r>
            <w:r>
              <w:rPr/>
              <w:t>– Because it has a large collection of datasets that have data about insurance Underwriting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Category of respondents to collect data from. Reasons why the categories were selected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b/>
                <w:bCs/>
              </w:rPr>
              <w:t>Insurance Underwriters</w:t>
            </w:r>
            <w:r>
              <w:rPr/>
              <w:t xml:space="preserve"> – representatives were selected on the basis of their knowledge of the company’s automated underwriting process. These individuals were primarily underwriters, but actuaries, claims managers, and other personnel also </w:t>
            </w:r>
            <w:r>
              <w:rPr/>
              <w:t>can participate in the i</w:t>
            </w:r>
            <w:r>
              <w:rPr/>
              <w:t>nterview.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b/>
                <w:bCs/>
              </w:rPr>
              <w:t>Users (insureds)</w:t>
            </w:r>
            <w:r>
              <w:rPr/>
              <w:t xml:space="preserve"> – They are the end product of the intented system.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Data collection methods to be used. Give reasons for your choices. See </w:t>
            </w:r>
            <w:r>
              <w:fldChar w:fldCharType="begin"/>
            </w:r>
            <w:r>
              <w:rPr>
                <w:rStyle w:val="InternetLink"/>
              </w:rPr>
              <w:instrText> HYPERLINK "https://www.scribbr.com/methodology/data-collection/" \l "step-2-choose-your-data-collection-method"</w:instrText>
            </w:r>
            <w:r>
              <w:rPr>
                <w:rStyle w:val="InternetLink"/>
              </w:rPr>
              <w:fldChar w:fldCharType="separate"/>
            </w:r>
            <w:r>
              <w:rPr>
                <w:rStyle w:val="InternetLink"/>
              </w:rPr>
              <w:t>https://www.scribbr.com/methodology/data-collection/#step-2-choose-your-data-collection-method</w:t>
            </w:r>
            <w:r>
              <w:rPr>
                <w:rStyle w:val="InternetLink"/>
              </w:rPr>
              <w:fldChar w:fldCharType="end"/>
            </w:r>
            <w:r>
              <w:rPr/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b/>
                <w:bCs/>
              </w:rPr>
              <w:t>Interview</w:t>
            </w:r>
            <w:r>
              <w:rPr/>
              <w:t xml:space="preserve"> – </w:t>
            </w:r>
            <w:r>
              <w:rPr/>
              <w:t xml:space="preserve">Interviews provide the best method of developing a deeper understanding of </w:t>
            </w:r>
            <w:r>
              <w:rPr>
                <w:sz w:val="24"/>
              </w:rPr>
              <w:t>subject matter (Automated Underwriting</w:t>
            </w:r>
            <w:r>
              <w:rPr/>
              <w:t xml:space="preserve"> </w:t>
            </w:r>
            <w:r>
              <w:rPr/>
              <w:t>)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Survey – </w:t>
            </w:r>
            <w:r>
              <w:rPr>
                <w:b w:val="false"/>
                <w:bCs w:val="false"/>
              </w:rPr>
              <w:t>using google forms (Questionnaires) to know what people think about insurance underwriting and how it can be improved through automation.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b/>
                <w:bCs/>
                <w:sz w:val="24"/>
              </w:rPr>
              <w:t>Secondary Data Collection</w:t>
            </w:r>
            <w:r>
              <w:rPr/>
              <w:t xml:space="preserve"> – We need to study existing datasets on insurance and know the variables that are used to determine eligibility for a certain insurance policy.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b/>
                <w:bCs/>
              </w:rPr>
              <w:t>Chosen Dataset</w:t>
            </w:r>
            <w:r>
              <w:rPr/>
              <w:t xml:space="preserve"> is </w:t>
            </w:r>
            <w:hyperlink r:id="rId2">
              <w:r>
                <w:rPr>
                  <w:rStyle w:val="InternetLink"/>
                </w:rPr>
                <w:t>Prudential Life Insurance Dataset on Kaggle</w:t>
              </w:r>
            </w:hyperlink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Sample sizes of the respondents per type of method to use.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3</w:t>
            </w:r>
            <w:r>
              <w:rPr/>
              <w:t>0 – insurance underwriters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2</w:t>
            </w:r>
            <w:r>
              <w:rPr/>
              <w:t>0 - users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Data collection administration methods. Reason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Interviews, Questionnaires, literature reviews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Will you do any pilot for your data collection tools? Which category of people will you use?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Yes, Insurance Underwriters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Will you need an introductory letter from the department?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Yes.</w:t>
            </w:r>
          </w:p>
        </w:tc>
      </w:tr>
      <w:tr>
        <w:trPr>
          <w:trHeight w:val="1532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What kinds of data do you plan to collect and to what relevance will it be to the design of your system?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- Parameters that are used to asses risk for a particular insurance application.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- The process of underwriting.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Do you plan to return with some records from the data collection process? If so, which ones?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- A recording from an Interview,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- Notes from interview/focus groups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- 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How do you intend to analyse the data?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Read this 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hyperlink r:id="rId3">
              <w:r>
                <w:rPr>
                  <w:rStyle w:val="InternetLink"/>
                </w:rPr>
                <w:t>https://sixsigmastudyguide.com/types-of-data/</w:t>
              </w:r>
            </w:hyperlink>
            <w:r>
              <w:rPr/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Exploratory Data Analysis using </w:t>
            </w:r>
            <w:r>
              <w:rPr/>
              <w:t>Visual Analytic [ bar charts, heat-maps, correlation tables e.t.c.]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 </w:t>
            </w:r>
            <w:r>
              <w:rPr/>
              <w:t>Encoding data and attaching weights in order to determine to quantify the data and get relationships between the different variables.</w:t>
            </w:r>
          </w:p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Artefacts to bring from the field (eg. Recordings (</w:t>
            </w:r>
            <w:r>
              <w:rPr>
                <w:b/>
                <w:color w:val="FF0000"/>
              </w:rPr>
              <w:t>Ask for permission if you want to record</w:t>
            </w:r>
            <w:r>
              <w:rPr/>
              <w:t>), images, receipts, registration forms etc)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- </w:t>
            </w:r>
            <w:r>
              <w:rPr/>
              <w:t>Recording, Notes, Dataset, filled Forms.</w:t>
            </w:r>
          </w:p>
        </w:tc>
      </w:tr>
    </w:tbl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sectPr>
      <w:type w:val="nextPage"/>
      <w:pgSz w:w="12240" w:h="15840"/>
      <w:pgMar w:left="81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/>
      <w:color w:val="auto"/>
      <w:kern w:val="0"/>
      <w:sz w:val="24"/>
      <w:szCs w:val="22"/>
      <w:lang w:val="en-US" w:eastAsia="en-US" w:bidi="ar-SA"/>
    </w:rPr>
  </w:style>
  <w:style w:type="paragraph" w:styleId="Heading4">
    <w:name w:val="Heading 4"/>
    <w:basedOn w:val="Normal"/>
    <w:qFormat/>
    <w:pPr>
      <w:numPr>
        <w:ilvl w:val="0"/>
        <w:numId w:val="0"/>
      </w:numPr>
      <w:spacing w:lineRule="auto" w:line="240" w:before="280" w:after="280"/>
      <w:outlineLvl w:val="3"/>
    </w:pPr>
    <w:rPr>
      <w:rFonts w:eastAsia="Times New Roman" w:cs="Times New Roman"/>
      <w:b/>
      <w:bCs/>
      <w:szCs w:val="24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eastAsia="Times New Roman" w:cs="Times New Roman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prudential-life-insurance-assessment/data" TargetMode="External"/><Relationship Id="rId3" Type="http://schemas.openxmlformats.org/officeDocument/2006/relationships/hyperlink" Target="https://sixsigmastudyguide.com/types-of-dat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LibreOffice/6.4.7.2$Linux_X86_64 LibreOffice_project/40$Build-2</Application>
  <Pages>2</Pages>
  <Words>458</Words>
  <Characters>2573</Characters>
  <CharactersWithSpaces>2995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2022-02-28T09:58:00Z</dcterms:created>
  <dc:creator>Mary Nsabagwa</dc:creator>
  <dc:description/>
  <dc:language>en-US</dc:language>
  <cp:lastModifiedBy/>
  <dcterms:modified xsi:type="dcterms:W3CDTF">2022-02-28T16:42:10Z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