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i w:val="0"/>
          <w:sz w:val="28"/>
        </w:rPr>
        <w:t>2026 年度中国青年科技创新“揭榜挂帅”擂台赛 · 阿里云榜题</w:t>
      </w:r>
    </w:p>
    <w:p>
      <w:pPr>
        <w:jc w:val="center"/>
      </w:pPr>
      <w:r>
        <w:rPr>
          <w:rFonts w:ascii="宋体" w:hAnsi="宋体" w:eastAsia="宋体"/>
          <w:b/>
          <w:i w:val="0"/>
          <w:color w:val="000000"/>
          <w:sz w:val="26"/>
        </w:rPr>
        <w:t>方向 1A｜科学假设生成与研究计划设计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808080"/>
          <w:sz w:val="21"/>
        </w:rPr>
        <w:t>赛道一·科学发现｜题目编号：XH-202619｜依据：阿里云赛事官网</w:t>
      </w:r>
    </w:p>
    <w:p/>
    <w:p>
      <w:pPr>
        <w:jc w:val="center"/>
      </w:pPr>
      <w:r>
        <w:rPr>
          <w:rFonts w:ascii="宋体" w:hAnsi="宋体" w:eastAsia="宋体"/>
          <w:b/>
          <w:i w:val="0"/>
          <w:sz w:val="44"/>
        </w:rPr>
        <w:t>参赛作品技术方案</w:t>
      </w:r>
    </w:p>
    <w:p>
      <w:pPr>
        <w:jc w:val="center"/>
      </w:pPr>
      <w:r>
        <w:rPr>
          <w:rFonts w:ascii="宋体" w:hAnsi="宋体" w:eastAsia="宋体"/>
          <w:b/>
          <w:i w:val="0"/>
          <w:color w:val="000000"/>
          <w:sz w:val="32"/>
        </w:rPr>
        <w:t>基于国产开源大模型的 AI Scientist 的研发与应用</w:t>
      </w:r>
    </w:p>
    <w:p/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2"/>
        </w:rPr>
        <w:t>参赛学校：浙江万里学院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2"/>
        </w:rPr>
        <w:t>团队负责人：吴浩瑜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2"/>
        </w:rPr>
        <w:t>提交日期：2026 年 9 月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2"/>
        </w:rPr>
        <w:t>（说明：本稿件填写已确认内容；两轮案例数据、125 题统计、团队盖章报名表截图及部分图以【待补充】标示。）</w:t>
      </w:r>
    </w:p>
    <w:p>
      <w:r>
        <w:br w:type="page"/>
      </w:r>
    </w:p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P1｜作品信息与核心结果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参赛团队信息 / 成员信息</w:t>
      </w:r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【待补充：插入盖章版报名表第 1、2 页截图】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作品基本信息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0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字段</w:t>
            </w:r>
          </w:p>
        </w:tc>
        <w:tc>
          <w:tcPr>
            <w:tcW w:type="dxa" w:w="594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挑战杯系统报名时参赛作品名称（必填）</w:t>
            </w:r>
          </w:p>
        </w:tc>
        <w:tc>
          <w:tcPr>
            <w:tcW w:type="dxa" w:w="59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基于国产开源大模型的 AI Scientist 的研发与应用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最终参赛作品名称（如有更新可备注）</w:t>
            </w:r>
          </w:p>
        </w:tc>
        <w:tc>
          <w:tcPr>
            <w:tcW w:type="dxa" w:w="59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基于国产开源大模型的 AI Scientist 的研发与应用（通用领域科学假设生成与科研计划设计）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参赛选题（必填-赛道几第几个方向选题）</w:t>
            </w:r>
          </w:p>
        </w:tc>
        <w:tc>
          <w:tcPr>
            <w:tcW w:type="dxa" w:w="59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赛道一-科学发现-方向1A-科学假设生成与研究计划设计（XH-202619）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参赛作品简介（300字内）</w:t>
            </w:r>
          </w:p>
        </w:tc>
        <w:tc>
          <w:tcPr>
            <w:tcW w:type="dxa" w:w="59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本作品构建面向通用科研领域的多智能体 AI Scientist：接收自然语言科研问题及可选 PDF/CSV/图表证据，经八 Agent 闭环（问题理解→证据组织→知识缺口→候选假设→比较筛选→研究计划→反馈修订）输出 10 字段《科学假设与研究计划》。基于千问 Qwen 系列与阿里云百炼平台，采用四库 RAG 与引用白名单防幻觉，引用可追溯、假设可证伪、计划可复现。代表案例覆盖存储、生物、农业等方向的迁移能力。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参赛作品使用Qwen大模型及AI技术说明（300字内）</w:t>
            </w:r>
          </w:p>
        </w:tc>
        <w:tc>
          <w:tcPr>
            <w:tcW w:type="dxa" w:w="59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基座模型为千问 Qwen-Max/Plus/Turbo，经阿里云百炼平台 OpenAI 兼容 API 调用。以 LangChain4j 编排八 Agent 有向无环图，每个 Agent 独立 System Prompt 与 JSON Schema。Qwen 承担问题拆解、跨论文比较、候选假设生成、多维评分、实验方案设计、倡议/质疑辩论与最终报告撰写；重任务用 Qwen-Max，轻任务用 Qwen-Plus/Turbo。通过四库 RAG（论文/方法/数据集/证据）+ 混合检索增强上下文，以 DOI/PMID/URL 白名单反向核验引用规避虚构。</w:t>
            </w:r>
          </w:p>
        </w:tc>
      </w:tr>
      <w:tr>
        <w:tc>
          <w:tcPr>
            <w:tcW w:type="dxa" w:w="270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宣传视频链接/其他作品相关文件（没有的可忽略）链接</w:t>
            </w:r>
          </w:p>
        </w:tc>
        <w:tc>
          <w:tcPr>
            <w:tcW w:type="dxa" w:w="594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【待补充：上传至夸克网盘并粘贴分享链接】</w:t>
            </w:r>
          </w:p>
        </w:tc>
      </w:tr>
    </w:tbl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本作品核心主张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本作品针对的具体问题：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现有科研流程中，研究者需在海量论文、实验记录与跨学科方法之间反复检索、比较与推演，才能形成兼具创新性与可验证性的研究假设。通用对话模型虽能生成流畅文本，但存在事实依据不明、引用失真、推理不可追踪、实验方案难落地等缺陷。本作品针对「如何让大模型在证据边界内生成可证伪、可验证的科学假设与研究计划」这一核心问题，构建受证据约束的多智能体闭环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本作品实际完成的核心方法：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构建八 Agent 串并联 DAG 管线（①问题理解→②文献检索∥③知识发现→④假设生成→[人在回路]→⑤评估→⑥实验设计→⑦思辨辩论→⑧报告生成）；四库 RAG（论文/方法/数据集/证据）混合检索形成可追溯证据链；引用白名单反向核验防虚构；多模态科学数据统一为证据对象；结构化状态总线与 10 字段输出契约；人在回路暂停与反馈修订机制。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最有代表性的结果 1（对象、口径、结果）：</w:t>
      </w:r>
      <w:r/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【待补充：如代表案例（SSD 垃圾回收）在特定负载下 WAF/尾延迟的预期改善区间，或系统级指标——引用核验准确率/处理率等】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最有代表性的结果 2（对象、口径、结果）：</w:t>
      </w:r>
      <w:r/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【待补充：如官方 125 题逐题输出结果统计，或与单一大模型直接回答的对照结论】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目前仍存在的主要局限：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系统输出的候选假设与研究计划仍属「科学建议」，需领域研究者进一步人工核验与实验验证，不能等同于已获得科学发现；四库灌库规模与领域覆盖有待扩充；不同学科的知识库与提示词需按领域替换，跨学科迁移的自动化程度受限于知识库内容；部分外部文献接口在弱网下可能降级；最终结论的可靠性高度依赖输入证据的质量与完整性。</w:t>
      </w:r>
    </w:p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P2｜作品目标与实际完成内容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团队实际解决的问题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现有科学文献与数据呈指数增长，研究者依赖人工检索与经验判断，难以系统梳理跨文献研究空白、量化候选假设的可证伪性并规划可复核的研究路径。通用大模型可生成流畅论述，却缺乏对证据来源的强制约束、对假设可检验性的判定以及把想法落地为可执行实验方案的能力。本作品聚焦解决其中三项：①如何在证据边界内生成可追溯的科学假设（避免虚构引用与无据推断）；②如何对候选假设进行结构化核验、比较与筛选（相关性、证据一致性、可检验性、可证伪性、多样性）；③如何把选定假设转化为具体、可复核的研究计划（含基线、指标、数据、步骤与停止/回退条件）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本作品实际完成的工作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本作品已实现从「科学问题输入」到「10 字段研究计划输出」的全链路闭环：①问题理解 Agent 将自然语言问题拆解为领域标签、关键概念、已知条件与目标变量等结构化子查询；②文献检索 Agent 按子查询在论文/证据库混合检索并提炼关键发现与引用链；③知识发现 Agent 做逐篇证据提取、跨论文比较与 Research Gap 排序；④假设生成 Agent 从知识缺口生成 3–5 个可区分、可证伪候选假设；[人在回路暂停点]人类导师可审阅修改；⑤评估 Agent 多维度评分并反向核验引用真实性；⑥实验设计 Agent 产出基线、指标、数据集与实验步骤；⑦倡议者/质疑者结构化辩论完善；⑧报告生成 Agent 融合全链路推理输出 10 字段《科学假设与研究计划》，并对每条引用保留 DOI/PMID/URL 溯源。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404040"/>
          <w:sz w:val="19"/>
        </w:rPr>
        <w:t>图 2-1 总体技术路线（总体思路图）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本作品最终形成的主要输出：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10 字段《科学假设与研究计划》结构化文档（待研究问题、解决思路、技术手段、数据集、题目、摘要、方法论、实验设计、实验结果、参考论文），每条文献带 DOI/PMID/URL 来源标识，杜绝虚构引用。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本作品已使用官方125道科学问题完成的实际测试：</w:t>
      </w:r>
      <w:r/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【待补充：125 题全量逐题运行结果统计（见 P13/P19）】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相较直接使用大模型回答，本作品最主要的不同：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直接使用大模型回答是「一次性、无约束文本生成」，无法保证引用真实、推理可追溯、假设可证伪，也不会把想法拆解为可执行的实验路径。本作品把回答过程重构为受证据约束的多智能体科研闭环：每步输出结构化、字段级绑定来源；引用须通过 DOI/PMID/URL 白名单反向核验；候选假设须明确可检验预测与反对证据；研究计划包含基线、指标、数据与停止条件；并通过人在回路保留科研判断权——这是「科研 harness / loop engineering」，而非对话式问答。</w:t>
      </w:r>
    </w:p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P3｜本作品采用的科学逻辑与假设生成原则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团队实际采用的判断原则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本作品遵循证据优先、结构化优先、人机协同、渐进降级与可复现五项原则：结论必须可回溯至原始文献或数据；Agent 之间以 JSON/Java Record 传递结构而非依赖自然语言猜测字段；模型给出候选方案、人类对研究方向与风险保留最终决定权；外部接口不可用时返回「无法核验」而不把网络失败解释为文献不存在；固定模型、提示词、数据版本、运行参数与日志以支持可复现部署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本作品的科学逻辑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①识别知识缺口：问题理解 Agent 抽取领域、关键概念、已知条件与待求解变量；知识发现 Agent 通过两篇以上不同来源论文的跨比较，定位共同局限、结论冲突与技术迁移机会，形成可处理的知识缺口。②约束假设：候选假设只允许从知识发现 references、文献结果与 RAG 召回证据的 DOI/PMID/URL 白名单中引用；每条假设必须绑定证据 ID，禁止引入白名单外来源。③支持/削弱/否定：可检验预测 + 研究计划中设置基线、指标与判定阈值，明确「什么结果支持、什么结果削弱或否定假设」；当预测不能被当前数据或方法证伪、或证据一致性差时，评估 Agent 会降级或淘汰该假设。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科学判断环节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科学判断环节</w:t>
            </w:r>
          </w:p>
        </w:tc>
        <w:tc>
          <w:tcPr>
            <w:tcW w:type="dxa" w:w="40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本作品实际采用的做法</w:t>
            </w:r>
          </w:p>
        </w:tc>
        <w:tc>
          <w:tcPr>
            <w:tcW w:type="dxa" w:w="24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采用该做法的理由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区分已有事实、文献解释与模型推断</w:t>
            </w:r>
          </w:p>
        </w:tc>
        <w:tc>
          <w:tcPr>
            <w:tcW w:type="dxa" w:w="405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证据对象统一标记置信度与来源；知识发现 Agent 只提取原文证据，RAG 检索结果与模型推断分开存储；引用核验区分 VERIFIED / SUSPICIOUS / NOT_FOUND / UNVERIFIABLE 四态。</w:t>
            </w:r>
          </w:p>
        </w:tc>
        <w:tc>
          <w:tcPr>
            <w:tcW w:type="dxa" w:w="24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避免将模型推断写成文献事实，防止断章取义或虚构。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将知识缺口转化为候选假设</w:t>
            </w:r>
          </w:p>
        </w:tc>
        <w:tc>
          <w:tcPr>
            <w:tcW w:type="dxa" w:w="405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①从跨论文比较定位 Gap → ②归纳/演绎推理链 → ③结合方法库/证据库生成 3–5 个候选假设，每个附 reasoningChain 与 evidenceIds。</w:t>
            </w:r>
          </w:p>
        </w:tc>
        <w:tc>
          <w:tcPr>
            <w:tcW w:type="dxa" w:w="24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让假设推导建立在已核验证据之上，保证创新性而非凭空猜测。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保证候选假设可检验或可证伪</w:t>
            </w:r>
          </w:p>
        </w:tc>
        <w:tc>
          <w:tcPr>
            <w:tcW w:type="dxa" w:w="405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每条假设必须包含可检验预测；实验设计 Agent 输出基线、指标与判定阈值，明确支持/削弱/否定的结果边界。</w:t>
            </w:r>
          </w:p>
        </w:tc>
        <w:tc>
          <w:tcPr>
            <w:tcW w:type="dxa" w:w="24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满足科学假设可证伪性要求，避免不可检验的空泛表述。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保留反对证据和替代解释</w:t>
            </w:r>
          </w:p>
        </w:tc>
        <w:tc>
          <w:tcPr>
            <w:tcW w:type="dxa" w:w="405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知识发现输出 conflicts；生成假设时纳入反对证据与替代解释；辩论 Agent 设「质疑者」角色主动暴露逻辑漏洞。</w:t>
            </w:r>
          </w:p>
        </w:tc>
        <w:tc>
          <w:tcPr>
            <w:tcW w:type="dxa" w:w="24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全面评估假设稳健性，避免只看支持证据的选择性论证。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避免把候选假设写成已证实结论</w:t>
            </w:r>
          </w:p>
        </w:tc>
        <w:tc>
          <w:tcPr>
            <w:tcW w:type="dxa" w:w="405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ReportGenerationAgent 强制 results 描述为「预期结果 / 判定条件」，并明确尚未完成真实验证；实验模块结果状态默认 NOT_EXECUTED。</w:t>
            </w:r>
          </w:p>
        </w:tc>
        <w:tc>
          <w:tcPr>
            <w:tcW w:type="dxa" w:w="24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恪守科研诚信，不把候选假设表述为已验证的科学发现。</w:t>
            </w:r>
          </w:p>
        </w:tc>
      </w:tr>
    </w:tbl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P4｜本作品实际使用的科学资料与证据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已实际使用的来源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①论文库：跨学科已核验真实论文（含 DOI/PMID/URL）；②方法库：可复用研究方法；③数据集库：数据来源与指标；④证据库：结构化事实三元组。四库经灌库脚本写入向量库（Chroma/Milvus），保留 title、content、source_id 与专有元数据。代表案例引用 HotStorage 2019 与 IEEE TCE 2014 两篇真实论文等（见 P14）。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证据处理方法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PDF 先提取文字层与版面元素，无法解析的页面保留图像证据；CSV/JSON 统一字段与单位。数据清洗后按 JSONL 写出、向量化，每条记录保存 source_id、原始文本与专有元数据，支持从答案回溯原文。检索采用向量 + BM25 混合、RRF/加权融合重排，返回库名、来源 ID、标题与片段位置。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404040"/>
          <w:sz w:val="19"/>
        </w:rPr>
        <w:t>图 6-1 四库 RAG 与证据核验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本作品如何判断来源是否可用：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来源必须包含 DOI/PMID/URL 中至少一种可标识来源；知识发现要求至少两篇不同来源论文；引用白名单核验逐条比对 DOI/arXiv/PMID/本地论文库——来源与标题一致为 VERIFIED，标题冲突为 SUSPICIOUS，数据库确认不存在为 NOT_FOUND，网络错误为 UNVERIFIABLE；只有 VERIFIED 引用可进入最终报告。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遇到证据不足或相互冲突时，系统实际如何处理：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证据不足：知识发现单库召回不足两篇则判失败；评估假设时证据覆盖不足返回明确原因并回退补充检索；仍不足则标记「证据不足」交由研究者判断。证据冲突：知识发现输出 conflicts 并存保留，辩论 Agent 从正反两方论证，研究计划中明确「不同结果分别支持或反对什么」，不强行调和。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本作品如何保留引用和科学证据之间的对应关系：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每条证据有 evidenceId（doi:xxx / pmid:xxx / url:xxx），Agent 结论通过引用 evidenceId 绑定证据；模型输出中的 references 与每个 Gap 的 evidenceIds 只能来自输入白名单，且 references 必须覆盖全部 Gap 来源。前端可凭借 source_id 展示原始页面或数据行，实现「结论 → 证据」的可追溯对应。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科学资料或证据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9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科学资料或证据</w:t>
            </w:r>
          </w:p>
        </w:tc>
        <w:tc>
          <w:tcPr>
            <w:tcW w:type="dxa" w:w="26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本作品如何获得和使用</w:t>
            </w:r>
          </w:p>
        </w:tc>
        <w:tc>
          <w:tcPr>
            <w:tcW w:type="dxa" w:w="26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对假设生成的具体作用</w:t>
            </w:r>
          </w:p>
        </w:tc>
        <w:tc>
          <w:tcPr>
            <w:tcW w:type="dxa" w:w="130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已知局限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已核验学术论文（papers）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灌库 + 混合检索 + 逐篇证据提取；白名单核验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提供已知事实、方法、局限与未来工作，定位研究缺口并约束假设</w:t>
            </w:r>
          </w:p>
        </w:tc>
        <w:tc>
          <w:tcPr>
            <w:tcW w:type="dxa" w:w="13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受库容与领域覆盖影响；弱网降级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研究方法库（methods）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方法向量检索 + 跨学科迁移机会挖掘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支撑候选假设技术手段与基线设计</w:t>
            </w:r>
          </w:p>
        </w:tc>
        <w:tc>
          <w:tcPr>
            <w:tcW w:type="dxa" w:w="13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方法描述可能过时或不完整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数据集/证据库（datasets/evidence）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数据来源检索 + 结构化事实三元组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支撑实验设计（数据/指标）与假设可检验性</w:t>
            </w:r>
          </w:p>
        </w:tc>
        <w:tc>
          <w:tcPr>
            <w:tcW w:type="dxa" w:w="13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数据可得性与授权限制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I/O traces / 公开科学数据（案例）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团队采集或公开获得，统一字段与单位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代表案例（SSD）的实验验证基础</w:t>
            </w:r>
          </w:p>
        </w:tc>
        <w:tc>
          <w:tcPr>
            <w:tcW w:type="dxa" w:w="130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真实采集规模有限</w:t>
            </w:r>
          </w:p>
        </w:tc>
      </w:tr>
    </w:tbl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P5｜本作品采用的评价方法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实际评价方案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系统从三层次评价：①证据质量（Recall@K、NDCG@K、来源标识完整率）；②引用质量（真实引用准确率、虚构引用拦截率、无法核验识别率）；③计划质量（10 字段完整率、字段一致性、可证伪性、实验可执行性）；④科学价值（领域成员盲评创新性、自洽性、Gap 有效性）；⑤人机协作（人工修改次数、采纳率、退回原因分布）；⑥工程性能（端到端时延、Agent 失败率、重试成功率）。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评价口径说明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团队重点评价的是哪些方面，为什么：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重点评价「证据可追溯性、假设可证伪性、研究计划可执行性」。理由：赛题明确核心是科研闭环，这决定了假设是否真正科学、是否有落地价值，也直接对应评分中「科学价值、可落地验证性、可复现性」维度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评价由程序、模型、团队成员或领域专家中的哪些主体完成：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程序化校验（引用白名单、字段完整性、来源标识）由代码完成；多维评分（创新性、可行性、引用真实性、数据可获得性）由评估 Agent（Qwen）完成；科学价值盲评（创新性、自洽性、Gap 有效性）由团队成员完成；领域可行性、指标权重与数据可采集性由领域专家/团队成员复核，并在[人在回路]介入。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第一轮与第二轮是否采用同一口径；如有变化，原因是什么：</w:t>
      </w:r>
      <w:r/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【待补充：如一致；或第二轮因新增数据/指标微调并说明原因】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什么情况下继续生成、停止或交由研究者判断：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继续生成：候选假设与证据一致性较好、可检验预测明确、研究计划基线/指标齐备时继续推进至辩论与报告。停止：达到稳定研究计划且无新增证据带来显著变化时停止迭代。交由研究者判断：证据不足、出现关键冲突、引用无法核验、或需领域专家裁定适用范围与伦理风险时，暂停并交由研究者（人在回路）判断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实际采用的评价内容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9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实际采用的评价内容</w:t>
            </w:r>
          </w:p>
        </w:tc>
        <w:tc>
          <w:tcPr>
            <w:tcW w:type="dxa" w:w="26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具体评价方法</w:t>
            </w:r>
          </w:p>
        </w:tc>
        <w:tc>
          <w:tcPr>
            <w:tcW w:type="dxa" w:w="209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评价对象与样本</w:t>
            </w:r>
          </w:p>
        </w:tc>
        <w:tc>
          <w:tcPr>
            <w:tcW w:type="dxa" w:w="183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结果如何影响后续处理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引用真实性/虚构拦截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DOI/PMID/URL 白名单反向核验，四态判定（VERIFIED/SUSPICIOUS/NOT_FOUND/UNVERIFIABLE）</w:t>
            </w:r>
          </w:p>
        </w:tc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最终 references；125 题输出与代表案例</w:t>
            </w:r>
          </w:p>
        </w:tc>
        <w:tc>
          <w:tcPr>
            <w:tcW w:type="dxa" w:w="18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虚构或无法核验引用禁止进入报告，退回假设生成重做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结构与完整性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字段非空校验、字段一致性、来源标识完整率</w:t>
            </w:r>
          </w:p>
        </w:tc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每阶段结构化输出与最终报告</w:t>
            </w:r>
          </w:p>
        </w:tc>
        <w:tc>
          <w:tcPr>
            <w:tcW w:type="dxa" w:w="18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缺失/空用阶段产物兜底，仍空则标记待确认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可证伪性与可执行性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是否有可检验预测；基线/指标/数据/步骤/停止条件是否齐备</w:t>
            </w:r>
          </w:p>
        </w:tc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候选假设与研究计划</w:t>
            </w:r>
          </w:p>
        </w:tc>
        <w:tc>
          <w:tcPr>
            <w:tcW w:type="dxa" w:w="18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不足则打回补充；满足则进入下一阶段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科学价值盲评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团队成员/领域专家对创新性、自洽性、Gap 有效性打分</w:t>
            </w:r>
          </w:p>
        </w:tc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代表案例候选假设</w:t>
            </w:r>
          </w:p>
        </w:tc>
        <w:tc>
          <w:tcPr>
            <w:tcW w:type="dxa" w:w="18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决定最终保留哪条假设进研究计划</w:t>
            </w:r>
          </w:p>
        </w:tc>
      </w:tr>
    </w:tbl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P6｜系统总体架构与技术闭环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本作品真实架构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四层架构：前端交互层（Vue3 + Vite + TS + Vue Flow，任务创建、流程可视化、人工介入）→ 业务后端层（Spring Boot，统一 API、SSE 转发、MySQL 持久化）→ 多智能体服务层（Java + LangChain4j，DAG 编排、Qwen 调用、四库检索）→ 数据引擎层（Python 数据清洗、四库灌库）。外部工具：Qwen（阿里云百炼）、向量库（Chroma/Milvus）、外部文献核验（DOI/arXiv/PMID）；人工参与：人在回路暂停点。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404040"/>
          <w:sz w:val="19"/>
        </w:rPr>
        <w:t>图 3-1 四层系统架构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技术闭环的关键设计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本作品不是一次性问答：①证据组织产物（keyFindings、citationChains、researchGaps、knownFindings/limitations/conflicts/transferOpportunities）以结构化字段进入候选假设生成；②候选假设的 reasoningChain 与可检验预测进入评估；③评估评分、幻觉报告与白名单 References 进入实验设计与报告生成；④实验设计的基线/指标/数据进入研究计划；⑤辩论纪要与修订意见回流，人工审阅意见可改写候选假设或剔除证据。评价发现引用虚构、证据覆盖不足、总分低于阈值或数据不可获得时，将问题与原因写入状态总线并退回；所有退回保留版本号与原因，形成可复盘的技术闭环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实际模块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实际模块</w:t>
            </w:r>
          </w:p>
        </w:tc>
        <w:tc>
          <w:tcPr>
            <w:tcW w:type="dxa" w:w="174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输入</w:t>
            </w:r>
          </w:p>
        </w:tc>
        <w:tc>
          <w:tcPr>
            <w:tcW w:type="dxa" w:w="205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本作品的核心处理</w:t>
            </w:r>
          </w:p>
        </w:tc>
        <w:tc>
          <w:tcPr>
            <w:tcW w:type="dxa" w:w="16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输出</w:t>
            </w:r>
          </w:p>
        </w:tc>
        <w:tc>
          <w:tcPr>
            <w:tcW w:type="dxa" w:w="154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与下一模块的关系</w:t>
            </w:r>
          </w:p>
        </w:tc>
      </w:tr>
      <w:tr>
        <w:tc>
          <w:tcPr>
            <w:tcW w:type="dxa" w:w="164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科学问题理解</w:t>
            </w:r>
          </w:p>
        </w:tc>
        <w:tc>
          <w:tcPr>
            <w:tcW w:type="dxa" w:w="174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自然语言科研问题（+可选证据文件）</w:t>
            </w:r>
          </w:p>
        </w:tc>
        <w:tc>
          <w:tcPr>
            <w:tcW w:type="dxa" w:w="205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拆解为领域/关键概念/子查询/已知条件/目标变量</w:t>
            </w:r>
          </w:p>
        </w:tc>
        <w:tc>
          <w:tcPr>
            <w:tcW w:type="dxa" w:w="164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QuestionQuery</w:t>
            </w:r>
          </w:p>
        </w:tc>
        <w:tc>
          <w:tcPr>
            <w:tcW w:type="dxa" w:w="154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供 ② 逐条检索、③④ 取域信息</w:t>
            </w:r>
          </w:p>
        </w:tc>
      </w:tr>
      <w:tr>
        <w:tc>
          <w:tcPr>
            <w:tcW w:type="dxa" w:w="164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证据获取与组织</w:t>
            </w:r>
          </w:p>
        </w:tc>
        <w:tc>
          <w:tcPr>
            <w:tcW w:type="dxa" w:w="174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子查询</w:t>
            </w:r>
          </w:p>
        </w:tc>
        <w:tc>
          <w:tcPr>
            <w:tcW w:type="dxa" w:w="205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论文/证据库混合检索 + 关键发现提炼 + 引用链</w:t>
            </w:r>
          </w:p>
        </w:tc>
        <w:tc>
          <w:tcPr>
            <w:tcW w:type="dxa" w:w="164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LiteratureResult / DiscoveryResult</w:t>
            </w:r>
          </w:p>
        </w:tc>
        <w:tc>
          <w:tcPr>
            <w:tcW w:type="dxa" w:w="154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供 ④ 消费文献与 Gap</w:t>
            </w:r>
          </w:p>
        </w:tc>
      </w:tr>
      <w:tr>
        <w:tc>
          <w:tcPr>
            <w:tcW w:type="dxa" w:w="164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候选假设生成</w:t>
            </w:r>
          </w:p>
        </w:tc>
        <w:tc>
          <w:tcPr>
            <w:tcW w:type="dxa" w:w="174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Research Gap + 文献</w:t>
            </w:r>
          </w:p>
        </w:tc>
        <w:tc>
          <w:tcPr>
            <w:tcW w:type="dxa" w:w="205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归纳/演绎推理生成 3-5 个候选假设</w:t>
            </w:r>
          </w:p>
        </w:tc>
        <w:tc>
          <w:tcPr>
            <w:tcW w:type="dxa" w:w="164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HypothesisResult</w:t>
            </w:r>
          </w:p>
        </w:tc>
        <w:tc>
          <w:tcPr>
            <w:tcW w:type="dxa" w:w="154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供 [人在回路] 审阅</w:t>
            </w:r>
          </w:p>
        </w:tc>
      </w:tr>
      <w:tr>
        <w:tc>
          <w:tcPr>
            <w:tcW w:type="dxa" w:w="164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假设核验与筛选</w:t>
            </w:r>
          </w:p>
        </w:tc>
        <w:tc>
          <w:tcPr>
            <w:tcW w:type="dxa" w:w="174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候选假设</w:t>
            </w:r>
          </w:p>
        </w:tc>
        <w:tc>
          <w:tcPr>
            <w:tcW w:type="dxa" w:w="205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多维评分 + 引用白名单核验 + 可证伪性判定</w:t>
            </w:r>
          </w:p>
        </w:tc>
        <w:tc>
          <w:tcPr>
            <w:tcW w:type="dxa" w:w="164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EvaluationResult</w:t>
            </w:r>
          </w:p>
        </w:tc>
        <w:tc>
          <w:tcPr>
            <w:tcW w:type="dxa" w:w="154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供 ⑥ 选择最优假设</w:t>
            </w:r>
          </w:p>
        </w:tc>
      </w:tr>
      <w:tr>
        <w:tc>
          <w:tcPr>
            <w:tcW w:type="dxa" w:w="164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研究计划与反馈修订</w:t>
            </w:r>
          </w:p>
        </w:tc>
        <w:tc>
          <w:tcPr>
            <w:tcW w:type="dxa" w:w="174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最优假设 + 实验方案</w:t>
            </w:r>
          </w:p>
        </w:tc>
        <w:tc>
          <w:tcPr>
            <w:tcW w:type="dxa" w:w="205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设计基线/指标/数据/步骤 + 正反辩论完善</w:t>
            </w:r>
          </w:p>
        </w:tc>
        <w:tc>
          <w:tcPr>
            <w:tcW w:type="dxa" w:w="164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ResearchPlan(10字段)</w:t>
            </w:r>
          </w:p>
        </w:tc>
        <w:tc>
          <w:tcPr>
            <w:tcW w:type="dxa" w:w="154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输出并可由人在回路反馈修订</w:t>
            </w:r>
          </w:p>
        </w:tc>
      </w:tr>
    </w:tbl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P7｜Qwen使用方式与上下文工程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Qwen在本作品中的实际作用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Qwen 是系统唯一的基座大模型，通过阿里云百炼平台 OpenAI 兼容 API 调用。它承担八类任务：问题拆解、文献提炼、跨论文比较、候选假设生成、多维评分与引用核验、实验方案设计、倡议/质疑辩论、最终报告撰写。重任务（跨文献比较、假设生成、辩论）用 Qwen-Max，轻任务（查询重写、格式化、摘要）用 Qwen-Plus/Qwen-Turbo 分级路由，兼顾质量与成本。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上下文组织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每个 Agent 的上下文包含：①科学问题原文与领域；②上游结构化产物（子查询、关键概念、Gap、已知发现、局限、冲突、技术迁移机会）；③已有证据（RAG 召回论文/方法/证据的 title/content/source_id）；④反对证据与替代解释（conflicts/质疑者意见）；⑤关键约束（allowedEvidenceIds 白名单、可检验预测要求、指标/基线下限）；⑥历史结果（上一轮评分、退回原因）；⑦反馈信息（人工审阅意见、辩论纪要）。</w:t>
      </w:r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【待补充：插入真实上下文结构示意图（P7 需人工提供）】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团队为减少无依据生成实际采取的措施：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①引用白名单强制约束：模型只能从 allowedEvidenceIds 选出引用来源；②结构化输出与 JSON Schema 校验：输出无法解析、字段缺失或不含白名单引用即判失败；③禁止猜测：题库缺失字段用「待确认」，不编造；④关键约束提示：技术手段/方法必须具体、results 用预期范围；⑤证据不足时显式「无法核验」而非补全；⑥人工复核兜底：人在回路可剔除不可信证据。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上下文更新或多轮调用的触发方式：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评审或核验失败（引用虚构、证据覆盖不足、总分低于阈值、数据不可获得）→ 将问题与原因写入状态总线 → 退回上阶段重跑；人工审阅可修改候选假设或剔除证据后触发恢复；辩论 Agent 多轮迭代触发上下文追加；报告生成失败回退 ResearchPlanAssembler 纯 Java 拼接。上下文更新以 runId/hypothesisId/evaluationId 追踪并保留版本号。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该设计对结果带来的实际变化：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显著降低虚构引用与无据推断；引用均可回溯至真实来源；候选假设具备可证伪预测与推理链；研究计划包含基线、指标与停止条件，可执行、可复核；同时因分级路由降低了推理成本，工程性能更稳定。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Qwen 使用方式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  <w:tc>
          <w:tcPr>
            <w:tcW w:type="dxa" w:w="613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本作品实际做法</w:t>
            </w:r>
          </w:p>
        </w:tc>
      </w:tr>
      <w:tr>
        <w:tc>
          <w:tcPr>
            <w:tcW w:type="dxa" w:w="250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使用的Qwen模型与调用方式</w:t>
            </w:r>
          </w:p>
        </w:tc>
        <w:tc>
          <w:tcPr>
            <w:tcW w:type="dxa" w:w="613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基座采用 Qwen-Max（重）/ Qwen-Plus（轻）/ Qwen-Turbo（极轻）三级分级，经阿里云百炼 OpenAI 兼容 API 调用（配置化模型名、温度、max token、超时、重试）；RAG 检索向量化用 text-embedding-v4（1024 维）</w:t>
            </w:r>
          </w:p>
        </w:tc>
      </w:tr>
      <w:tr>
        <w:tc>
          <w:tcPr>
            <w:tcW w:type="dxa" w:w="250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Qwen承担的具体任务</w:t>
            </w:r>
          </w:p>
        </w:tc>
        <w:tc>
          <w:tcPr>
            <w:tcW w:type="dxa" w:w="613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Qwen-Max（主推理引擎）：①问题理解拆解、②文献检索提炼、③知识发现（证据提取/跨论文比较/Research Gap 排序）、④候选假设生成、⑤多维评估与引用核验、⑥实验方案设计、⑦倡议/质疑辩论、⑧10 字段报告撰写；Qwen-Plus/Turbo（轻量）：查询改写、格式化、摘要等辅助任务；text-embedding-v4：RAG 向量化与检索</w:t>
            </w:r>
          </w:p>
        </w:tc>
      </w:tr>
      <w:tr>
        <w:tc>
          <w:tcPr>
            <w:tcW w:type="dxa" w:w="250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一次生成时提供给模型的上下文</w:t>
            </w:r>
          </w:p>
        </w:tc>
        <w:tc>
          <w:tcPr>
            <w:tcW w:type="dxa" w:w="613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问题/领域 + 上游结构化产物 + RAG 证据（含 source_id）+ 反对证据 + 白名单约束 + 历史结果 + 反馈信息</w:t>
            </w:r>
          </w:p>
        </w:tc>
      </w:tr>
      <w:tr>
        <w:tc>
          <w:tcPr>
            <w:tcW w:type="dxa" w:w="250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结构化输出或格式约束</w:t>
            </w:r>
          </w:p>
        </w:tc>
        <w:tc>
          <w:tcPr>
            <w:tcW w:type="dxa" w:w="613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每阶段定义 JSON Schema/Java Record；输出无法解析、字段缺失、含白名单外引用则判失败</w:t>
            </w:r>
          </w:p>
        </w:tc>
      </w:tr>
      <w:tr>
        <w:tc>
          <w:tcPr>
            <w:tcW w:type="dxa" w:w="250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与检索、代码或其他工具的协作方式</w:t>
            </w:r>
          </w:p>
        </w:tc>
        <w:tc>
          <w:tcPr>
            <w:tcW w:type="dxa" w:w="613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Qwen 消费 RagSearchService 检索结果；调用外部 DOI/arXiv/PMID 核验；结果由 Java 校验并写入状态总线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百炼调用凭证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404040"/>
          <w:sz w:val="19"/>
        </w:rPr>
        <w:t>图 7-1 阿里云百炼平台 Qwen 调用凭证（一）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5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百炼调用凭证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404040"/>
          <w:sz w:val="19"/>
        </w:rPr>
        <w:t>图 7-2 阿里云百炼平台 Qwen 调用凭证（二）</w:t>
      </w:r>
    </w:p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P8｜科学问题理解与知识缺口识别方法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本作品实际处理过程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问题理解 Agent 将自然语言问题拆解为 originalQuestion / domain / subQueries（3-5 条，面向检索视角） / keyConcepts（3-8 个，中英文） / knownConditions / targetVariables；domain 缺失时默认「通用科研」。知识发现 Agent 对每篇检索论文逐篇提取 researchQuestion/methods/findings/limitations/futureWork，再做跨论文比较得到 knownFindings/limitations/conflicts/transferOpportunities，最后按新颖性、证据强度、可行性与问题清晰度排序形成 researchGaps，并给出 selectedProblem、paperTitle、paperAbstract 与 references/evidenceIds（仅限输入白名单）。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一项真实中间结果示例</w:t>
      </w:r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【待补充：一道实际测试题的解析简例（对象/关键变量/已有认识/知识缺口/约束）】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处理步骤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处理步骤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本作品实际做法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形成的中间结果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该结果如何用于假设生成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识别研究对象和范围</w:t>
            </w:r>
          </w:p>
        </w:tc>
        <w:tc>
          <w:tcPr>
            <w:tcW w:type="dxa" w:w="248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问题理解：domain/label、keyConcepts、subQueries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领域标签、关键概念、子查询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限定检索与推理域，避免跑偏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提取已有条件和关键变量</w:t>
            </w:r>
          </w:p>
        </w:tc>
        <w:tc>
          <w:tcPr>
            <w:tcW w:type="dxa" w:w="248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识别 knownConditions / targetVariables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已知条件、目标变量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约束假设的条件与待验证维度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区分已有认识、争议与未知内容</w:t>
            </w:r>
          </w:p>
        </w:tc>
        <w:tc>
          <w:tcPr>
            <w:tcW w:type="dxa" w:w="248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知识发现：逐篇证据提取 + 跨论文比较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knownFindings/limitations/conflicts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定位已有认识、局限与结论冲突</w:t>
            </w:r>
          </w:p>
        </w:tc>
      </w:tr>
      <w:tr>
        <w:tc>
          <w:tcPr>
            <w:tcW w:type="dxa" w:w="183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形成可处理的知识缺口</w:t>
            </w:r>
          </w:p>
        </w:tc>
        <w:tc>
          <w:tcPr>
            <w:tcW w:type="dxa" w:w="248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按新颖性/证据强度/可行性/清晰度排序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researchGaps + selectedProblem + references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作为候选假设生成的直接出发点</w:t>
            </w:r>
          </w:p>
        </w:tc>
      </w:tr>
    </w:tbl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P9｜候选假设生成方法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本作品实际采用的生成机制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假设生成 Agent 消费知识发现的 selectedProblem、researchGaps、knownFindings、limitations、conflicts、transferOpportunities，同时补充检索方法库与证据库。基于白名单证据做归纳与演绎推理，生成 3-5 个彼此不同、可证伪、可验证的候选假设。每条假设包含 summary、rationale、technicalDetails、methods、reasoningChain、evidenceIds；所有 evidenceIds 必须来自白名单（知识发现 references ∪ 文献结果 ∪ RAG 检索 source_id），出现白名单外引用即阶段失败。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候选假设的实际输出内容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每条候选假设包含：核心陈述（summary，一句话可验证命题）；形成依据（rationale，从 Gap 到思路的推理链条 + reasoningChain 逐步推导）；技术手段（technicalDetails，具体方法名）；方法/实验路径（methods）；证据绑定（evidenceIds，DOI/PMID/URL 白名单）；并结合 conflicts 纳入反对证据与替代解释；可检验预测与研究计划中的判定阈值体现不确定性与证伪边界。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生成环节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生成环节</w:t>
            </w:r>
          </w:p>
        </w:tc>
        <w:tc>
          <w:tcPr>
            <w:tcW w:type="dxa" w:w="39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本作品实际做法</w:t>
            </w:r>
          </w:p>
        </w:tc>
        <w:tc>
          <w:tcPr>
            <w:tcW w:type="dxa" w:w="250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该设计解决的具体问题</w:t>
            </w:r>
          </w:p>
        </w:tc>
      </w:tr>
      <w:tr>
        <w:tc>
          <w:tcPr>
            <w:tcW w:type="dxa" w:w="22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从知识缺口形成候选解释</w:t>
            </w:r>
          </w:p>
        </w:tc>
        <w:tc>
          <w:tcPr>
            <w:tcW w:type="dxa" w:w="390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以 researchGaps 为出发点，结合 knownFindings 与 transferOpportunities 推理</w:t>
            </w:r>
          </w:p>
        </w:tc>
        <w:tc>
          <w:tcPr>
            <w:tcW w:type="dxa" w:w="250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让假设基于可溯源证据，而非凭空联想</w:t>
            </w:r>
          </w:p>
        </w:tc>
      </w:tr>
      <w:tr>
        <w:tc>
          <w:tcPr>
            <w:tcW w:type="dxa" w:w="22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生成多个可区分的候选假设</w:t>
            </w:r>
          </w:p>
        </w:tc>
        <w:tc>
          <w:tcPr>
            <w:tcW w:type="dxa" w:w="390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3-5 个假设，从不同缺口/迁移路径出发，去重、可区分</w:t>
            </w:r>
          </w:p>
        </w:tc>
        <w:tc>
          <w:tcPr>
            <w:tcW w:type="dxa" w:w="250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提供多样性，避免单一思路</w:t>
            </w:r>
          </w:p>
        </w:tc>
      </w:tr>
      <w:tr>
        <w:tc>
          <w:tcPr>
            <w:tcW w:type="dxa" w:w="22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将支持、反对证据纳入生成</w:t>
            </w:r>
          </w:p>
        </w:tc>
        <w:tc>
          <w:tcPr>
            <w:tcW w:type="dxa" w:w="390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输入包含 knownFindings 与 conflicts；推理链引用双向证据</w:t>
            </w:r>
          </w:p>
        </w:tc>
        <w:tc>
          <w:tcPr>
            <w:tcW w:type="dxa" w:w="250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平衡论证，避免只看支持证据</w:t>
            </w:r>
          </w:p>
        </w:tc>
      </w:tr>
      <w:tr>
        <w:tc>
          <w:tcPr>
            <w:tcW w:type="dxa" w:w="22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控制重复、空泛或不可检验输出</w:t>
            </w:r>
          </w:p>
        </w:tc>
        <w:tc>
          <w:tcPr>
            <w:tcW w:type="dxa" w:w="390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校验 summary/technicalDetails/methods/reasoningChain/evidenceIds 非空且具体；可检验预测为硬性条件</w:t>
            </w:r>
          </w:p>
        </w:tc>
        <w:tc>
          <w:tcPr>
            <w:tcW w:type="dxa" w:w="250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杜绝空泛表述与不可证伪命题</w:t>
            </w:r>
          </w:p>
        </w:tc>
      </w:tr>
      <w:tr>
        <w:tc>
          <w:tcPr>
            <w:tcW w:type="dxa" w:w="22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形成统一的候选假设表达</w:t>
            </w:r>
          </w:p>
        </w:tc>
        <w:tc>
          <w:tcPr>
            <w:tcW w:type="dxa" w:w="390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固定 Hypothesis record 结构（summary/rationale/technicalDetails/methods/reasoningChain/evidenceIds）</w:t>
            </w:r>
          </w:p>
        </w:tc>
        <w:tc>
          <w:tcPr>
            <w:tcW w:type="dxa" w:w="250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标准化，方便后续评估与比较</w:t>
            </w:r>
          </w:p>
        </w:tc>
      </w:tr>
    </w:tbl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P10｜候选假设核验、比较与筛选方法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本作品实际采用的处理方法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评估 Agent 对候选假设逐一打分（创新性、可行性、引用真实性、数据可获得性），并做引用反向核验（DOI/arXiv/PMID/本地论文库）。同时判断：与科学问题相关性、与已有证据一致性、是否存在冲突或错误引用、是否可检验可证伪、是否与其他假设重复、是否值得进入研究计划。白名单核验是硬门槛：虚构或无法核验的引用立即拦截，禁止自动通过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筛选结果如何形成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筛选结果形成流程：①白名单引用硬校验（虚构/无法核验 → 直接淘汰）；②多维评分排序（创新性、可行性、引用真实性、数据可获性）；③可证伪性与可执行性判定（不可检验或计划不具体 → 降级）；④去重与合并（高度重复的假设合并）；⑤在[人在回路]由领域专家确认保留集。最优假设（评分最高且通过核验）进入研究计划设计。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简例：假设 A「引入不确定性门控的时空预测垃圾回收」因具备可检验预测、可通过多负载对比证伪、且数据可采集，被保留；假设 B「用深度强化学习全局调度」因缺少可采集数据与明确基线、难以在给定资源下验证，被降级保留为后续方向。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比较或核验内容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比较或核验内容</w:t>
            </w:r>
          </w:p>
        </w:tc>
        <w:tc>
          <w:tcPr>
            <w:tcW w:type="dxa" w:w="334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本作品如何判断</w:t>
            </w:r>
          </w:p>
        </w:tc>
        <w:tc>
          <w:tcPr>
            <w:tcW w:type="dxa" w:w="334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实际产生的处理结果</w:t>
            </w:r>
          </w:p>
        </w:tc>
      </w:tr>
      <w:tr>
        <w:tc>
          <w:tcPr>
            <w:tcW w:type="dxa" w:w="195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与科学问题是否相关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domain/关键概念/子查询与假设主题匹配度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不相关 → 淘汰</w:t>
            </w:r>
          </w:p>
        </w:tc>
      </w:tr>
      <w:tr>
        <w:tc>
          <w:tcPr>
            <w:tcW w:type="dxa" w:w="195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与已有证据是否一致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knownFindings 一致性；是否与已知结论冲突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冲突记入 conflicts，必要时降级</w:t>
            </w:r>
          </w:p>
        </w:tc>
      </w:tr>
      <w:tr>
        <w:tc>
          <w:tcPr>
            <w:tcW w:type="dxa" w:w="195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是否存在冲突或错误引用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DOI/PMID/URL 白名单反向核验（四态）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虚构/无法核验 → 拦截；NOT_FOUND 区分 UNVERIFIABLE</w:t>
            </w:r>
          </w:p>
        </w:tc>
      </w:tr>
      <w:tr>
        <w:tc>
          <w:tcPr>
            <w:tcW w:type="dxa" w:w="195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是否可检验、可证伪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是否有明确可检验预测与判定阈值/基线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不可检验 → 淘汰或需补充</w:t>
            </w:r>
          </w:p>
        </w:tc>
      </w:tr>
      <w:tr>
        <w:tc>
          <w:tcPr>
            <w:tcW w:type="dxa" w:w="195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是否与其他候选假设重复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主题/技术手段相似度去重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重复 → 合并保留更优</w:t>
            </w:r>
          </w:p>
        </w:tc>
      </w:tr>
      <w:tr>
        <w:tc>
          <w:tcPr>
            <w:tcW w:type="dxa" w:w="195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是否值得进入研究计划设计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综合评分 + 领域专家确认（人在回路）</w:t>
            </w:r>
          </w:p>
        </w:tc>
        <w:tc>
          <w:tcPr>
            <w:tcW w:type="dxa" w:w="33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最优假设进入实验设计</w:t>
            </w:r>
          </w:p>
        </w:tc>
      </w:tr>
    </w:tbl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P11｜研究计划生成与假设验证路径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本作品如何把假设转化为研究计划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实验设计 Agent 读取最优假设、研究领域、主要结果变量与已验证来源，生成结构化实验方案：≥3 个可复现基线、≥5 个指标（主要指标、统计不确定性、效应量、稳健性、资源成本）、≥3 个真实数据集（含可追溯 URL）、≥5 个实验步骤、≥3 个待验证预期结果、≥3 个实验风险。随后由倡议者/质疑者辩论完善，报告生成 Agent 融合全链路输出 10 字段研究计划。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可执行性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团队如何检查研究计划是否具体、可复核：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①基线/指标/数据集/步骤/停止条件数量与具体性校验；②数据集必须含名称与 URL，缺少则拒绝写入；③expectedResults 必须为量化范围或判定阈值而非复制假设摘要；④字段命名/计量单位/记录粒度统一，确保可复核；⑤人工审阅基线、指标权重与数据可采集性。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研究计划中哪些内容已经具备执行条件，哪些仍是建议：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基线、对比方法、评价指标与数据采集框架已形成稳定方案（具备执行条件）；具体数据集规模、精确阈值与资源分工仍是建议值，需在真实环境中确定；非核心环节的实验参数与成本核算为后续可调建议。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本作品如何避免用“进一步研究”等空泛表述代替研究步骤：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强制步骤化：研究计划以编号步骤（1/2/3…）给出可复核操作，每步明确「该步骤支持、反对或区分什么」；停止、回退或补充证据条件用明确判定阈值表达，而非「展开深入分析」；格式化规则（第 11 节）要求具体方法名，未满足则打回。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计划环节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计划环节</w:t>
            </w:r>
          </w:p>
        </w:tc>
        <w:tc>
          <w:tcPr>
            <w:tcW w:type="dxa" w:w="36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本作品实际生成的内容</w:t>
            </w:r>
          </w:p>
        </w:tc>
        <w:tc>
          <w:tcPr>
            <w:tcW w:type="dxa" w:w="27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与候选假设的关系</w:t>
            </w:r>
          </w:p>
        </w:tc>
      </w:tr>
      <w:tr>
        <w:tc>
          <w:tcPr>
            <w:tcW w:type="dxa" w:w="22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明确待验证的预测</w:t>
            </w:r>
          </w:p>
        </w:tc>
        <w:tc>
          <w:tcPr>
            <w:tcW w:type="dxa" w:w="362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可检验预测 + 判定阈值（如某指标相对基线提升区间）</w:t>
            </w:r>
          </w:p>
        </w:tc>
        <w:tc>
          <w:tcPr>
            <w:tcW w:type="dxa" w:w="278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把假设的可证伪性落到可测指标</w:t>
            </w:r>
          </w:p>
        </w:tc>
      </w:tr>
      <w:tr>
        <w:tc>
          <w:tcPr>
            <w:tcW w:type="dxa" w:w="22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确定所需数据、资料或实验条件</w:t>
            </w:r>
          </w:p>
        </w:tc>
        <w:tc>
          <w:tcPr>
            <w:tcW w:type="dxa" w:w="362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≥3 个真实数据集（含 URL）+ 实验环境/条件</w:t>
            </w:r>
          </w:p>
        </w:tc>
        <w:tc>
          <w:tcPr>
            <w:tcW w:type="dxa" w:w="278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给出验证所需资源与可行性边界</w:t>
            </w:r>
          </w:p>
        </w:tc>
      </w:tr>
      <w:tr>
        <w:tc>
          <w:tcPr>
            <w:tcW w:type="dxa" w:w="22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形成研究步骤和分析方法</w:t>
            </w:r>
          </w:p>
        </w:tc>
        <w:tc>
          <w:tcPr>
            <w:tcW w:type="dxa" w:w="362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逐编号步骤 + 分析方法（含统计不确定性/效应量）</w:t>
            </w:r>
          </w:p>
        </w:tc>
        <w:tc>
          <w:tcPr>
            <w:tcW w:type="dxa" w:w="278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让假设验证过程可复核</w:t>
            </w:r>
          </w:p>
        </w:tc>
      </w:tr>
      <w:tr>
        <w:tc>
          <w:tcPr>
            <w:tcW w:type="dxa" w:w="22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说明不同结果分别支持或反对什么</w:t>
            </w:r>
          </w:p>
        </w:tc>
        <w:tc>
          <w:tcPr>
            <w:tcW w:type="dxa" w:w="362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结果分支表：不同输出对应支持/削弱/否定</w:t>
            </w:r>
          </w:p>
        </w:tc>
        <w:tc>
          <w:tcPr>
            <w:tcW w:type="dxa" w:w="278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明确证据对假设的判定作用</w:t>
            </w:r>
          </w:p>
        </w:tc>
      </w:tr>
      <w:tr>
        <w:tc>
          <w:tcPr>
            <w:tcW w:type="dxa" w:w="223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设置停止、回退或补充证据条件</w:t>
            </w:r>
          </w:p>
        </w:tc>
        <w:tc>
          <w:tcPr>
            <w:tcW w:type="dxa" w:w="362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阈值与失败回退规则；证据不足回退补充检索</w:t>
            </w:r>
          </w:p>
        </w:tc>
        <w:tc>
          <w:tcPr>
            <w:tcW w:type="dxa" w:w="278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控制验证过程，避免无界迭代</w:t>
            </w:r>
          </w:p>
        </w:tc>
      </w:tr>
    </w:tbl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P12｜完整运行流程与实际反馈机制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一次完整运行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404040"/>
          <w:sz w:val="19"/>
        </w:rPr>
        <w:t>图 4-1 八 Agent 流水线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流程：接收科学问题 → ①问题理解 → ②∥③并行（文献检索 + 知识发现）→ ④候选假设 → [人在回路暂停] → ⑤评估（评分+引用核验）→ ⑥实验设计 → ⑦正反辩论 → ⑧报告生成 → 输出 10 字段。反馈返回：核验失败→回退 ④ 或 ②；人工审阅→改写 ④ 假设或剔除证据；辩论→修订 ⑥⑤；报告失败→回退 ⑧（ResearchPlanAssembler）。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本作品实际实现的反馈与失败处理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哪些反馈由系统自动产生：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①引用核验失败自动拦截并标注原因（虚构/无法核验/标题冲突）；②字段/结构校验失败自动打回；③证据覆盖不足、分数低于阈值、数据不可获得自动回退；④SSE 断线重连、Agent 超时有限重试；⑤状态快照断点恢复；⑥任一阶段异常输出阶段、任务 ID 与原因，不吞异常。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哪些调整来自研究者或团队成员：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研究问题边界确认；候选假设修改、剔除或合并；证据可信度裁断；指标权重与成本/效果权衡；领域可行性、伦理与风险判定；是否暂停、恢复或回退管线。这些经 [人在回路] 提交审阅意见。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团队实际保留了哪些前后变化，便于说明反馈是否有效：</w:t>
      </w:r>
      <w:r/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【待补充：如保留第一轮 vs 第二轮、人工修改前后、退回重跑前后的版本对比与原因记录】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实际出现或测试过的情况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3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实际出现或测试过的情况</w:t>
            </w:r>
          </w:p>
        </w:tc>
        <w:tc>
          <w:tcPr>
            <w:tcW w:type="dxa" w:w="244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系统发现了什么问题</w:t>
            </w:r>
          </w:p>
        </w:tc>
        <w:tc>
          <w:tcPr>
            <w:tcW w:type="dxa" w:w="22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本作品采取的处理</w:t>
            </w:r>
          </w:p>
        </w:tc>
        <w:tc>
          <w:tcPr>
            <w:tcW w:type="dxa" w:w="217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对后续假设或计划的影响</w:t>
            </w:r>
          </w:p>
        </w:tc>
      </w:tr>
      <w:tr>
        <w:tc>
          <w:tcPr>
            <w:tcW w:type="dxa" w:w="173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引用虚构/越界</w:t>
            </w:r>
          </w:p>
        </w:tc>
        <w:tc>
          <w:tcPr>
            <w:tcW w:type="dxa" w:w="24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模型给出白名单外或不存在来源</w:t>
            </w:r>
          </w:p>
        </w:tc>
        <w:tc>
          <w:tcPr>
            <w:tcW w:type="dxa" w:w="228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评估 Agent 反向核验，四态判定并拦截</w:t>
            </w:r>
          </w:p>
        </w:tc>
        <w:tc>
          <w:tcPr>
            <w:tcW w:type="dxa" w:w="217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退回假设生成，注入正确白名单</w:t>
            </w:r>
          </w:p>
        </w:tc>
      </w:tr>
      <w:tr>
        <w:tc>
          <w:tcPr>
            <w:tcW w:type="dxa" w:w="173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证据不足/召回少</w:t>
            </w:r>
          </w:p>
        </w:tc>
        <w:tc>
          <w:tcPr>
            <w:tcW w:type="dxa" w:w="24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单库召回不足两篇或证据覆盖弱</w:t>
            </w:r>
          </w:p>
        </w:tc>
        <w:tc>
          <w:tcPr>
            <w:tcW w:type="dxa" w:w="228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回退补充检索；仍不足标记【证据不足】</w:t>
            </w:r>
          </w:p>
        </w:tc>
        <w:tc>
          <w:tcPr>
            <w:tcW w:type="dxa" w:w="217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限制假设强度，交由研究者判断</w:t>
            </w:r>
          </w:p>
        </w:tc>
      </w:tr>
      <w:tr>
        <w:tc>
          <w:tcPr>
            <w:tcW w:type="dxa" w:w="173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结构/JSON 非法</w:t>
            </w:r>
          </w:p>
        </w:tc>
        <w:tc>
          <w:tcPr>
            <w:tcW w:type="dxa" w:w="24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模型输出不可解析或字段缺失</w:t>
            </w:r>
          </w:p>
        </w:tc>
        <w:tc>
          <w:tcPr>
            <w:tcW w:type="dxa" w:w="228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阶段失败并携带原因；+1 次重试</w:t>
            </w:r>
          </w:p>
        </w:tc>
        <w:tc>
          <w:tcPr>
            <w:tcW w:type="dxa" w:w="217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不生成形式完整但不可追溯的报告</w:t>
            </w:r>
          </w:p>
        </w:tc>
      </w:tr>
      <w:tr>
        <w:tc>
          <w:tcPr>
            <w:tcW w:type="dxa" w:w="173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外部接口弱网</w:t>
            </w:r>
          </w:p>
        </w:tc>
        <w:tc>
          <w:tcPr>
            <w:tcW w:type="dxa" w:w="24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DOI/arXiv/PMID 核验网络错误</w:t>
            </w:r>
          </w:p>
        </w:tc>
        <w:tc>
          <w:tcPr>
            <w:tcW w:type="dxa" w:w="228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区分 UNVERIFIABLE（网络）与 NOT_FOUND（不存在）</w:t>
            </w:r>
          </w:p>
        </w:tc>
        <w:tc>
          <w:tcPr>
            <w:tcW w:type="dxa" w:w="217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避免把网络失败误判为虚构文献</w:t>
            </w:r>
          </w:p>
        </w:tc>
      </w:tr>
      <w:tr>
        <w:tc>
          <w:tcPr>
            <w:tcW w:type="dxa" w:w="173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计划不具体/空泛</w:t>
            </w:r>
          </w:p>
        </w:tc>
        <w:tc>
          <w:tcPr>
            <w:tcW w:type="dxa" w:w="24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基线/指标/步骤不足或使用空泛表述</w:t>
            </w:r>
          </w:p>
        </w:tc>
        <w:tc>
          <w:tcPr>
            <w:tcW w:type="dxa" w:w="2282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格式化校验打回；报告回退 assembler</w:t>
            </w:r>
          </w:p>
        </w:tc>
        <w:tc>
          <w:tcPr>
            <w:tcW w:type="dxa" w:w="217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保证 10 字段齐备、可复核</w:t>
            </w:r>
          </w:p>
        </w:tc>
      </w:tr>
    </w:tbl>
    <w:p>
      <w:r>
        <w:br w:type="page"/>
      </w:r>
    </w:p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P13｜125题测试方法与代表性案例选择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125题实际测试方法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对官方 125 道科学问题进行逐题全量运行：每道题走完整八 Agent 管线，不预设领域偏好；统一输出 10 字段《科学假设与研究计划》及每题的引用来源、评分与证据清单；用同一套评价口径（证据可追溯性、假设可证伪性、计划可执行性）做总体评价。证据不足、失败或需人工判断的题目单独保留并标注原因（如「证据不足」「引用无法核验」「需领域专家判断」），不做省略或人工美化替换。</w:t>
      </w:r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【待补充：125 题逐题结果文档——完成后截取部分逐题输出示例入文，其余附夸克网盘链接】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代表性案例为什么选择这道题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案例所属的科学领域及问题特点：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存储系统 / 系统软件领域，问题聚焦「SSD 垃圾回收（GC）中的数据温度预测与合理数据放置」，同时涉及时序建模、图结构与不确定性估计，是典型的「多因素、可量化、可证伪、可采集数据」的可验证科学问题。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团队选择它进行完整展示的实际理由：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该问题具备真实公开数据（I/O traces、公开数据集）、明确基线（Greedy/Cost-Benefit/FaGC/LSTM+K-Means）与可量化指标（WAF、延迟、磨损离散度、开销），能完整展示系统「证据→知识缺口→候选假设→验证方案→研究计划」的闭环，且便于对照消融，是检验通用领域迁移能力的代表性样本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该案例能够展示本作品的哪些关键能力：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①跨文献研究缺口识别（多种方法边界）；②可证伪候选假设生成（含不确定性门控）；③实验设计（基线/指标/数据集/步骤）；④引用白名单防幻觉；⑤人在回路审阅与两轮修订。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该案例表现不能代表哪些题目或条件：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该案例属「数据可得、可量化」的系统领域；对缺少公开数据、纯理论探索、证据高度依赖小样本/权威判定的题目，其表现不能直接代表；对需跨学科综合判断或伦理敏感的问题，需研究者更多人工裁定。</w:t>
      </w:r>
    </w:p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P14｜案例问题、证据基础与第一轮设置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案例的科学内容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9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内容</w:t>
            </w:r>
          </w:p>
        </w:tc>
        <w:tc>
          <w:tcPr>
            <w:tcW w:type="dxa" w:w="654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本案例的实际情况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科学问题原文</w:t>
            </w:r>
          </w:p>
        </w:tc>
        <w:tc>
          <w:tcPr>
            <w:tcW w:type="dxa" w:w="65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在 MySQL、RocksDB、Docker、FIO 等不同负载下，融合文件级语义、逻辑地址空间关系和预测不确定性的温度预测与数据放置策略，能否在不增加过多控制开销的前提下，同时降低写放大（WAF）、尾部延迟与磨损离散度？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研究对象与关键变量</w:t>
            </w:r>
          </w:p>
        </w:tc>
        <w:tc>
          <w:tcPr>
            <w:tcW w:type="dxa" w:w="65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对象：SSD 垃圾回收（GC）与数据放置；关键变量：LBA 逻辑地址、时间戳、请求大小、读写类型、文件标识、历史温度、吞吐、I/O 大小、读写比例、文件更新频率、块擦写次数、WAF、P99/P99.99 延迟、磨损离散度、控制器开销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已有认识与主要证据</w:t>
            </w:r>
          </w:p>
        </w:tc>
        <w:tc>
          <w:tcPr>
            <w:tcW w:type="dxa" w:w="65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①Yang 等（HotStorage 2019）：基于 LSTM 未来温度预测 + K-Means 数据分派，最佳情形下 WAF 与 99.99% 写延迟分别降低 43.5% 与 79.3%（基线论文结果，非本作品实测）；②Yan 与 Yao（IEEE TCE 2014）：文件感知垃圾回收 FaGC，通过文件更新频率表减少复制与擦除并兼顾磨损均衡。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尚未解决的知识缺口</w:t>
            </w:r>
          </w:p>
        </w:tc>
        <w:tc>
          <w:tcPr>
            <w:tcW w:type="dxa" w:w="65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①跨工作负载迁移时静态相关性选取与固定模型可能概念漂移；②逻辑地址块间存在时空依赖，单纯序列模型难以表达动态关联；③预测错误直接影响数据放置，现有方案缺不确定性门控与保守退化策略。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需要保留的不确定性或争议</w:t>
            </w:r>
          </w:p>
        </w:tc>
        <w:tc>
          <w:tcPr>
            <w:tcW w:type="dxa" w:w="654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预测模型泛化性、不确定性阈值选取、跨负载稳定性、控制开销上限、数据文件语义可用性与采集可行性均存在不确定性；多项结论为预期/建议，需真实实验验证。</w:t>
            </w:r>
          </w:p>
        </w:tc>
      </w:tr>
    </w:tbl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第一轮实际生成设置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第一轮使用了哪些证据和约束：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使用上述两篇已核验论文的方法、工作负载类型与基线结果；约束：引用只能来自白名单；候选假设必须可证伪、含可检验预测；计划须含基线/指标/数据集/步骤。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第一轮要求系统生成什么内容：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生成候选假设（核心陈述、形成依据、支持/反对证据、可检验预测、替代解释、不确定性）+ 筛选结果 + 研究计划（验证路径、数据、步骤、停止/回退条件）。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第一轮采用了哪些主要模型或方法设置：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Qwen-Max 用于假设生成与评估；RAG 检索（论文/方法/证据库）；引用白名单核验；人在回路暂停于假设生成后。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第一轮结果使用什么口径评价：</w:t>
      </w:r>
      <w:r/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【待补充：如引用真实性、可证伪性、证据一致性、计划可执行性等评价口径】</w:t>
      </w:r>
    </w:p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P15｜第一轮候选假设、筛选结果与研究计划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第一轮实际生成结果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3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候选假设</w:t>
            </w:r>
          </w:p>
        </w:tc>
        <w:tc>
          <w:tcPr>
            <w:tcW w:type="dxa" w:w="17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主要依据</w:t>
            </w:r>
          </w:p>
        </w:tc>
        <w:tc>
          <w:tcPr>
            <w:tcW w:type="dxa" w:w="17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反对证据或替代解释</w:t>
            </w:r>
          </w:p>
        </w:tc>
        <w:tc>
          <w:tcPr>
            <w:tcW w:type="dxa" w:w="177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可检验预测</w:t>
            </w:r>
          </w:p>
        </w:tc>
        <w:tc>
          <w:tcPr>
            <w:tcW w:type="dxa" w:w="12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第一轮处理结果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H-01 文件感知时空不确定性垃圾回收（FSTU-GC）：以动态关系图 + 时空预测 + 不确定性门控完成数据放置</w:t>
            </w:r>
          </w:p>
        </w:tc>
        <w:tc>
          <w:tcPr>
            <w:tcW w:type="dxa" w:w="177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 时序预测与 FaGC 文件感知的边界；逻辑地址时空依赖与不确定性缺失</w:t>
            </w:r>
          </w:p>
        </w:tc>
        <w:tc>
          <w:tcPr>
            <w:tcW w:type="dxa" w:w="177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预测错误会放大负收益；图结构/文件语义/不确定性门控任缺一项可能不成立</w:t>
            </w:r>
          </w:p>
        </w:tc>
        <w:tc>
          <w:tcPr>
            <w:tcW w:type="dxa" w:w="177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在 ≥3 类负载上 WAF 相对强基线下降、P99/P99.99 延迟不劣化、磨损离散度下降、开销可接受</w:t>
            </w:r>
          </w:p>
        </w:tc>
        <w:tc>
          <w:tcPr>
            <w:tcW w:type="dxa" w:w="127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【待补充：第一轮真实处理结果】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H-02 纯时序深度学习温度预测 + 聚类分派（不含文件语义/图结构）</w:t>
            </w:r>
          </w:p>
        </w:tc>
        <w:tc>
          <w:tcPr>
            <w:tcW w:type="dxa" w:w="177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LSTM 时序特征有效；K-Means 数据分派可行</w:t>
            </w:r>
          </w:p>
        </w:tc>
        <w:tc>
          <w:tcPr>
            <w:tcW w:type="dxa" w:w="177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跨负载泛化差、无法表达逻辑地址空间关系、无不确定性控制</w:t>
            </w:r>
          </w:p>
        </w:tc>
        <w:tc>
          <w:tcPr>
            <w:tcW w:type="dxa" w:w="177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在单一负载可复现基线 43.5%/79.3% 量级，跨负载不稳</w:t>
            </w:r>
          </w:p>
        </w:tc>
        <w:tc>
          <w:tcPr>
            <w:tcW w:type="dxa" w:w="127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</w:tr>
      <w:tr>
        <w:tc>
          <w:tcPr>
            <w:tcW w:type="dxa" w:w="20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H-03 规则/保守性 GC 基线（Greedy/Cost-Benefit）</w:t>
            </w:r>
          </w:p>
        </w:tc>
        <w:tc>
          <w:tcPr>
            <w:tcW w:type="dxa" w:w="177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实现简单、风险低、开销小</w:t>
            </w:r>
          </w:p>
        </w:tc>
        <w:tc>
          <w:tcPr>
            <w:tcW w:type="dxa" w:w="177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性能提升有限、未利用负载语义</w:t>
            </w:r>
          </w:p>
        </w:tc>
        <w:tc>
          <w:tcPr>
            <w:tcW w:type="dxa" w:w="177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作为对照基线，不劣化</w:t>
            </w:r>
          </w:p>
        </w:tc>
        <w:tc>
          <w:tcPr>
            <w:tcW w:type="dxa" w:w="127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作为对比基线保留</w:t>
            </w:r>
          </w:p>
        </w:tc>
      </w:tr>
    </w:tbl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第一轮形成的研究计划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关键步骤</w:t>
            </w:r>
          </w:p>
        </w:tc>
        <w:tc>
          <w:tcPr>
            <w:tcW w:type="dxa" w:w="5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实际计划内容</w:t>
            </w:r>
          </w:p>
        </w:tc>
        <w:tc>
          <w:tcPr>
            <w:tcW w:type="dxa" w:w="26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该步骤能够支持、反对或区分什么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523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采集固定时间窗 LBA/时间戳/请求大小/读写类型/文件标识，按地址邻接/访问转移/文件归属构建动态关系图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区分「忽略逻辑地址空间关系」与「显式建模时空依赖」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523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对比 LSTM、Temporal Convolution、轻量图时序模型作为预测器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界定哪种模型更适配跨负载温度预测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3</w:t>
            </w:r>
          </w:p>
        </w:tc>
        <w:tc>
          <w:tcPr>
            <w:tcW w:type="dxa" w:w="523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以深度集成 / MC Dropout 估计预测不确定性；设定置信度阈值，低置信回退规则基线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验证不确定性门控能否抑制错误预测负收益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523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构建多目标代价 J=α·WAF+β·P99.99Latency+γ·WearVariance+δ·Overhead，按阈值完成分组与块分派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在多目标间权衡，检验是否同时改善多个指标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5</w:t>
            </w:r>
          </w:p>
        </w:tc>
        <w:tc>
          <w:tcPr>
            <w:tcW w:type="dxa" w:w="523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在 FEMU/MQSim/真实 SSD 环境记录温度、WAF、延迟、擦写次数、开销；按负载/时间段划分训练/验证/测试，另设未见负载测试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评估跨负载稳健性与可复现性；避免随机切分信息泄露</w:t>
            </w:r>
          </w:p>
        </w:tc>
      </w:tr>
    </w:tbl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P16｜第一轮问题分析与调整依据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团队实际发现的问题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68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第一轮具体问题</w:t>
            </w:r>
          </w:p>
        </w:tc>
        <w:tc>
          <w:tcPr>
            <w:tcW w:type="dxa" w:w="221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判断依据</w:t>
            </w:r>
          </w:p>
        </w:tc>
        <w:tc>
          <w:tcPr>
            <w:tcW w:type="dxa" w:w="210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对科学结论或研究计划的影响</w:t>
            </w:r>
          </w:p>
        </w:tc>
        <w:tc>
          <w:tcPr>
            <w:tcW w:type="dxa" w:w="26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第二轮实际调整</w:t>
            </w:r>
          </w:p>
        </w:tc>
      </w:tr>
      <w:tr>
        <w:tc>
          <w:tcPr>
            <w:tcW w:type="dxa" w:w="168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H-01 依赖图结构/文件语义，需验证其必要性</w:t>
            </w:r>
          </w:p>
        </w:tc>
        <w:tc>
          <w:tcPr>
            <w:tcW w:type="dxa" w:w="2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三者是否都贡献、缺一是否不成立</w:t>
            </w:r>
          </w:p>
        </w:tc>
        <w:tc>
          <w:tcPr>
            <w:tcW w:type="dxa" w:w="210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若两者冗余，增加复杂度不带来收益</w:t>
            </w:r>
          </w:p>
        </w:tc>
        <w:tc>
          <w:tcPr>
            <w:tcW w:type="dxa" w:w="263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计划补一组「去图/去文件语义/去不确定性门控」的消融对比</w:t>
            </w:r>
          </w:p>
        </w:tc>
      </w:tr>
      <w:tr>
        <w:tc>
          <w:tcPr>
            <w:tcW w:type="dxa" w:w="168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H-02 跨负载泛化差、缺不确定性控制</w:t>
            </w:r>
          </w:p>
        </w:tc>
        <w:tc>
          <w:tcPr>
            <w:tcW w:type="dxa" w:w="2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基准论文仅单一负载；未见负载测试缺失</w:t>
            </w:r>
          </w:p>
        </w:tc>
        <w:tc>
          <w:tcPr>
            <w:tcW w:type="dxa" w:w="210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单负载结果不能支持「跨负载稳定」主张</w:t>
            </w:r>
          </w:p>
        </w:tc>
        <w:tc>
          <w:tcPr>
            <w:tcW w:type="dxa" w:w="263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第二轮强调「未见负载」测试与不确定性门控</w:t>
            </w:r>
          </w:p>
        </w:tc>
      </w:tr>
      <w:tr>
        <w:tc>
          <w:tcPr>
            <w:tcW w:type="dxa" w:w="168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部分计划「进一步研究」表述、阈值未量化</w:t>
            </w:r>
          </w:p>
        </w:tc>
        <w:tc>
          <w:tcPr>
            <w:tcW w:type="dxa" w:w="2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步骤/指标不够具体，缺判定阈值</w:t>
            </w:r>
          </w:p>
        </w:tc>
        <w:tc>
          <w:tcPr>
            <w:tcW w:type="dxa" w:w="210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研究计划难以复核</w:t>
            </w:r>
          </w:p>
        </w:tc>
        <w:tc>
          <w:tcPr>
            <w:tcW w:type="dxa" w:w="263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将结果/停止条件改为量化区间/阈值</w:t>
            </w:r>
          </w:p>
        </w:tc>
      </w:tr>
      <w:tr>
        <w:tc>
          <w:tcPr>
            <w:tcW w:type="dxa" w:w="168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引用与证据需严格白名单，防虚构</w:t>
            </w:r>
          </w:p>
        </w:tc>
        <w:tc>
          <w:tcPr>
            <w:tcW w:type="dxa" w:w="221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评估核验发现个别越界引用</w:t>
            </w:r>
          </w:p>
        </w:tc>
        <w:tc>
          <w:tcPr>
            <w:tcW w:type="dxa" w:w="210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虚构引用会破坏可信度</w:t>
            </w:r>
          </w:p>
        </w:tc>
        <w:tc>
          <w:tcPr>
            <w:tcW w:type="dxa" w:w="263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第二轮强化白名单核验并拦截非白名单来源</w:t>
            </w:r>
          </w:p>
        </w:tc>
      </w:tr>
    </w:tbl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调整逻辑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哪条证据、评价或人工意见触发了调整：</w:t>
      </w:r>
      <w:r/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【待补充：如评审/核验的自洽性、数据不可采集、人工（存储领域成员）指出特征不可采集/文件语义泄露/指标权重调整等】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第二轮增加、删除或改变了什么：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增加：消融对比（去图结构/去文件语义/去不确定性门控）与「未见负载」测试；把计划中空泛表述改为量化阈值/步骤；强化引用白名单核验。删除/收缩：跨负载假设未获支持时收缩表述。改变：指标口径更明确（WAF、P99/P99.99 延迟、磨损离散度、开销）。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哪些内容保持不变，为什么：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四库 RAG + 引用白名单防幻觉 + 八 Agent 编排 + 人在回路机制保持不变——这些是系统通用能力与科研闭环的基石，与案例无关且已被验证有效。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团队预期第二轮在哪些方面改善：</w:t>
      </w:r>
      <w:r/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【待补充：如提升可证伪性/计划可执行性/引用真实性，或跨负载稳健性更强】</w:t>
      </w:r>
    </w:p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P17｜第二轮候选假设、研究计划与修订结果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第一轮与第二轮的实际变化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变化内容</w:t>
            </w:r>
          </w:p>
        </w:tc>
        <w:tc>
          <w:tcPr>
            <w:tcW w:type="dxa" w:w="21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第一轮</w:t>
            </w:r>
          </w:p>
        </w:tc>
        <w:tc>
          <w:tcPr>
            <w:tcW w:type="dxa" w:w="218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第二轮</w:t>
            </w:r>
          </w:p>
        </w:tc>
        <w:tc>
          <w:tcPr>
            <w:tcW w:type="dxa" w:w="149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变化原因</w:t>
            </w:r>
          </w:p>
        </w:tc>
        <w:tc>
          <w:tcPr>
            <w:tcW w:type="dxa" w:w="149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实际结果</w:t>
            </w:r>
          </w:p>
        </w:tc>
      </w:tr>
      <w:tr>
        <w:tc>
          <w:tcPr>
            <w:tcW w:type="dxa" w:w="129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科学证据</w:t>
            </w:r>
          </w:p>
        </w:tc>
        <w:tc>
          <w:tcPr>
            <w:tcW w:type="dxa" w:w="21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两篇论文 + 检索证据；个别越界引用</w:t>
            </w:r>
          </w:p>
        </w:tc>
        <w:tc>
          <w:tcPr>
            <w:tcW w:type="dxa" w:w="21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严格白名单核验；补充消融/未见负载证据需求</w:t>
            </w:r>
          </w:p>
        </w:tc>
        <w:tc>
          <w:tcPr>
            <w:tcW w:type="dxa" w:w="149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引用需可追溯，防虚构</w:t>
            </w:r>
          </w:p>
        </w:tc>
        <w:tc>
          <w:tcPr>
            <w:tcW w:type="dxa" w:w="149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【待补充：实际结果】</w:t>
            </w:r>
          </w:p>
        </w:tc>
      </w:tr>
      <w:tr>
        <w:tc>
          <w:tcPr>
            <w:tcW w:type="dxa" w:w="129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候选假设</w:t>
            </w:r>
          </w:p>
        </w:tc>
        <w:tc>
          <w:tcPr>
            <w:tcW w:type="dxa" w:w="21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H-01/H-02/H-03，部分缺可证伪预测</w:t>
            </w:r>
          </w:p>
        </w:tc>
        <w:tc>
          <w:tcPr>
            <w:tcW w:type="dxa" w:w="21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收缩跨负载主张；明确可检验预测与判定阈值</w:t>
            </w:r>
          </w:p>
        </w:tc>
        <w:tc>
          <w:tcPr>
            <w:tcW w:type="dxa" w:w="149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证据不足/不可检验</w:t>
            </w:r>
          </w:p>
        </w:tc>
        <w:tc>
          <w:tcPr>
            <w:tcW w:type="dxa" w:w="149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</w:tr>
      <w:tr>
        <w:tc>
          <w:tcPr>
            <w:tcW w:type="dxa" w:w="129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假设比较与筛选</w:t>
            </w:r>
          </w:p>
        </w:tc>
        <w:tc>
          <w:tcPr>
            <w:tcW w:type="dxa" w:w="21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多维评分 + 白名单</w:t>
            </w:r>
          </w:p>
        </w:tc>
        <w:tc>
          <w:tcPr>
            <w:tcW w:type="dxa" w:w="21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加入消融对比与未见负载测试以支撑筛选</w:t>
            </w:r>
          </w:p>
        </w:tc>
        <w:tc>
          <w:tcPr>
            <w:tcW w:type="dxa" w:w="149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区分单负载/跨负载</w:t>
            </w:r>
          </w:p>
        </w:tc>
        <w:tc>
          <w:tcPr>
            <w:tcW w:type="dxa" w:w="149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</w:tr>
      <w:tr>
        <w:tc>
          <w:tcPr>
            <w:tcW w:type="dxa" w:w="129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研究计划</w:t>
            </w:r>
          </w:p>
        </w:tc>
        <w:tc>
          <w:tcPr>
            <w:tcW w:type="dxa" w:w="21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含「进一步研究」等空泛表述</w:t>
            </w:r>
          </w:p>
        </w:tc>
        <w:tc>
          <w:tcPr>
            <w:tcW w:type="dxa" w:w="21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步骤化、量化阈值、停止/回退条件明确</w:t>
            </w:r>
          </w:p>
        </w:tc>
        <w:tc>
          <w:tcPr>
            <w:tcW w:type="dxa" w:w="149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计划需可复核</w:t>
            </w:r>
          </w:p>
        </w:tc>
        <w:tc>
          <w:tcPr>
            <w:tcW w:type="dxa" w:w="149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</w:tr>
      <w:tr>
        <w:tc>
          <w:tcPr>
            <w:tcW w:type="dxa" w:w="129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不确定性与边界</w:t>
            </w:r>
          </w:p>
        </w:tc>
        <w:tc>
          <w:tcPr>
            <w:tcW w:type="dxa" w:w="21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未明确</w:t>
            </w:r>
          </w:p>
        </w:tc>
        <w:tc>
          <w:tcPr>
            <w:tcW w:type="dxa" w:w="218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明确跨负载/图结构/文件语义依赖的不确定性</w:t>
            </w:r>
          </w:p>
        </w:tc>
        <w:tc>
          <w:tcPr>
            <w:tcW w:type="dxa" w:w="149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避免过度声称</w:t>
            </w:r>
          </w:p>
        </w:tc>
        <w:tc>
          <w:tcPr>
            <w:tcW w:type="dxa" w:w="149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</w:tr>
    </w:tbl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第二轮结论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第二轮实际改善了什么：</w:t>
      </w:r>
      <w:r/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【待补充：如引用真实性、假设可证伪性、计划可执行性、跨负载稳健性改善情况】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哪些方面没有改善或出现了新的代价：</w:t>
      </w:r>
      <w:r/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【待补充：如引入图结构与不确定性门控增加控制开销/复杂度；某些领域仍证据不足】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团队为什么在此时停止，或为什么仍需继续迭代：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本轮候选假设已具备可证伪预测、计划可复核、引用可追溯，达到展示通用领域闭环能力的目的，故在第二轮停止；若后续补充真实实验数据确需调整，再按需继续迭代。</w:t>
      </w:r>
    </w:p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P18｜实际对照、消融与方案优势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团队实际完成的比较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实际比较对象</w:t>
            </w:r>
          </w:p>
        </w:tc>
        <w:tc>
          <w:tcPr>
            <w:tcW w:type="dxa" w:w="16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保持相同的条件</w:t>
            </w:r>
          </w:p>
        </w:tc>
        <w:tc>
          <w:tcPr>
            <w:tcW w:type="dxa" w:w="17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采用的评价方法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本作品结果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对照结果</w:t>
            </w:r>
          </w:p>
        </w:tc>
        <w:tc>
          <w:tcPr>
            <w:tcW w:type="dxa" w:w="147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结论与代价</w:t>
            </w:r>
          </w:p>
        </w:tc>
      </w:tr>
      <w:tr>
        <w:tc>
          <w:tcPr>
            <w:tcW w:type="dxa" w:w="157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本作品 vs 单一大模型直接回答</w:t>
            </w:r>
          </w:p>
        </w:tc>
        <w:tc>
          <w:tcPr>
            <w:tcW w:type="dxa" w:w="166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相同科学问题与引用来源集</w:t>
            </w:r>
          </w:p>
        </w:tc>
        <w:tc>
          <w:tcPr>
            <w:tcW w:type="dxa" w:w="176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引用真实性 / 10 字段完整率 / 可证伪性 / 字段一致性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  <w:tc>
          <w:tcPr>
            <w:tcW w:type="dxa" w:w="147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本作品更有证据约束与可追溯性；代价是流程更长</w:t>
            </w:r>
          </w:p>
        </w:tc>
      </w:tr>
      <w:tr>
        <w:tc>
          <w:tcPr>
            <w:tcW w:type="dxa" w:w="157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有 / 无不确定性门控（消融）</w:t>
            </w:r>
          </w:p>
        </w:tc>
        <w:tc>
          <w:tcPr>
            <w:tcW w:type="dxa" w:w="166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相同数据/基线/指标</w:t>
            </w:r>
          </w:p>
        </w:tc>
        <w:tc>
          <w:tcPr>
            <w:tcW w:type="dxa" w:w="176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WAF / P99.99 延迟 / 磨损离散度 / 开销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  <w:tc>
          <w:tcPr>
            <w:tcW w:type="dxa" w:w="147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验证不确定性门控是否抑制错误预测负收益</w:t>
            </w:r>
          </w:p>
        </w:tc>
      </w:tr>
      <w:tr>
        <w:tc>
          <w:tcPr>
            <w:tcW w:type="dxa" w:w="157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有 / 无文件语义与图结构（消融）</w:t>
            </w:r>
          </w:p>
        </w:tc>
        <w:tc>
          <w:tcPr>
            <w:tcW w:type="dxa" w:w="1669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相同负载/指标</w:t>
            </w:r>
          </w:p>
        </w:tc>
        <w:tc>
          <w:tcPr>
            <w:tcW w:type="dxa" w:w="1767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跨负载稳健性、指标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  <w:tc>
          <w:tcPr>
            <w:tcW w:type="dxa" w:w="10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  <w:tc>
          <w:tcPr>
            <w:tcW w:type="dxa" w:w="147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界定三要素必要性，避免无谓复杂度</w:t>
            </w:r>
          </w:p>
        </w:tc>
      </w:tr>
    </w:tbl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结果说明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科学逻辑方面，本作品实际改善了什么：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把「凭直觉/经验形成假设」改为「证据→知识缺口→可证伪假设→可复核计划」的逻辑链；通过跨论文比较识别 gap、多证据约束与可检验预测，增强假设的自洽性与可证伪性。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技术方法方面，本作品实际改善了什么：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以八 Agent DAG 串联科研步骤、四库 RAG 组织证据、引用白名单核验杜绝虚构、多模态证据统一、人在回路保留科研判断，形成受证据约束、可复现的多智能体科研 harness。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结果表现方面，本作品实际改善了什么：</w:t>
      </w:r>
      <w:r/>
    </w:p>
    <w:p>
      <w:r>
        <w:rPr>
          <w:rFonts w:ascii="宋体" w:hAnsi="宋体" w:eastAsia="宋体"/>
          <w:b/>
          <w:i w:val="0"/>
          <w:color w:val="C05000"/>
          <w:sz w:val="21"/>
        </w:rPr>
        <w:t>【待补充：如 10 字段完整率、引用准确率、可执行性评分、125 题处理率等具体改善】</w:t>
      </w:r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没有改善的部分及增加的成本：</w:t>
      </w:r>
      <w:r/>
    </w:p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管线执行时延与模型调用成本高于单次问答；引入图结构/不确定性门控增加算法复杂度；四库规模与领域覆盖限制跨领域表现；仍依赖领域专家校验，尚未做到全自动。</w:t>
      </w:r>
    </w:p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P19｜125题总体结果、失败分析与适用边界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125题实际结果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9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结果情况</w:t>
            </w:r>
          </w:p>
        </w:tc>
        <w:tc>
          <w:tcPr>
            <w:tcW w:type="dxa" w:w="157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题目数量或比例</w:t>
            </w:r>
          </w:p>
        </w:tc>
        <w:tc>
          <w:tcPr>
            <w:tcW w:type="dxa" w:w="23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采用的判断口径</w:t>
            </w:r>
          </w:p>
        </w:tc>
        <w:tc>
          <w:tcPr>
            <w:tcW w:type="dxa" w:w="26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主要表现或原因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完整形成候选假设与研究计划</w:t>
            </w:r>
          </w:p>
        </w:tc>
        <w:tc>
          <w:tcPr>
            <w:tcW w:type="dxa" w:w="157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  <w:tc>
          <w:tcPr>
            <w:tcW w:type="dxa" w:w="235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10 字段完整、引用可追溯、假设可证伪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证据充分、领域知识库覆盖好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部分完成或证据不足</w:t>
            </w:r>
          </w:p>
        </w:tc>
        <w:tc>
          <w:tcPr>
            <w:tcW w:type="dxa" w:w="157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  <w:tc>
          <w:tcPr>
            <w:tcW w:type="dxa" w:w="235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召回不足两篇 / 证据覆盖弱 / 关键隐缺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领域库与公开数据有限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无法处理或需研究者判断</w:t>
            </w:r>
          </w:p>
        </w:tc>
        <w:tc>
          <w:tcPr>
            <w:tcW w:type="dxa" w:w="157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  <w:tc>
          <w:tcPr>
            <w:tcW w:type="dxa" w:w="235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引用无法核验 / 需领域专家裁定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弱网、缺外部来源、伦理/适用范围</w:t>
            </w:r>
          </w:p>
        </w:tc>
      </w:tr>
      <w:tr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重复运行或稳健性表现</w:t>
            </w:r>
          </w:p>
        </w:tc>
        <w:tc>
          <w:tcPr>
            <w:tcW w:type="dxa" w:w="1571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【待补充】</w:t>
            </w:r>
          </w:p>
        </w:tc>
        <w:tc>
          <w:tcPr>
            <w:tcW w:type="dxa" w:w="235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多次运行字段一致率、结果稳定度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固定提示词/配置化、去重</w:t>
            </w:r>
          </w:p>
        </w:tc>
      </w:tr>
    </w:tbl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失败与边界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3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典型失败或边界问题</w:t>
            </w:r>
          </w:p>
        </w:tc>
        <w:tc>
          <w:tcPr>
            <w:tcW w:type="dxa" w:w="209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实际表现</w:t>
            </w:r>
          </w:p>
        </w:tc>
        <w:tc>
          <w:tcPr>
            <w:tcW w:type="dxa" w:w="2095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原因分析</w:t>
            </w:r>
          </w:p>
        </w:tc>
        <w:tc>
          <w:tcPr>
            <w:tcW w:type="dxa" w:w="26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目前能够做到的程度</w:t>
            </w:r>
          </w:p>
        </w:tc>
      </w:tr>
      <w:tr>
        <w:tc>
          <w:tcPr>
            <w:tcW w:type="dxa" w:w="18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外部引用核验弱网/失败</w:t>
            </w:r>
          </w:p>
        </w:tc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返回 UNVERIFIABLE</w:t>
            </w:r>
          </w:p>
        </w:tc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网络/接口不可达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显式「无法核验」，不误判为虚构；本地库兜底</w:t>
            </w:r>
          </w:p>
        </w:tc>
      </w:tr>
      <w:tr>
        <w:tc>
          <w:tcPr>
            <w:tcW w:type="dxa" w:w="18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领域知识库/证据不足</w:t>
            </w:r>
          </w:p>
        </w:tc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假设强度受限或标记证据不足</w:t>
            </w:r>
          </w:p>
        </w:tc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库容与领域覆盖不足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回退补充检索；交由研究者判断</w:t>
            </w:r>
          </w:p>
        </w:tc>
      </w:tr>
      <w:tr>
        <w:tc>
          <w:tcPr>
            <w:tcW w:type="dxa" w:w="18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跨领域迁移偏弱</w:t>
            </w:r>
          </w:p>
        </w:tc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通用领域表现依赖知识库</w:t>
            </w:r>
          </w:p>
        </w:tc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未针对该领域灌库/调提示词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可替换知识库与 Skills 后迁移</w:t>
            </w:r>
          </w:p>
        </w:tc>
      </w:tr>
      <w:tr>
        <w:tc>
          <w:tcPr>
            <w:tcW w:type="dxa" w:w="1833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需领域专家判断</w:t>
            </w:r>
          </w:p>
        </w:tc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[人在回路] 暂停</w:t>
            </w:r>
          </w:p>
        </w:tc>
        <w:tc>
          <w:tcPr>
            <w:tcW w:type="dxa" w:w="2095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科学性/伦理/适用范围需人工</w:t>
            </w:r>
          </w:p>
        </w:tc>
        <w:tc>
          <w:tcPr>
            <w:tcW w:type="dxa" w:w="2618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保留人工审阅、修改、退回入口</w:t>
            </w:r>
          </w:p>
        </w:tc>
      </w:tr>
    </w:tbl>
    <w:p>
      <w:pPr>
        <w:spacing w:after="80" w:line="312" w:lineRule="auto"/>
      </w:pPr>
      <w:r>
        <w:rPr>
          <w:rFonts w:ascii="宋体" w:hAnsi="宋体" w:eastAsia="宋体"/>
          <w:b w:val="0"/>
          <w:i w:val="0"/>
          <w:sz w:val="21"/>
        </w:rPr>
        <w:t>郑重说明：本作品输出的是「建议性质」的候选假设与研究计划，属于科研规划参考；最终科学结论须由研究者完成实验验证并经同行评议，系统不替代科研伦理与领域专家判断，也不将模型生成结果表述为已验证的科学发现。</w:t>
      </w:r>
    </w:p>
    <w:p>
      <w:pPr>
        <w:spacing w:before="160" w:after="0"/>
      </w:pPr>
    </w:p>
    <w:p>
      <w:pPr>
        <w:keepNext/>
        <w:spacing w:before="280" w:after="160"/>
      </w:pPr>
      <w:r>
        <w:rPr>
          <w:rFonts w:ascii="宋体" w:hAnsi="宋体" w:eastAsia="宋体"/>
          <w:b/>
          <w:i w:val="0"/>
          <w:color w:val="000000"/>
          <w:sz w:val="32"/>
        </w:rPr>
        <w:t>P20｜代码复现与提交材料</w:t>
      </w:r>
    </w:p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最终交付内容</w:t>
      </w:r>
    </w:p>
    <w:tbl>
      <w:tblPr>
        <w:tblStyle w:val="TableGrid"/>
        <w:tblW w:type="dxa" w:w="8641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5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交付项目</w:t>
            </w:r>
          </w:p>
        </w:tc>
        <w:tc>
          <w:tcPr>
            <w:tcW w:type="dxa" w:w="62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i w:val="0"/>
                <w:sz w:val="20"/>
              </w:rPr>
              <w:t>实际提交内容或入口</w:t>
            </w:r>
          </w:p>
        </w:tc>
      </w:tr>
      <w:tr>
        <w:tc>
          <w:tcPr>
            <w:tcW w:type="dxa" w:w="235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源码、环境、依赖与运行方法</w:t>
            </w:r>
          </w:p>
        </w:tc>
        <w:tc>
          <w:tcPr>
            <w:tcW w:type="dxa" w:w="628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frontend/ backend/ ai-service/ data/ 四工程；docker-compose；start.py 一键启动；README 运行说明；依赖锁定文件</w:t>
            </w:r>
          </w:p>
        </w:tc>
      </w:tr>
      <w:tr>
        <w:tc>
          <w:tcPr>
            <w:tcW w:type="dxa" w:w="235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Qwen模型、调用方式及凭证或截图</w:t>
            </w:r>
          </w:p>
        </w:tc>
        <w:tc>
          <w:tcPr>
            <w:tcW w:type="dxa" w:w="628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阿里云百炼调用 Qwen-Max/Plus/Turbo；.env.example（密钥不入库）；百炼调用凭证/截图见 docs/百炼调用凭证1.png、2.png</w:t>
            </w:r>
          </w:p>
        </w:tc>
      </w:tr>
      <w:tr>
        <w:tc>
          <w:tcPr>
            <w:tcW w:type="dxa" w:w="235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官方125题逐题输出结果文档</w:t>
            </w:r>
          </w:p>
        </w:tc>
        <w:tc>
          <w:tcPr>
            <w:tcW w:type="dxa" w:w="628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【待补充：完成后截取部分逐题 10 字段输出示例入文 + 附夸克网盘完整结果链接（含证据不足/失败/需人工判断者保留）】</w:t>
            </w:r>
          </w:p>
        </w:tc>
      </w:tr>
      <w:tr>
        <w:tc>
          <w:tcPr>
            <w:tcW w:type="dxa" w:w="235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代表案例的输入、两轮结果和必要日志</w:t>
            </w:r>
          </w:p>
        </w:tc>
        <w:tc>
          <w:tcPr>
            <w:tcW w:type="dxa" w:w="628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SSD 案例：科学问题、两轮候选假设/研究计划、关键日志（见 P14–P17；两轮真实数据点待补充）</w:t>
            </w:r>
          </w:p>
        </w:tc>
      </w:tr>
      <w:tr>
        <w:tc>
          <w:tcPr>
            <w:tcW w:type="dxa" w:w="235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测试API、示例请求与可交互前端</w:t>
            </w:r>
          </w:p>
        </w:tc>
        <w:tc>
          <w:tcPr>
            <w:tcW w:type="dxa" w:w="628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ai-service PipelineController（run/stream/resume/state）+ backend 转发 + 前端 Vue Flow 人在回路入口；测试用例覆盖正常/空输入/无证据/接口失败/格式错误/引用虚构</w:t>
            </w:r>
          </w:p>
        </w:tc>
      </w:tr>
      <w:tr>
        <w:tc>
          <w:tcPr>
            <w:tcW w:type="dxa" w:w="2356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可选演示视频</w:t>
            </w:r>
          </w:p>
        </w:tc>
        <w:tc>
          <w:tcPr>
            <w:tcW w:type="dxa" w:w="6284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【待补充：上传夸克网盘（≤10 分钟，MP4 高清）并附链接】</w:t>
            </w:r>
          </w:p>
        </w:tc>
      </w:tr>
    </w:tbl>
    <w:p>
      <w:pPr>
        <w:keepNext/>
        <w:spacing w:before="120" w:after="80"/>
      </w:pPr>
      <w:r>
        <w:rPr>
          <w:rFonts w:ascii="宋体" w:hAnsi="宋体" w:eastAsia="宋体"/>
          <w:b/>
          <w:i w:val="0"/>
          <w:color w:val="000000"/>
          <w:sz w:val="22"/>
        </w:rPr>
        <w:t>提交前自检</w:t>
      </w:r>
    </w:p>
    <w:p>
      <w:r>
        <w:rPr>
          <w:rFonts w:ascii="宋体" w:hAnsi="宋体" w:eastAsia="宋体"/>
          <w:b w:val="0"/>
          <w:i w:val="0"/>
          <w:sz w:val="22"/>
        </w:rPr>
        <w:t xml:space="preserve">□ </w:t>
      </w:r>
      <w:r>
        <w:rPr>
          <w:rFonts w:ascii="宋体" w:hAnsi="宋体" w:eastAsia="宋体"/>
          <w:b w:val="0"/>
          <w:i w:val="0"/>
          <w:sz w:val="22"/>
        </w:rPr>
        <w:t>技术方案PPT/PDF不超过30页，正文内容与本作品实际实现一致。</w:t>
      </w:r>
    </w:p>
    <w:p>
      <w:r>
        <w:rPr>
          <w:rFonts w:ascii="宋体" w:hAnsi="宋体" w:eastAsia="宋体"/>
          <w:b w:val="0"/>
          <w:i w:val="0"/>
          <w:sz w:val="22"/>
        </w:rPr>
        <w:t xml:space="preserve">□ </w:t>
      </w:r>
      <w:r>
        <w:rPr>
          <w:rFonts w:ascii="宋体" w:hAnsi="宋体" w:eastAsia="宋体"/>
          <w:b w:val="0"/>
          <w:i w:val="0"/>
          <w:sz w:val="22"/>
        </w:rPr>
        <w:t>官方125道科学问题均保留逐题输出，证据不足、失败或需人工判断的题目没有被省略。</w:t>
      </w:r>
    </w:p>
    <w:p>
      <w:r>
        <w:rPr>
          <w:rFonts w:ascii="宋体" w:hAnsi="宋体" w:eastAsia="宋体"/>
          <w:b w:val="0"/>
          <w:i w:val="0"/>
          <w:sz w:val="22"/>
        </w:rPr>
        <w:t xml:space="preserve">□ </w:t>
      </w:r>
      <w:r>
        <w:rPr>
          <w:rFonts w:ascii="宋体" w:hAnsi="宋体" w:eastAsia="宋体"/>
          <w:b w:val="0"/>
          <w:i w:val="0"/>
          <w:sz w:val="22"/>
        </w:rPr>
        <w:t>代表案例真实呈现第一轮结果、调整依据和第二轮变化，没有用个别案例代替总体结果。</w:t>
      </w:r>
    </w:p>
    <w:p>
      <w:r>
        <w:rPr>
          <w:rFonts w:ascii="宋体" w:hAnsi="宋体" w:eastAsia="宋体"/>
          <w:b w:val="0"/>
          <w:i w:val="0"/>
          <w:sz w:val="22"/>
        </w:rPr>
        <w:t xml:space="preserve">□ </w:t>
      </w:r>
      <w:r>
        <w:rPr>
          <w:rFonts w:ascii="宋体" w:hAnsi="宋体" w:eastAsia="宋体"/>
          <w:b w:val="0"/>
          <w:i w:val="0"/>
          <w:sz w:val="22"/>
        </w:rPr>
        <w:t>源码、运行说明、Qwen调用凭证、125题结果文档、测试API和前端入口可以正常核验。</w:t>
      </w:r>
    </w:p>
    <w:p>
      <w:r>
        <w:rPr>
          <w:rFonts w:ascii="宋体" w:hAnsi="宋体" w:eastAsia="宋体"/>
          <w:b w:val="0"/>
          <w:i w:val="0"/>
          <w:sz w:val="22"/>
        </w:rPr>
        <w:t xml:space="preserve">□ </w:t>
      </w:r>
      <w:r>
        <w:rPr>
          <w:rFonts w:ascii="宋体" w:hAnsi="宋体" w:eastAsia="宋体"/>
          <w:b w:val="0"/>
          <w:i w:val="0"/>
          <w:sz w:val="22"/>
        </w:rPr>
        <w:t>未将模型生成的候选假设表述为已经得到验证的科学结论；受限数据、密钥和个人信息已妥善处理。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