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DA185">
      <w:pPr>
        <w:pStyle w:val="3"/>
        <w:jc w:val="left"/>
      </w:pPr>
      <w:r>
        <w:t>摘要与方案总览</w:t>
      </w:r>
    </w:p>
    <w:p w14:paraId="63AA383B">
      <w:pPr>
        <w:ind w:firstLine="360"/>
        <w:jc w:val="both"/>
      </w:pPr>
      <w:r>
        <w:t>科研工作中，研究者往往需要在大量论文、实验记录与跨学科方法之间反复检索、比较和推演，才能形成一条既有创新性又能被实验验证的研究假设。通用对话模型可以生成流畅文本，但容易出现事实依据不明、引用失真、推理过程不可追踪、实验方案难以落地等问题。针对上述痛点，本项目提出一套基于千问（Qwen）系列模型的多智能体 AI Scientist 平台，将科研灵感形成过程拆分为问题理解、文献检索、知识发现、假设生成、科学评估、实验设计和思辨辩论七个职责清晰的 Agent，并通过四库 RAG、结构化状态总线和人在回路机制组成“数据/文献输入-证据提取-候选假设-验证方案-研究计划”的闭环。</w:t>
      </w:r>
    </w:p>
    <w:p w14:paraId="59087AD5">
      <w:pPr>
        <w:ind w:firstLine="360"/>
        <w:jc w:val="both"/>
      </w:pPr>
      <w:r>
        <w:t>系统采用四层架构：Vue 3 前端负责任务创建、流程可视化和人工介入；Spring Boot 业务后端负责统一 API、任务持久化和 SSE 转发；Java + LangChain4j 多智能体服务负责 DAG 编排与 Qwen 调用；Python 数据引擎负责 PDF、表格和时序数据清洗，以及论文库、方法库、数据集库和证据库的构建。最终输出严格映射赛题规定的 10 个字段，并对每条文献保留 DOI、PMID 或 URL 来源标识。</w:t>
      </w:r>
    </w:p>
    <w:p w14:paraId="3B991B65">
      <w:pPr>
        <w:ind w:firstLine="360"/>
        <w:jc w:val="both"/>
      </w:pPr>
      <w:r>
        <w:t>本项目选择“深度学习 × SSD 可靠性与垃圾回收优化”作为首个验证方向。系统将从真实存储论文和 I/O 数据中识别现有 LSTM 温度预测、文件感知垃圾回收等方法的边界，形成“文件语义 + 时空负载建模 + 不确定性门控”的候选研究假设，并给出基线、指标、数据采集方案和可复现实验步骤。该案例当前处于端到端联调阶段，本稿只引用已经核验的真实论文，不虚构实验结果。</w:t>
      </w:r>
    </w:p>
    <w:p w14:paraId="579F40A9">
      <w:pPr>
        <w:pStyle w:val="4"/>
      </w:pPr>
      <w:r>
        <w:t>方案与评分点对应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09D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</w:tcPr>
          <w:p w14:paraId="55DF5A35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评分维度</w:t>
            </w:r>
          </w:p>
        </w:tc>
        <w:tc>
          <w:tcPr>
            <w:tcW w:w="4933" w:type="dxa"/>
            <w:shd w:val="clear" w:color="auto" w:fill="315CBE"/>
            <w:vAlign w:val="center"/>
          </w:tcPr>
          <w:p w14:paraId="27EB94BB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本项目的主要回答</w:t>
            </w:r>
          </w:p>
        </w:tc>
      </w:tr>
      <w:tr w14:paraId="29492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454F2B9E">
            <w:pPr>
              <w:spacing w:after="0"/>
              <w:jc w:val="left"/>
            </w:pPr>
            <w:r>
              <w:rPr>
                <w:sz w:val="15"/>
              </w:rPr>
              <w:t>科学价值 40 分</w:t>
            </w:r>
          </w:p>
        </w:tc>
        <w:tc>
          <w:tcPr>
            <w:tcW w:w="4933" w:type="dxa"/>
            <w:vAlign w:val="center"/>
          </w:tcPr>
          <w:p w14:paraId="46D0D2AD">
            <w:pPr>
              <w:spacing w:after="0"/>
              <w:jc w:val="left"/>
            </w:pPr>
            <w:r>
              <w:rPr>
                <w:sz w:val="15"/>
              </w:rPr>
              <w:t>证据约束的 Research Gap 识别、3-5 个候选假设、四维评估、真实引用核验、可执行实验方案</w:t>
            </w:r>
          </w:p>
        </w:tc>
      </w:tr>
      <w:tr w14:paraId="686E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18DAB9B5">
            <w:pPr>
              <w:spacing w:after="0"/>
              <w:jc w:val="left"/>
            </w:pPr>
            <w:r>
              <w:rPr>
                <w:sz w:val="15"/>
              </w:rPr>
              <w:t>技术深度 30 分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06F44C30">
            <w:pPr>
              <w:spacing w:after="0"/>
              <w:jc w:val="left"/>
            </w:pPr>
            <w:r>
              <w:rPr>
                <w:sz w:val="15"/>
              </w:rPr>
              <w:t>七 Agent 串并联 DAG、可插拔 Skills、四库混合 RAG、多模态证据适配、人在回路与结构化辩论</w:t>
            </w:r>
          </w:p>
        </w:tc>
      </w:tr>
      <w:tr w14:paraId="4264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02B31CBE">
            <w:pPr>
              <w:spacing w:after="0"/>
              <w:jc w:val="left"/>
            </w:pPr>
            <w:r>
              <w:rPr>
                <w:sz w:val="15"/>
              </w:rPr>
              <w:t>应用潜力 30 分</w:t>
            </w:r>
          </w:p>
        </w:tc>
        <w:tc>
          <w:tcPr>
            <w:tcW w:w="4933" w:type="dxa"/>
            <w:vAlign w:val="center"/>
          </w:tcPr>
          <w:p w14:paraId="5109162E">
            <w:pPr>
              <w:spacing w:after="0"/>
              <w:jc w:val="left"/>
            </w:pPr>
            <w:r>
              <w:rPr>
                <w:sz w:val="15"/>
              </w:rPr>
              <w:t>SSD 场景验证、标准化 10 字段研究计划、Docker 化部署、日志和证据链可追溯、可扩展至其他学科</w:t>
            </w:r>
          </w:p>
        </w:tc>
      </w:tr>
    </w:tbl>
    <w:p w14:paraId="51E1E0A8">
      <w:pPr>
        <w:spacing w:after="0"/>
      </w:pPr>
    </w:p>
    <w:p w14:paraId="0797B8D8">
      <w:r>
        <w:br w:type="page"/>
      </w:r>
    </w:p>
    <w:p w14:paraId="72BCAA4F">
      <w:pPr>
        <w:pStyle w:val="3"/>
        <w:jc w:val="left"/>
      </w:pPr>
      <w:r>
        <w:t>一、研究背景、核心问题与目标</w:t>
      </w:r>
    </w:p>
    <w:p w14:paraId="685424DC">
      <w:pPr>
        <w:pStyle w:val="4"/>
      </w:pPr>
      <w:r>
        <w:t>1.1 核心问题</w:t>
      </w:r>
    </w:p>
    <w:p w14:paraId="651AD2C8">
      <w:pPr>
        <w:ind w:firstLine="360"/>
        <w:jc w:val="both"/>
      </w:pPr>
      <w:r>
        <w:t>本项目不把 AI Scientist 定义为“自动写论文工具”，而是定义为“受证据约束的科研假设生成与验证规划系统”。需要解决的核心问题包括：</w:t>
      </w:r>
    </w:p>
    <w:p w14:paraId="775EA60A">
      <w:pPr>
        <w:pStyle w:val="14"/>
      </w:pPr>
      <w:r>
        <w:t>如何从论文全文、图表、实验数据和领域规则中提取可追溯的科学事实，避免仅凭摘要或孤立片段下结论；</w:t>
      </w:r>
    </w:p>
    <w:p w14:paraId="32D9C794">
      <w:pPr>
        <w:pStyle w:val="14"/>
      </w:pPr>
      <w:r>
        <w:t>如何让大模型在已知事实边界内进行归纳、演绎和跨学科迁移，产出具有创新性、自洽性和可证伪性的候选假设；</w:t>
      </w:r>
    </w:p>
    <w:p w14:paraId="04302D84">
      <w:pPr>
        <w:pStyle w:val="14"/>
      </w:pPr>
      <w:r>
        <w:t>如何对候选假设进行科学性评估，尤其是对 DOI、PMID、arXiv ID 和标题进行反向核验，防止虚构引用进入最终报告；</w:t>
      </w:r>
    </w:p>
    <w:p w14:paraId="0F685EE6">
      <w:pPr>
        <w:pStyle w:val="14"/>
      </w:pPr>
      <w:r>
        <w:t>如何将“创新想法”进一步转化为包含数据、基线、指标和预期范围的实验方案，使结果能够被团队复现；</w:t>
      </w:r>
    </w:p>
    <w:p w14:paraId="5F39A9E0">
      <w:pPr>
        <w:pStyle w:val="14"/>
      </w:pPr>
      <w:r>
        <w:t>如何在自动化与科研责任之间取得平衡，使导师能够在关键节点审阅、修改、退回或恢复流程。</w:t>
      </w:r>
    </w:p>
    <w:p w14:paraId="5DC9698F">
      <w:pPr>
        <w:pStyle w:val="4"/>
      </w:pPr>
      <w:r>
        <w:t>1.2 建设目标</w:t>
      </w:r>
    </w:p>
    <w:p w14:paraId="137D32B2">
      <w:pPr>
        <w:pStyle w:val="16"/>
      </w:pPr>
      <w:r>
        <w:t>建成一条从科研问题输入到《科学假设与研究计划》输出的多智能体闭环；</w:t>
      </w:r>
    </w:p>
    <w:p w14:paraId="042C4B35">
      <w:pPr>
        <w:pStyle w:val="16"/>
      </w:pPr>
      <w:r>
        <w:t>对赛题规定的 10 个字段实现结构化输出和字段级来源追踪；</w:t>
      </w:r>
    </w:p>
    <w:p w14:paraId="1C1B3B94">
      <w:pPr>
        <w:pStyle w:val="16"/>
      </w:pPr>
      <w:r>
        <w:t>对至少两篇不同来源文献进行跨文献比较，形成可解释的 Research Gap；</w:t>
      </w:r>
    </w:p>
    <w:p w14:paraId="789986CE">
      <w:pPr>
        <w:pStyle w:val="16"/>
      </w:pPr>
      <w:r>
        <w:t>每轮生成 3-5 个候选假设，按创新性、可行性、引用真实性和数据可获得性排序；</w:t>
      </w:r>
    </w:p>
    <w:p w14:paraId="54477639">
      <w:pPr>
        <w:pStyle w:val="16"/>
      </w:pPr>
      <w:r>
        <w:t>引用核验失败或暂时无法核验时禁止自动通过，保留人工确认入口；</w:t>
      </w:r>
    </w:p>
    <w:p w14:paraId="282291EA">
      <w:pPr>
        <w:pStyle w:val="16"/>
      </w:pPr>
      <w:r>
        <w:t>在 SSD 垃圾回收场景完成一个可运行、可展示、可复现的典型案例。</w:t>
      </w:r>
    </w:p>
    <w:p w14:paraId="6A9B1873">
      <w:pPr>
        <w:pStyle w:val="4"/>
      </w:pPr>
      <w:r>
        <w:t>1.3 设计原则</w:t>
      </w:r>
    </w:p>
    <w:p w14:paraId="7361A37B">
      <w:pPr>
        <w:pStyle w:val="16"/>
      </w:pPr>
      <w:r>
        <w:t>证据优先：结论必须能回到原始文献或数据；</w:t>
      </w:r>
    </w:p>
    <w:p w14:paraId="74A52BE7">
      <w:pPr>
        <w:pStyle w:val="16"/>
      </w:pPr>
      <w:r>
        <w:t>结构化优先：Agent 之间传递 JSON/Java Record，不依赖自然语言猜字段；</w:t>
      </w:r>
    </w:p>
    <w:p w14:paraId="17BBA2DF">
      <w:pPr>
        <w:pStyle w:val="16"/>
      </w:pPr>
      <w:r>
        <w:t>人机协同：模型给出候选方案，人类对研究方向和风险保留最终决定权；</w:t>
      </w:r>
    </w:p>
    <w:p w14:paraId="0EFA555A">
      <w:pPr>
        <w:pStyle w:val="16"/>
      </w:pPr>
      <w:r>
        <w:t>渐进降级：外部接口不可用时返回“无法核验”，不把网络失败解释成文献不存在；</w:t>
      </w:r>
    </w:p>
    <w:p w14:paraId="5AADBCB0">
      <w:pPr>
        <w:pStyle w:val="16"/>
      </w:pPr>
      <w:r>
        <w:t>可复现：固定模型、提示词、数据版本、运行参数和日志，支持 Docker 化部署。</w:t>
      </w:r>
    </w:p>
    <w:p w14:paraId="40A7F3C1">
      <w:r>
        <w:br w:type="page"/>
      </w:r>
    </w:p>
    <w:p w14:paraId="2527BBDD">
      <w:pPr>
        <w:pStyle w:val="3"/>
        <w:jc w:val="left"/>
      </w:pPr>
      <w:r>
        <w:t>二、总体技术路线</w:t>
      </w:r>
    </w:p>
    <w:p w14:paraId="301361D5">
      <w:pPr>
        <w:jc w:val="center"/>
      </w:pPr>
      <w:r>
        <w:drawing>
          <wp:inline distT="0" distB="0" distL="114300" distR="114300">
            <wp:extent cx="5831840" cy="1814195"/>
            <wp:effectExtent l="0" t="0" r="1016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78C3">
      <w:pPr>
        <w:jc w:val="center"/>
      </w:pPr>
      <w:r>
        <w:rPr>
          <w:color w:val="5D6B80"/>
          <w:sz w:val="16"/>
        </w:rPr>
        <w:t>图 1 总体技术路线</w:t>
      </w:r>
    </w:p>
    <w:p w14:paraId="5F193D3B">
      <w:pPr>
        <w:ind w:firstLine="360"/>
        <w:jc w:val="both"/>
      </w:pPr>
      <w:r>
        <w:t>系统接收自然语言科研问题，以及可选的 PDF、CSV/JSON、实验记录或图表文件。问题理解 Agent 首先形成领域、关键概念、约束条件和子查询；文献检索、知识发现与候选假设三个阶段并行执行，以缩短等待时间。结果聚合后进入人在回路暂停点，由用户查看证据、Research Gap 和候选假设，必要时修改问题边界或排除错误证据。</w:t>
      </w:r>
    </w:p>
    <w:p w14:paraId="30193D59">
      <w:pPr>
        <w:ind w:firstLine="360"/>
        <w:jc w:val="both"/>
      </w:pPr>
      <w:r>
        <w:t>确认后的候选假设进入质量闸门：评估 Agent 完成多维打分和引用核验；未通过者携带明确原因退回假设生成阶段，通过者交给实验设计 Agent。实验设计 Agent从方法库和数据集库中选择基线、指标、数据划分与风险控制，随后由倡议者和质疑者进行多轮结构化辩论。流程最终输出符合赛题规范的 10 字段研究计划。</w:t>
      </w:r>
    </w:p>
    <w:p w14:paraId="51C35E26">
      <w:pPr>
        <w:pStyle w:val="4"/>
      </w:pPr>
      <w:r>
        <w:t>2.1 输入与输出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5EC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</w:tcPr>
          <w:p w14:paraId="0C72AEE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类别</w:t>
            </w:r>
          </w:p>
        </w:tc>
        <w:tc>
          <w:tcPr>
            <w:tcW w:w="4933" w:type="dxa"/>
            <w:shd w:val="clear" w:color="auto" w:fill="315CBE"/>
            <w:vAlign w:val="center"/>
          </w:tcPr>
          <w:p w14:paraId="11078C4A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</w:tr>
      <w:tr w14:paraId="1B80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220450E1">
            <w:pPr>
              <w:spacing w:after="0"/>
              <w:jc w:val="left"/>
            </w:pPr>
            <w:r>
              <w:rPr>
                <w:sz w:val="15"/>
              </w:rPr>
              <w:t>输入</w:t>
            </w:r>
          </w:p>
        </w:tc>
        <w:tc>
          <w:tcPr>
            <w:tcW w:w="4933" w:type="dxa"/>
            <w:vAlign w:val="center"/>
          </w:tcPr>
          <w:p w14:paraId="02AE09D2">
            <w:pPr>
              <w:spacing w:after="0"/>
              <w:jc w:val="left"/>
            </w:pPr>
            <w:r>
              <w:rPr>
                <w:sz w:val="15"/>
              </w:rPr>
              <w:t>科研问题、领域标签、PDF 文献、CSV/JSON 数据、实验记录、图表/页面图像</w:t>
            </w:r>
          </w:p>
        </w:tc>
      </w:tr>
      <w:tr w14:paraId="4AC8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28EAB762">
            <w:pPr>
              <w:spacing w:after="0"/>
              <w:jc w:val="left"/>
            </w:pPr>
            <w:r>
              <w:rPr>
                <w:sz w:val="15"/>
              </w:rPr>
              <w:t>中间产物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6EE2A2FA">
            <w:pPr>
              <w:spacing w:after="0"/>
              <w:jc w:val="left"/>
            </w:pPr>
            <w:r>
              <w:rPr>
                <w:sz w:val="15"/>
              </w:rPr>
              <w:t>子查询、证据片段、跨文献差异、Research Gap、候选假设、评分、实验计划、辩论纪要</w:t>
            </w:r>
          </w:p>
        </w:tc>
      </w:tr>
      <w:tr w14:paraId="6997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528B0749">
            <w:pPr>
              <w:spacing w:after="0"/>
              <w:jc w:val="left"/>
            </w:pPr>
            <w:r>
              <w:rPr>
                <w:sz w:val="15"/>
              </w:rPr>
              <w:t>最终输出</w:t>
            </w:r>
          </w:p>
        </w:tc>
        <w:tc>
          <w:tcPr>
            <w:tcW w:w="4933" w:type="dxa"/>
            <w:vAlign w:val="center"/>
          </w:tcPr>
          <w:p w14:paraId="1C8EF2F3">
            <w:pPr>
              <w:spacing w:after="0"/>
              <w:jc w:val="left"/>
            </w:pPr>
            <w:r>
              <w:rPr>
                <w:sz w:val="15"/>
              </w:rPr>
              <w:t>Problem Statement、Rationale、Technical Details、Datasets、Paper Title、Paper Abstract、Methods、Experiments、Results、References</w:t>
            </w:r>
          </w:p>
        </w:tc>
      </w:tr>
    </w:tbl>
    <w:p w14:paraId="006BF95D">
      <w:pPr>
        <w:spacing w:after="0"/>
      </w:pPr>
    </w:p>
    <w:p w14:paraId="05F23045">
      <w:pPr>
        <w:pStyle w:val="4"/>
      </w:pPr>
      <w:r>
        <w:t>2.2 闭环与退回机制</w:t>
      </w:r>
    </w:p>
    <w:p w14:paraId="6A7C9BA9">
      <w:pPr>
        <w:ind w:firstLine="360"/>
        <w:jc w:val="both"/>
      </w:pPr>
      <w:r>
        <w:t>流程不是单向文本生成。评估发现引用虚构、证据覆盖不足、总分低于阈值或数据不可获得时，将问题与原因写入状态总线并退回；人在回路也可修改候选假设后恢复。所有退回均保留版本号与原因，便于复盘。</w:t>
      </w:r>
    </w:p>
    <w:p w14:paraId="340A1E61">
      <w:r>
        <w:br w:type="page"/>
      </w:r>
    </w:p>
    <w:p w14:paraId="1B1E88CA">
      <w:pPr>
        <w:pStyle w:val="3"/>
        <w:jc w:val="left"/>
      </w:pPr>
      <w:r>
        <w:t>三、系统总体架构</w:t>
      </w:r>
    </w:p>
    <w:p w14:paraId="613486FC">
      <w:pPr>
        <w:jc w:val="center"/>
      </w:pPr>
      <w:r>
        <w:drawing>
          <wp:inline distT="0" distB="0" distL="114300" distR="114300">
            <wp:extent cx="5831840" cy="3567430"/>
            <wp:effectExtent l="0" t="0" r="1016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6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E15C8F">
      <w:pPr>
        <w:jc w:val="center"/>
      </w:pPr>
      <w:r>
        <w:rPr>
          <w:color w:val="5D6B80"/>
          <w:sz w:val="16"/>
        </w:rPr>
        <w:t>图 2 四层系统架构</w:t>
      </w:r>
    </w:p>
    <w:p w14:paraId="3A4AEC10">
      <w:pPr>
        <w:pStyle w:val="4"/>
      </w:pPr>
      <w:r>
        <w:t>3.1 前端交互层</w:t>
      </w:r>
    </w:p>
    <w:p w14:paraId="47F47551">
      <w:pPr>
        <w:ind w:firstLine="360"/>
        <w:jc w:val="both"/>
      </w:pPr>
      <w:r>
        <w:t>采用 Vue 3、Vite、TypeScript 与 Element Plus。主要页面包括科研任务创建、七 Agent 流水线、知识库浏览、结果报告和历史任务。SSE 事件驱动前端更新 Agent 状态和阶段结果；人在回路按钮用于提交审阅意见、修改参数和恢复管线。前端只连接业务后端，不直接访问 AI 服务，以便统一鉴权、日志与错误处理。</w:t>
      </w:r>
    </w:p>
    <w:p w14:paraId="1F242A71">
      <w:pPr>
        <w:pStyle w:val="4"/>
      </w:pPr>
      <w:r>
        <w:t>3.2 业务后端层</w:t>
      </w:r>
    </w:p>
    <w:p w14:paraId="5D78AA8D">
      <w:pPr>
        <w:ind w:firstLine="360"/>
        <w:jc w:val="both"/>
      </w:pPr>
      <w:r>
        <w:t>采用 Spring Boot 3.x。对外提供任务提交、文件上传、任务查询、流式进度、人工介入和报告获取接口；对内转发 AI 服务调用。任务、文件元数据、状态快照、最终报告与百炼调用日志由 MySQL 持久化。</w:t>
      </w:r>
    </w:p>
    <w:p w14:paraId="539314E1">
      <w:pPr>
        <w:pStyle w:val="4"/>
      </w:pPr>
      <w:r>
        <w:t>3.3 多智能体服务层</w:t>
      </w:r>
    </w:p>
    <w:p w14:paraId="772ED6A3">
      <w:pPr>
        <w:ind w:firstLine="360"/>
        <w:jc w:val="both"/>
      </w:pPr>
      <w:r>
        <w:t>采用 Java、Spring Boot、LangChain4j 与千问模型。</w:t>
      </w:r>
      <w:r>
        <w:rPr>
          <w:rFonts w:ascii="Consolas" w:hAnsi="Consolas"/>
          <w:color w:val="315CBE"/>
        </w:rPr>
        <w:t>PipelineEngine</w:t>
      </w:r>
      <w:r>
        <w:t xml:space="preserve"> 按 </w:t>
      </w:r>
      <w:r>
        <w:rPr>
          <w:rFonts w:ascii="Consolas" w:hAnsi="Consolas"/>
          <w:color w:val="315CBE"/>
        </w:rPr>
        <w:t>AgentStage</w:t>
      </w:r>
      <w:r>
        <w:t xml:space="preserve"> 自动收集 Agent，实现串行阶段、并行阶段、异常传播和最终报告组装。各 Agent 通过独立 System Prompt、工具集合和结构化 Schema 形成可替换模块。</w:t>
      </w:r>
    </w:p>
    <w:p w14:paraId="18BE55D4">
      <w:pPr>
        <w:pStyle w:val="4"/>
      </w:pPr>
      <w:r>
        <w:t>3.4 数据引擎层</w:t>
      </w:r>
    </w:p>
    <w:p w14:paraId="31307D51">
      <w:pPr>
        <w:ind w:firstLine="360"/>
        <w:jc w:val="both"/>
      </w:pPr>
      <w:r>
        <w:t>Python 数据管线负责 PDF 解析、文本清洗、语义分块、元数据补全与四库灌库。开发环境使用 Chroma，资源允许时切换 Milvus；关系数据使用 MySQL。当前四库灌库脚本已经形成，真实检索服务和主仓库 Agent 字段仍需在联调阶段统一。</w:t>
      </w:r>
    </w:p>
    <w:p w14:paraId="41C35484">
      <w:pPr>
        <w:pStyle w:val="4"/>
      </w:pPr>
      <w:r>
        <w:t>3.5 通信约定</w:t>
      </w:r>
    </w:p>
    <w:p w14:paraId="7915EDC4">
      <w:pPr>
        <w:pStyle w:val="16"/>
      </w:pPr>
      <w:r>
        <w:t>前端 → 后端：HTTP/REST + SSE；</w:t>
      </w:r>
    </w:p>
    <w:p w14:paraId="5A28A18A">
      <w:pPr>
        <w:pStyle w:val="16"/>
      </w:pPr>
      <w:r>
        <w:t>后端 → AI 服务：内部 REST + SSE；</w:t>
      </w:r>
    </w:p>
    <w:p w14:paraId="721842F9">
      <w:pPr>
        <w:pStyle w:val="16"/>
      </w:pPr>
      <w:r>
        <w:t>AI 服务 → 向量库：Java/Python SDK；</w:t>
      </w:r>
    </w:p>
    <w:p w14:paraId="789FF21F">
      <w:pPr>
        <w:pStyle w:val="16"/>
      </w:pPr>
      <w:r>
        <w:t>数据引擎 → 四库：JSONL 数据契约；</w:t>
      </w:r>
    </w:p>
    <w:p w14:paraId="7650BED5">
      <w:pPr>
        <w:pStyle w:val="16"/>
      </w:pPr>
      <w:r>
        <w:t>关键事件：</w:t>
      </w:r>
      <w:r>
        <w:rPr>
          <w:rFonts w:ascii="Consolas" w:hAnsi="Consolas"/>
          <w:color w:val="315CBE"/>
        </w:rPr>
        <w:t>agent.start</w:t>
      </w:r>
      <w:r>
        <w:t>、</w:t>
      </w:r>
      <w:r>
        <w:rPr>
          <w:rFonts w:ascii="Consolas" w:hAnsi="Consolas"/>
          <w:color w:val="315CBE"/>
        </w:rPr>
        <w:t>agent.result</w:t>
      </w:r>
      <w:r>
        <w:t>、</w:t>
      </w:r>
      <w:r>
        <w:rPr>
          <w:rFonts w:ascii="Consolas" w:hAnsi="Consolas"/>
          <w:color w:val="315CBE"/>
        </w:rPr>
        <w:t>pipeline.pause</w:t>
      </w:r>
      <w:r>
        <w:t>、</w:t>
      </w:r>
      <w:r>
        <w:rPr>
          <w:rFonts w:ascii="Consolas" w:hAnsi="Consolas"/>
          <w:color w:val="315CBE"/>
        </w:rPr>
        <w:t>pipeline.resume</w:t>
      </w:r>
      <w:r>
        <w:t>、</w:t>
      </w:r>
      <w:r>
        <w:rPr>
          <w:rFonts w:ascii="Consolas" w:hAnsi="Consolas"/>
          <w:color w:val="315CBE"/>
        </w:rPr>
        <w:t>pipeline.done</w:t>
      </w:r>
      <w:r>
        <w:t>、</w:t>
      </w:r>
      <w:r>
        <w:rPr>
          <w:rFonts w:ascii="Consolas" w:hAnsi="Consolas"/>
          <w:color w:val="315CBE"/>
        </w:rPr>
        <w:t>pipeline.error</w:t>
      </w:r>
      <w:r>
        <w:t>。</w:t>
      </w:r>
    </w:p>
    <w:p w14:paraId="1F18330C">
      <w:r>
        <w:br w:type="page"/>
      </w:r>
    </w:p>
    <w:p w14:paraId="2C31202C">
      <w:pPr>
        <w:pStyle w:val="3"/>
        <w:jc w:val="left"/>
      </w:pPr>
      <w:r>
        <w:t>四、七 Agent DAG 与状态总线</w:t>
      </w:r>
    </w:p>
    <w:p w14:paraId="2B4E36FE">
      <w:pPr>
        <w:jc w:val="center"/>
      </w:pPr>
      <w:r>
        <w:drawing>
          <wp:inline distT="0" distB="0" distL="114300" distR="114300">
            <wp:extent cx="5831840" cy="3239770"/>
            <wp:effectExtent l="0" t="0" r="1016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59FF">
      <w:pPr>
        <w:jc w:val="center"/>
      </w:pPr>
      <w:r>
        <w:rPr>
          <w:color w:val="5D6B80"/>
          <w:sz w:val="16"/>
        </w:rPr>
        <w:t>图 3 七 Agent 流水线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3D97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6" w:type="dxa"/>
            <w:shd w:val="clear" w:color="auto" w:fill="315CBE"/>
            <w:vAlign w:val="center"/>
          </w:tcPr>
          <w:p w14:paraId="2DBA5C84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01EE60C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Agent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32BD7DC4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核心职责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4E9E7928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主要产物</w:t>
            </w:r>
          </w:p>
        </w:tc>
      </w:tr>
      <w:tr w14:paraId="312D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6A347FCF">
            <w:pPr>
              <w:spacing w:after="0"/>
              <w:jc w:val="left"/>
            </w:pPr>
            <w:r>
              <w:rPr>
                <w:sz w:val="15"/>
              </w:rPr>
              <w:t>①</w:t>
            </w:r>
          </w:p>
        </w:tc>
        <w:tc>
          <w:tcPr>
            <w:tcW w:w="2466" w:type="dxa"/>
            <w:vAlign w:val="center"/>
          </w:tcPr>
          <w:p w14:paraId="63AB47EF">
            <w:pPr>
              <w:spacing w:after="0"/>
              <w:jc w:val="left"/>
            </w:pPr>
            <w:r>
              <w:rPr>
                <w:sz w:val="15"/>
              </w:rPr>
              <w:t>问题理解</w:t>
            </w:r>
          </w:p>
        </w:tc>
        <w:tc>
          <w:tcPr>
            <w:tcW w:w="2466" w:type="dxa"/>
            <w:vAlign w:val="center"/>
          </w:tcPr>
          <w:p w14:paraId="75F1FACD">
            <w:pPr>
              <w:spacing w:after="0"/>
              <w:jc w:val="left"/>
            </w:pPr>
            <w:r>
              <w:rPr>
                <w:sz w:val="15"/>
              </w:rPr>
              <w:t>识别领域、概念、约束、变量，拆解子查询</w:t>
            </w:r>
          </w:p>
        </w:tc>
        <w:tc>
          <w:tcPr>
            <w:tcW w:w="2466" w:type="dxa"/>
            <w:vAlign w:val="center"/>
          </w:tcPr>
          <w:p w14:paraId="57A6171C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QuestionQuery</w:t>
            </w:r>
          </w:p>
        </w:tc>
      </w:tr>
      <w:tr w14:paraId="1706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4F4891CC">
            <w:pPr>
              <w:spacing w:after="0"/>
              <w:jc w:val="left"/>
            </w:pPr>
            <w:r>
              <w:rPr>
                <w:sz w:val="15"/>
              </w:rPr>
              <w:t>②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FF94BFB">
            <w:pPr>
              <w:spacing w:after="0"/>
              <w:jc w:val="left"/>
            </w:pPr>
            <w:r>
              <w:rPr>
                <w:sz w:val="15"/>
              </w:rPr>
              <w:t>文献检索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FD5783C">
            <w:pPr>
              <w:spacing w:after="0"/>
              <w:jc w:val="left"/>
            </w:pPr>
            <w:r>
              <w:rPr>
                <w:sz w:val="15"/>
              </w:rPr>
              <w:t>检索论文库和证据库，返回 Top-K 与引用链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E947B79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LiteratureResult</w:t>
            </w:r>
          </w:p>
        </w:tc>
      </w:tr>
      <w:tr w14:paraId="1C4E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6939682D">
            <w:pPr>
              <w:spacing w:after="0"/>
              <w:jc w:val="left"/>
            </w:pPr>
            <w:r>
              <w:rPr>
                <w:sz w:val="15"/>
              </w:rPr>
              <w:t>③</w:t>
            </w:r>
          </w:p>
        </w:tc>
        <w:tc>
          <w:tcPr>
            <w:tcW w:w="2466" w:type="dxa"/>
            <w:vAlign w:val="center"/>
          </w:tcPr>
          <w:p w14:paraId="4EB00ABC">
            <w:pPr>
              <w:spacing w:after="0"/>
              <w:jc w:val="left"/>
            </w:pPr>
            <w:r>
              <w:rPr>
                <w:sz w:val="15"/>
              </w:rPr>
              <w:t>知识发现</w:t>
            </w:r>
          </w:p>
        </w:tc>
        <w:tc>
          <w:tcPr>
            <w:tcW w:w="2466" w:type="dxa"/>
            <w:vAlign w:val="center"/>
          </w:tcPr>
          <w:p w14:paraId="289BB707">
            <w:pPr>
              <w:spacing w:after="0"/>
              <w:jc w:val="left"/>
            </w:pPr>
            <w:r>
              <w:rPr>
                <w:sz w:val="15"/>
              </w:rPr>
              <w:t>逐篇证据提取、跨论文比较、Gap 排序</w:t>
            </w:r>
          </w:p>
        </w:tc>
        <w:tc>
          <w:tcPr>
            <w:tcW w:w="2466" w:type="dxa"/>
            <w:vAlign w:val="center"/>
          </w:tcPr>
          <w:p w14:paraId="0B0AF28C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DiscoveryResult</w:t>
            </w:r>
          </w:p>
        </w:tc>
      </w:tr>
      <w:tr w14:paraId="4033F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53821D99">
            <w:pPr>
              <w:spacing w:after="0"/>
              <w:jc w:val="left"/>
            </w:pPr>
            <w:r>
              <w:rPr>
                <w:sz w:val="15"/>
              </w:rPr>
              <w:t>④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BF4F8F0">
            <w:pPr>
              <w:spacing w:after="0"/>
              <w:jc w:val="left"/>
            </w:pPr>
            <w:r>
              <w:rPr>
                <w:sz w:val="15"/>
              </w:rPr>
              <w:t>假设生成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A7F0601">
            <w:pPr>
              <w:spacing w:after="0"/>
              <w:jc w:val="left"/>
            </w:pPr>
            <w:r>
              <w:rPr>
                <w:sz w:val="15"/>
              </w:rPr>
              <w:t>归纳、演绎与技术迁移，形成 3-5 个假设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9114558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HypothesisResult</w:t>
            </w:r>
          </w:p>
        </w:tc>
      </w:tr>
      <w:tr w14:paraId="4218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5BE91969">
            <w:pPr>
              <w:spacing w:after="0"/>
              <w:jc w:val="left"/>
            </w:pPr>
            <w:r>
              <w:rPr>
                <w:sz w:val="15"/>
              </w:rPr>
              <w:t>⑤</w:t>
            </w:r>
          </w:p>
        </w:tc>
        <w:tc>
          <w:tcPr>
            <w:tcW w:w="2466" w:type="dxa"/>
            <w:vAlign w:val="center"/>
          </w:tcPr>
          <w:p w14:paraId="6D8C8D7A">
            <w:pPr>
              <w:spacing w:after="0"/>
              <w:jc w:val="left"/>
            </w:pPr>
            <w:r>
              <w:rPr>
                <w:sz w:val="15"/>
              </w:rPr>
              <w:t>科学评估</w:t>
            </w:r>
          </w:p>
        </w:tc>
        <w:tc>
          <w:tcPr>
            <w:tcW w:w="2466" w:type="dxa"/>
            <w:vAlign w:val="center"/>
          </w:tcPr>
          <w:p w14:paraId="155BF584">
            <w:pPr>
              <w:spacing w:after="0"/>
              <w:jc w:val="left"/>
            </w:pPr>
            <w:r>
              <w:rPr>
                <w:sz w:val="15"/>
              </w:rPr>
              <w:t>四维评分、数据可得性检查和引用核验</w:t>
            </w:r>
          </w:p>
        </w:tc>
        <w:tc>
          <w:tcPr>
            <w:tcW w:w="2466" w:type="dxa"/>
            <w:vAlign w:val="center"/>
          </w:tcPr>
          <w:p w14:paraId="771A4A2E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EvaluationResult</w:t>
            </w:r>
          </w:p>
        </w:tc>
      </w:tr>
      <w:tr w14:paraId="01C32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282889C3">
            <w:pPr>
              <w:spacing w:after="0"/>
              <w:jc w:val="left"/>
            </w:pPr>
            <w:r>
              <w:rPr>
                <w:sz w:val="15"/>
              </w:rPr>
              <w:t>⑥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6B06BAA3">
            <w:pPr>
              <w:spacing w:after="0"/>
              <w:jc w:val="left"/>
            </w:pPr>
            <w:r>
              <w:rPr>
                <w:sz w:val="15"/>
              </w:rPr>
              <w:t>实验设计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12E1CD49">
            <w:pPr>
              <w:spacing w:after="0"/>
              <w:jc w:val="left"/>
            </w:pPr>
            <w:r>
              <w:rPr>
                <w:sz w:val="15"/>
              </w:rPr>
              <w:t>基线、指标、数据划分、风险与结果范围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1E26A4A4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ExperimentResult</w:t>
            </w:r>
          </w:p>
        </w:tc>
      </w:tr>
      <w:tr w14:paraId="396E7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467057ED">
            <w:pPr>
              <w:spacing w:after="0"/>
              <w:jc w:val="left"/>
            </w:pPr>
            <w:r>
              <w:rPr>
                <w:sz w:val="15"/>
              </w:rPr>
              <w:t>⑦</w:t>
            </w:r>
          </w:p>
        </w:tc>
        <w:tc>
          <w:tcPr>
            <w:tcW w:w="2466" w:type="dxa"/>
            <w:vAlign w:val="center"/>
          </w:tcPr>
          <w:p w14:paraId="2F995EEC">
            <w:pPr>
              <w:spacing w:after="0"/>
              <w:jc w:val="left"/>
            </w:pPr>
            <w:r>
              <w:rPr>
                <w:sz w:val="15"/>
              </w:rPr>
              <w:t>思辨辩论</w:t>
            </w:r>
          </w:p>
        </w:tc>
        <w:tc>
          <w:tcPr>
            <w:tcW w:w="2466" w:type="dxa"/>
            <w:vAlign w:val="center"/>
          </w:tcPr>
          <w:p w14:paraId="44CEF239">
            <w:pPr>
              <w:spacing w:after="0"/>
              <w:jc w:val="left"/>
            </w:pPr>
            <w:r>
              <w:rPr>
                <w:sz w:val="15"/>
              </w:rPr>
              <w:t>倡议者/质疑者多轮审查，收敛最终方案</w:t>
            </w:r>
          </w:p>
        </w:tc>
        <w:tc>
          <w:tcPr>
            <w:tcW w:w="2466" w:type="dxa"/>
            <w:vAlign w:val="center"/>
          </w:tcPr>
          <w:p w14:paraId="561DC004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DebateResult</w:t>
            </w:r>
          </w:p>
        </w:tc>
      </w:tr>
    </w:tbl>
    <w:p w14:paraId="0729D450">
      <w:pPr>
        <w:spacing w:after="0"/>
      </w:pPr>
    </w:p>
    <w:p w14:paraId="03CDC09C">
      <w:pPr>
        <w:pStyle w:val="4"/>
      </w:pPr>
      <w:r>
        <w:t>4.1 串并联编排</w:t>
      </w:r>
    </w:p>
    <w:p w14:paraId="570BE62D">
      <w:pPr>
        <w:ind w:firstLine="360"/>
        <w:jc w:val="both"/>
      </w:pPr>
      <w:r>
        <w:t>问题理解必须先完成；文献检索、知识发现和假设生成可并行执行，但知识发现最终必须基于至少两篇不同来源证据。三路结果聚合后暂停，待人工确认，再串行执行评估、实验设计与辩论。这种设计兼顾运行效率与证据一致性。</w:t>
      </w:r>
    </w:p>
    <w:p w14:paraId="4C161A1C">
      <w:pPr>
        <w:pStyle w:val="4"/>
      </w:pPr>
      <w:r>
        <w:t>4.2 状态总线</w:t>
      </w:r>
    </w:p>
    <w:p w14:paraId="1FDD43CC">
      <w:pPr>
        <w:ind w:firstLine="360"/>
        <w:jc w:val="both"/>
      </w:pPr>
      <w:r>
        <w:rPr>
          <w:rFonts w:ascii="Consolas" w:hAnsi="Consolas"/>
          <w:color w:val="315CBE"/>
        </w:rPr>
        <w:t>PipelineContext</w:t>
      </w:r>
      <w:r>
        <w:t xml:space="preserve"> 保存任务问题、七阶段结构化产物和最终报告。每个 Agent 只读取所需字段并写入自己的输出字段，避免模块间直接耦合。</w:t>
      </w:r>
      <w:r>
        <w:rPr>
          <w:rFonts w:ascii="Consolas" w:hAnsi="Consolas"/>
          <w:color w:val="315CBE"/>
        </w:rPr>
        <w:t>taskId/runId/hypothesisId/evaluationId</w:t>
      </w:r>
      <w:r>
        <w:t xml:space="preserve"> 用于跨服务追踪，任何阶段异常都能定位到具体任务与候选假设。</w:t>
      </w:r>
    </w:p>
    <w:p w14:paraId="5EFC6A6A">
      <w:pPr>
        <w:pStyle w:val="4"/>
      </w:pPr>
      <w:r>
        <w:t>4.3 人在回路</w:t>
      </w:r>
    </w:p>
    <w:p w14:paraId="5BCC215E">
      <w:pPr>
        <w:ind w:firstLine="360"/>
        <w:jc w:val="both"/>
      </w:pPr>
      <w:r>
        <w:t>暂停点位于候选假设聚合之后、自动评估之前。界面展示证据来源、Gap、候选假设与推理依据，用户可以：通过并继续、修改后继续、退回重做、剔除不可信证据。最终版本将把暂停 State 持久化，支持刷新页面后继续。</w:t>
      </w:r>
    </w:p>
    <w:p w14:paraId="66DC10E7">
      <w:r>
        <w:br w:type="page"/>
      </w:r>
    </w:p>
    <w:p w14:paraId="1C27783A">
      <w:pPr>
        <w:pStyle w:val="3"/>
        <w:jc w:val="left"/>
      </w:pPr>
      <w:r>
        <w:t>五、Agent Skills 与上下文工程</w:t>
      </w:r>
    </w:p>
    <w:p w14:paraId="30AA5131">
      <w:pPr>
        <w:ind w:firstLine="360"/>
        <w:jc w:val="both"/>
      </w:pPr>
      <w:r>
        <w:t>系统将复杂能力拆分为可复用 Skills，减少单个 Prompt 过长和职责混乱的问题。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368"/>
        <w:gridCol w:w="2981"/>
        <w:gridCol w:w="2295"/>
      </w:tblGrid>
      <w:tr w14:paraId="1DF28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6" w:type="dxa"/>
            <w:shd w:val="clear" w:color="auto" w:fill="315CBE"/>
            <w:vAlign w:val="center"/>
          </w:tcPr>
          <w:p w14:paraId="3572C7C4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Skill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54A442C8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输入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0F1A795C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输出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10C6562B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使用 Agent</w:t>
            </w:r>
          </w:p>
        </w:tc>
      </w:tr>
      <w:tr w14:paraId="2552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3067F1C5">
            <w:pPr>
              <w:spacing w:after="0"/>
              <w:jc w:val="left"/>
            </w:pPr>
            <w:r>
              <w:rPr>
                <w:sz w:val="15"/>
              </w:rPr>
              <w:t>QueryDecompositionSkill</w:t>
            </w:r>
          </w:p>
        </w:tc>
        <w:tc>
          <w:tcPr>
            <w:tcW w:w="2466" w:type="dxa"/>
            <w:vAlign w:val="center"/>
          </w:tcPr>
          <w:p w14:paraId="4A4D32F6">
            <w:pPr>
              <w:spacing w:after="0"/>
              <w:jc w:val="left"/>
            </w:pPr>
            <w:r>
              <w:rPr>
                <w:sz w:val="15"/>
              </w:rPr>
              <w:t>科研问题</w:t>
            </w:r>
          </w:p>
        </w:tc>
        <w:tc>
          <w:tcPr>
            <w:tcW w:w="2466" w:type="dxa"/>
            <w:vAlign w:val="center"/>
          </w:tcPr>
          <w:p w14:paraId="1308E47A">
            <w:pPr>
              <w:spacing w:after="0"/>
              <w:jc w:val="left"/>
            </w:pPr>
            <w:r>
              <w:rPr>
                <w:sz w:val="15"/>
              </w:rPr>
              <w:t>子查询与约束</w:t>
            </w:r>
          </w:p>
        </w:tc>
        <w:tc>
          <w:tcPr>
            <w:tcW w:w="2466" w:type="dxa"/>
            <w:vAlign w:val="center"/>
          </w:tcPr>
          <w:p w14:paraId="07A1CC0A">
            <w:pPr>
              <w:spacing w:after="0"/>
              <w:jc w:val="left"/>
            </w:pPr>
            <w:r>
              <w:rPr>
                <w:sz w:val="15"/>
              </w:rPr>
              <w:t>问题理解</w:t>
            </w:r>
          </w:p>
        </w:tc>
      </w:tr>
      <w:tr w14:paraId="234F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455060D5">
            <w:pPr>
              <w:spacing w:after="0"/>
              <w:jc w:val="left"/>
            </w:pPr>
            <w:r>
              <w:rPr>
                <w:sz w:val="15"/>
              </w:rPr>
              <w:t>HybridSearchSkill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654ED29B">
            <w:pPr>
              <w:spacing w:after="0"/>
              <w:jc w:val="left"/>
            </w:pPr>
            <w:r>
              <w:rPr>
                <w:sz w:val="15"/>
              </w:rPr>
              <w:t>query、知识库、Top-K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2C37FB6">
            <w:pPr>
              <w:spacing w:after="0"/>
              <w:jc w:val="left"/>
            </w:pPr>
            <w:r>
              <w:rPr>
                <w:sz w:val="15"/>
              </w:rPr>
              <w:t>带来源的证据片段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1DE1987">
            <w:pPr>
              <w:spacing w:after="0"/>
              <w:jc w:val="left"/>
            </w:pPr>
            <w:r>
              <w:rPr>
                <w:sz w:val="15"/>
              </w:rPr>
              <w:t>文献检索/知识发现</w:t>
            </w:r>
          </w:p>
        </w:tc>
      </w:tr>
      <w:tr w14:paraId="1A10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59884BFC">
            <w:pPr>
              <w:spacing w:after="0"/>
              <w:jc w:val="left"/>
            </w:pPr>
            <w:r>
              <w:rPr>
                <w:sz w:val="15"/>
              </w:rPr>
              <w:t>EvidenceExtractionSkill</w:t>
            </w:r>
          </w:p>
        </w:tc>
        <w:tc>
          <w:tcPr>
            <w:tcW w:w="2466" w:type="dxa"/>
            <w:vAlign w:val="center"/>
          </w:tcPr>
          <w:p w14:paraId="22F6E831">
            <w:pPr>
              <w:spacing w:after="0"/>
              <w:jc w:val="left"/>
            </w:pPr>
            <w:r>
              <w:rPr>
                <w:sz w:val="15"/>
              </w:rPr>
              <w:t>论文片段</w:t>
            </w:r>
          </w:p>
        </w:tc>
        <w:tc>
          <w:tcPr>
            <w:tcW w:w="2466" w:type="dxa"/>
            <w:vAlign w:val="center"/>
          </w:tcPr>
          <w:p w14:paraId="00272A0B">
            <w:pPr>
              <w:spacing w:after="0"/>
              <w:jc w:val="left"/>
            </w:pPr>
            <w:r>
              <w:rPr>
                <w:sz w:val="15"/>
              </w:rPr>
              <w:t>事实、限制、方法、来源 ID</w:t>
            </w:r>
          </w:p>
        </w:tc>
        <w:tc>
          <w:tcPr>
            <w:tcW w:w="2466" w:type="dxa"/>
            <w:vAlign w:val="center"/>
          </w:tcPr>
          <w:p w14:paraId="68746187">
            <w:pPr>
              <w:spacing w:after="0"/>
              <w:jc w:val="left"/>
            </w:pPr>
            <w:r>
              <w:rPr>
                <w:sz w:val="15"/>
              </w:rPr>
              <w:t>知识发现</w:t>
            </w:r>
          </w:p>
        </w:tc>
      </w:tr>
      <w:tr w14:paraId="108F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5631EF64">
            <w:pPr>
              <w:spacing w:after="0"/>
              <w:jc w:val="left"/>
            </w:pPr>
            <w:r>
              <w:rPr>
                <w:sz w:val="15"/>
              </w:rPr>
              <w:t>CrossPaperComparisonSkill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4ADB19AF">
            <w:pPr>
              <w:spacing w:after="0"/>
              <w:jc w:val="left"/>
            </w:pPr>
            <w:r>
              <w:rPr>
                <w:sz w:val="15"/>
              </w:rPr>
              <w:t>多篇证据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0E8971C3">
            <w:pPr>
              <w:spacing w:after="0"/>
              <w:jc w:val="left"/>
            </w:pPr>
            <w:r>
              <w:rPr>
                <w:sz w:val="15"/>
              </w:rPr>
              <w:t>共识、冲突、空白、迁移机会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AF46694">
            <w:pPr>
              <w:spacing w:after="0"/>
              <w:jc w:val="left"/>
            </w:pPr>
            <w:r>
              <w:rPr>
                <w:sz w:val="15"/>
              </w:rPr>
              <w:t>知识发现</w:t>
            </w:r>
          </w:p>
        </w:tc>
      </w:tr>
      <w:tr w14:paraId="665FC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08E1CDA8">
            <w:pPr>
              <w:spacing w:after="0"/>
              <w:jc w:val="left"/>
            </w:pPr>
            <w:r>
              <w:rPr>
                <w:sz w:val="15"/>
              </w:rPr>
              <w:t>HypothesisDraftSkill</w:t>
            </w:r>
          </w:p>
        </w:tc>
        <w:tc>
          <w:tcPr>
            <w:tcW w:w="2466" w:type="dxa"/>
            <w:vAlign w:val="center"/>
          </w:tcPr>
          <w:p w14:paraId="47011651">
            <w:pPr>
              <w:spacing w:after="0"/>
              <w:jc w:val="left"/>
            </w:pPr>
            <w:r>
              <w:rPr>
                <w:sz w:val="15"/>
              </w:rPr>
              <w:t>Gap、事实、方法</w:t>
            </w:r>
          </w:p>
        </w:tc>
        <w:tc>
          <w:tcPr>
            <w:tcW w:w="2466" w:type="dxa"/>
            <w:vAlign w:val="center"/>
          </w:tcPr>
          <w:p w14:paraId="50C43F6F">
            <w:pPr>
              <w:spacing w:after="0"/>
              <w:jc w:val="left"/>
            </w:pPr>
            <w:r>
              <w:rPr>
                <w:sz w:val="15"/>
              </w:rPr>
              <w:t>候选假设与可证伪条件</w:t>
            </w:r>
          </w:p>
        </w:tc>
        <w:tc>
          <w:tcPr>
            <w:tcW w:w="2466" w:type="dxa"/>
            <w:vAlign w:val="center"/>
          </w:tcPr>
          <w:p w14:paraId="48EB8700">
            <w:pPr>
              <w:spacing w:after="0"/>
              <w:jc w:val="left"/>
            </w:pPr>
            <w:r>
              <w:rPr>
                <w:sz w:val="15"/>
              </w:rPr>
              <w:t>假设生成</w:t>
            </w:r>
          </w:p>
        </w:tc>
      </w:tr>
      <w:tr w14:paraId="47C6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145E0D13">
            <w:pPr>
              <w:spacing w:after="0"/>
              <w:jc w:val="left"/>
            </w:pPr>
            <w:r>
              <w:rPr>
                <w:sz w:val="15"/>
              </w:rPr>
              <w:t>CitationVerificationSkill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049168D0">
            <w:pPr>
              <w:spacing w:after="0"/>
              <w:jc w:val="left"/>
            </w:pPr>
            <w:r>
              <w:rPr>
                <w:sz w:val="15"/>
              </w:rPr>
              <w:t>DOI/PMID/arXiv/标题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671DF9D">
            <w:pPr>
              <w:spacing w:after="0"/>
              <w:jc w:val="left"/>
            </w:pPr>
            <w:r>
              <w:rPr>
                <w:sz w:val="15"/>
              </w:rPr>
              <w:t>VERIFIED/NOT_FOUND/UNVERIFIABLE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5320C357">
            <w:pPr>
              <w:spacing w:after="0"/>
              <w:jc w:val="left"/>
            </w:pPr>
            <w:r>
              <w:rPr>
                <w:sz w:val="15"/>
              </w:rPr>
              <w:t>评估</w:t>
            </w:r>
          </w:p>
        </w:tc>
      </w:tr>
      <w:tr w14:paraId="6DCB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2A44C433">
            <w:pPr>
              <w:spacing w:after="0"/>
              <w:jc w:val="left"/>
            </w:pPr>
            <w:r>
              <w:rPr>
                <w:sz w:val="15"/>
              </w:rPr>
              <w:t>DatasetSearchSkill</w:t>
            </w:r>
          </w:p>
        </w:tc>
        <w:tc>
          <w:tcPr>
            <w:tcW w:w="2466" w:type="dxa"/>
            <w:vAlign w:val="center"/>
          </w:tcPr>
          <w:p w14:paraId="71BBD6DD">
            <w:pPr>
              <w:spacing w:after="0"/>
              <w:jc w:val="left"/>
            </w:pPr>
            <w:r>
              <w:rPr>
                <w:sz w:val="15"/>
              </w:rPr>
              <w:t>领域与任务</w:t>
            </w:r>
          </w:p>
        </w:tc>
        <w:tc>
          <w:tcPr>
            <w:tcW w:w="2466" w:type="dxa"/>
            <w:vAlign w:val="center"/>
          </w:tcPr>
          <w:p w14:paraId="69ABB0E6">
            <w:pPr>
              <w:spacing w:after="0"/>
              <w:jc w:val="left"/>
            </w:pPr>
            <w:r>
              <w:rPr>
                <w:sz w:val="15"/>
              </w:rPr>
              <w:t>数据集元信息</w:t>
            </w:r>
          </w:p>
        </w:tc>
        <w:tc>
          <w:tcPr>
            <w:tcW w:w="2466" w:type="dxa"/>
            <w:vAlign w:val="center"/>
          </w:tcPr>
          <w:p w14:paraId="7AF754E6">
            <w:pPr>
              <w:spacing w:after="0"/>
              <w:jc w:val="left"/>
            </w:pPr>
            <w:r>
              <w:rPr>
                <w:sz w:val="15"/>
              </w:rPr>
              <w:t>评估/实验设计</w:t>
            </w:r>
          </w:p>
        </w:tc>
      </w:tr>
      <w:tr w14:paraId="72CC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2CAFA92E">
            <w:pPr>
              <w:spacing w:after="0"/>
              <w:jc w:val="left"/>
            </w:pPr>
            <w:r>
              <w:rPr>
                <w:sz w:val="15"/>
              </w:rPr>
              <w:t>ExperimentPlanningSkill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05258193">
            <w:pPr>
              <w:spacing w:after="0"/>
              <w:jc w:val="left"/>
            </w:pPr>
            <w:r>
              <w:rPr>
                <w:sz w:val="15"/>
              </w:rPr>
              <w:t>最优假设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738F74F6">
            <w:pPr>
              <w:spacing w:after="0"/>
              <w:jc w:val="left"/>
            </w:pPr>
            <w:r>
              <w:rPr>
                <w:sz w:val="15"/>
              </w:rPr>
              <w:t>Baselines、Metrics、步骤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DCC40EF">
            <w:pPr>
              <w:spacing w:after="0"/>
              <w:jc w:val="left"/>
            </w:pPr>
            <w:r>
              <w:rPr>
                <w:sz w:val="15"/>
              </w:rPr>
              <w:t>实验设计</w:t>
            </w:r>
          </w:p>
        </w:tc>
      </w:tr>
    </w:tbl>
    <w:p w14:paraId="1B276ECC">
      <w:pPr>
        <w:spacing w:after="0"/>
      </w:pPr>
    </w:p>
    <w:p w14:paraId="0253A2EE">
      <w:pPr>
        <w:pStyle w:val="4"/>
      </w:pPr>
      <w:r>
        <w:t>5.1 上下文压缩</w:t>
      </w:r>
    </w:p>
    <w:p w14:paraId="6B0F64AE">
      <w:pPr>
        <w:ind w:firstLine="360"/>
        <w:jc w:val="both"/>
      </w:pPr>
      <w:r>
        <w:t>系统不把整篇论文直接堆入上下文。数据引擎按 512 token、64 token 重叠进行分块，并保留标题、章节、作者、年份和来源 ID。检索后先去重和重排，再由知识发现 Agent 提取结构化证据。后续 Agent 主要消费事实、Gap 和来源 ID，原文片段按需回查。</w:t>
      </w:r>
    </w:p>
    <w:p w14:paraId="421D7EC4">
      <w:pPr>
        <w:pStyle w:val="4"/>
      </w:pPr>
      <w:r>
        <w:t>5.2 结构化输出约束</w:t>
      </w:r>
    </w:p>
    <w:p w14:paraId="6050E175">
      <w:pPr>
        <w:ind w:firstLine="360"/>
        <w:jc w:val="both"/>
      </w:pPr>
      <w:r>
        <w:t>每一阶段都定义 JSON Schema 或 Java Record。模型输出无法解析、字段缺失、引用未出现在输入证据中或 Gap 未覆盖至少两个来源时，阶段直接失败并返回明确错误，而不是生成一份形式完整但无法追溯的报告。</w:t>
      </w:r>
    </w:p>
    <w:p w14:paraId="57A3D925">
      <w:pPr>
        <w:pStyle w:val="4"/>
      </w:pPr>
      <w:r>
        <w:t>5.3 模型分级</w:t>
      </w:r>
    </w:p>
    <w:p w14:paraId="1BB036AA">
      <w:pPr>
        <w:ind w:firstLine="360"/>
        <w:jc w:val="both"/>
      </w:pPr>
      <w:r>
        <w:t>复杂的跨文献比较、假设生成和辩论使用较强 Qwen 模型；格式化、查询改写和摘要等轻任务使用较低成本模型。模型名、温度、最大 token、超时与重试均配置化，最终材料附百炼调用凭证和日志截图。</w:t>
      </w:r>
    </w:p>
    <w:p w14:paraId="4AA053B4">
      <w:r>
        <w:br w:type="page"/>
      </w:r>
    </w:p>
    <w:p w14:paraId="3FD72A2C">
      <w:pPr>
        <w:pStyle w:val="3"/>
        <w:jc w:val="left"/>
      </w:pPr>
      <w:r>
        <w:t>六、四库 RAG 与证据链</w:t>
      </w:r>
    </w:p>
    <w:p w14:paraId="346DB785">
      <w:pPr>
        <w:jc w:val="center"/>
      </w:pPr>
      <w:r>
        <w:drawing>
          <wp:inline distT="0" distB="0" distL="114300" distR="114300">
            <wp:extent cx="5831840" cy="329311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9B81">
      <w:pPr>
        <w:jc w:val="center"/>
      </w:pPr>
      <w:r>
        <w:rPr>
          <w:color w:val="5D6B80"/>
          <w:sz w:val="16"/>
        </w:rPr>
        <w:t>图 4 四库 RAG 与证据核验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7C1FF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6" w:type="dxa"/>
            <w:shd w:val="clear" w:color="auto" w:fill="315CBE"/>
            <w:vAlign w:val="center"/>
          </w:tcPr>
          <w:p w14:paraId="063E7B32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知识库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374D673B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核心内容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1E431BCE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必须携带的来源字段</w:t>
            </w:r>
          </w:p>
        </w:tc>
        <w:tc>
          <w:tcPr>
            <w:tcW w:w="2466" w:type="dxa"/>
            <w:shd w:val="clear" w:color="auto" w:fill="315CBE"/>
            <w:vAlign w:val="center"/>
          </w:tcPr>
          <w:p w14:paraId="716D444F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主要消费者</w:t>
            </w:r>
          </w:p>
        </w:tc>
      </w:tr>
      <w:tr w14:paraId="3E64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74AAED3B">
            <w:pPr>
              <w:spacing w:after="0"/>
              <w:jc w:val="left"/>
            </w:pPr>
            <w:r>
              <w:rPr>
                <w:sz w:val="15"/>
              </w:rPr>
              <w:t xml:space="preserve">论文库 </w:t>
            </w:r>
            <w:r>
              <w:rPr>
                <w:rFonts w:ascii="Consolas" w:hAnsi="Consolas"/>
                <w:color w:val="315CBE"/>
                <w:sz w:val="15"/>
              </w:rPr>
              <w:t>papers</w:t>
            </w:r>
          </w:p>
        </w:tc>
        <w:tc>
          <w:tcPr>
            <w:tcW w:w="2466" w:type="dxa"/>
            <w:vAlign w:val="center"/>
          </w:tcPr>
          <w:p w14:paraId="33CF9EC6">
            <w:pPr>
              <w:spacing w:after="0"/>
              <w:jc w:val="left"/>
            </w:pPr>
            <w:r>
              <w:rPr>
                <w:sz w:val="15"/>
              </w:rPr>
              <w:t>标题、摘要、章节、作者、年份</w:t>
            </w:r>
          </w:p>
        </w:tc>
        <w:tc>
          <w:tcPr>
            <w:tcW w:w="2466" w:type="dxa"/>
            <w:vAlign w:val="center"/>
          </w:tcPr>
          <w:p w14:paraId="2E1AEAB5">
            <w:pPr>
              <w:spacing w:after="0"/>
              <w:jc w:val="left"/>
            </w:pPr>
            <w:r>
              <w:rPr>
                <w:sz w:val="15"/>
              </w:rPr>
              <w:t>DOI/PMID/URL 至少一个</w:t>
            </w:r>
          </w:p>
        </w:tc>
        <w:tc>
          <w:tcPr>
            <w:tcW w:w="2466" w:type="dxa"/>
            <w:vAlign w:val="center"/>
          </w:tcPr>
          <w:p w14:paraId="2F032B02">
            <w:pPr>
              <w:spacing w:after="0"/>
              <w:jc w:val="left"/>
            </w:pPr>
            <w:r>
              <w:rPr>
                <w:sz w:val="15"/>
              </w:rPr>
              <w:t>检索、知识发现、假设生成、评估</w:t>
            </w:r>
          </w:p>
        </w:tc>
      </w:tr>
      <w:tr w14:paraId="6D9E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58BF56AE">
            <w:pPr>
              <w:spacing w:after="0"/>
              <w:jc w:val="left"/>
            </w:pPr>
            <w:r>
              <w:rPr>
                <w:sz w:val="15"/>
              </w:rPr>
              <w:t xml:space="preserve">方法库 </w:t>
            </w:r>
            <w:r>
              <w:rPr>
                <w:rFonts w:ascii="Consolas" w:hAnsi="Consolas"/>
                <w:color w:val="315CBE"/>
                <w:sz w:val="15"/>
              </w:rPr>
              <w:t>methods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4D64AA91">
            <w:pPr>
              <w:spacing w:after="0"/>
              <w:jc w:val="left"/>
            </w:pPr>
            <w:r>
              <w:rPr>
                <w:sz w:val="15"/>
              </w:rPr>
              <w:t>方法、适用场景、步骤、指标、局限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586B63BA">
            <w:pPr>
              <w:spacing w:after="0"/>
              <w:jc w:val="left"/>
            </w:pPr>
            <w:r>
              <w:rPr>
                <w:sz w:val="15"/>
              </w:rPr>
              <w:t>source_doi/pmid/url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7B43652">
            <w:pPr>
              <w:spacing w:after="0"/>
              <w:jc w:val="left"/>
            </w:pPr>
            <w:r>
              <w:rPr>
                <w:sz w:val="15"/>
              </w:rPr>
              <w:t>知识发现、假设生成、实验设计</w:t>
            </w:r>
          </w:p>
        </w:tc>
      </w:tr>
      <w:tr w14:paraId="4A9D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vAlign w:val="center"/>
          </w:tcPr>
          <w:p w14:paraId="10E2D5E9">
            <w:pPr>
              <w:spacing w:after="0"/>
              <w:jc w:val="left"/>
            </w:pPr>
            <w:r>
              <w:rPr>
                <w:sz w:val="15"/>
              </w:rPr>
              <w:t xml:space="preserve">数据集库 </w:t>
            </w:r>
            <w:r>
              <w:rPr>
                <w:rFonts w:ascii="Consolas" w:hAnsi="Consolas"/>
                <w:color w:val="315CBE"/>
                <w:sz w:val="15"/>
              </w:rPr>
              <w:t>datasets</w:t>
            </w:r>
          </w:p>
        </w:tc>
        <w:tc>
          <w:tcPr>
            <w:tcW w:w="2466" w:type="dxa"/>
            <w:vAlign w:val="center"/>
          </w:tcPr>
          <w:p w14:paraId="011AE744">
            <w:pPr>
              <w:spacing w:after="0"/>
              <w:jc w:val="left"/>
            </w:pPr>
            <w:r>
              <w:rPr>
                <w:sz w:val="15"/>
              </w:rPr>
              <w:t>名称、特征、规模、标注、许可</w:t>
            </w:r>
          </w:p>
        </w:tc>
        <w:tc>
          <w:tcPr>
            <w:tcW w:w="2466" w:type="dxa"/>
            <w:vAlign w:val="center"/>
          </w:tcPr>
          <w:p w14:paraId="0E4444C0">
            <w:pPr>
              <w:spacing w:after="0"/>
              <w:jc w:val="left"/>
            </w:pPr>
            <w:r>
              <w:rPr>
                <w:sz w:val="15"/>
              </w:rPr>
              <w:t>source_url</w:t>
            </w:r>
          </w:p>
        </w:tc>
        <w:tc>
          <w:tcPr>
            <w:tcW w:w="2466" w:type="dxa"/>
            <w:vAlign w:val="center"/>
          </w:tcPr>
          <w:p w14:paraId="4235BCC3">
            <w:pPr>
              <w:spacing w:after="0"/>
              <w:jc w:val="left"/>
            </w:pPr>
            <w:r>
              <w:rPr>
                <w:sz w:val="15"/>
              </w:rPr>
              <w:t>评估、实验设计</w:t>
            </w:r>
          </w:p>
        </w:tc>
      </w:tr>
      <w:tr w14:paraId="062A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3F6FB"/>
            <w:vAlign w:val="center"/>
          </w:tcPr>
          <w:p w14:paraId="715848E3">
            <w:pPr>
              <w:spacing w:after="0"/>
              <w:jc w:val="left"/>
            </w:pPr>
            <w:r>
              <w:rPr>
                <w:sz w:val="15"/>
              </w:rPr>
              <w:t xml:space="preserve">证据库 </w:t>
            </w:r>
            <w:r>
              <w:rPr>
                <w:rFonts w:ascii="Consolas" w:hAnsi="Consolas"/>
                <w:color w:val="315CBE"/>
                <w:sz w:val="15"/>
              </w:rPr>
              <w:t>evidence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97BF14D">
            <w:pPr>
              <w:spacing w:after="0"/>
              <w:jc w:val="left"/>
            </w:pPr>
            <w:r>
              <w:rPr>
                <w:sz w:val="15"/>
              </w:rPr>
              <w:t>Subject-Predicate-Object、置信度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207963CA">
            <w:pPr>
              <w:spacing w:after="0"/>
              <w:jc w:val="left"/>
            </w:pPr>
            <w:r>
              <w:rPr>
                <w:sz w:val="15"/>
              </w:rPr>
              <w:t>source_doi/pmid/url</w:t>
            </w:r>
          </w:p>
        </w:tc>
        <w:tc>
          <w:tcPr>
            <w:tcW w:w="2466" w:type="dxa"/>
            <w:shd w:val="clear" w:color="auto" w:fill="F3F6FB"/>
            <w:vAlign w:val="center"/>
          </w:tcPr>
          <w:p w14:paraId="3745683A">
            <w:pPr>
              <w:spacing w:after="0"/>
              <w:jc w:val="left"/>
            </w:pPr>
            <w:r>
              <w:rPr>
                <w:sz w:val="15"/>
              </w:rPr>
              <w:t>检索、假设生成、评估</w:t>
            </w:r>
          </w:p>
        </w:tc>
      </w:tr>
    </w:tbl>
    <w:p w14:paraId="30B5E990">
      <w:pPr>
        <w:spacing w:after="0"/>
      </w:pPr>
    </w:p>
    <w:p w14:paraId="0E285445">
      <w:pPr>
        <w:pStyle w:val="4"/>
      </w:pPr>
      <w:r>
        <w:t>6.1 数据处理</w:t>
      </w:r>
    </w:p>
    <w:p w14:paraId="0F9D7F6D">
      <w:pPr>
        <w:ind w:firstLine="360"/>
        <w:jc w:val="both"/>
      </w:pPr>
      <w:r>
        <w:t xml:space="preserve">PDF 首先提取文字层和版面元素，无法直接解析的页面保留图像证据；CSV/JSON 统一字段与单位。数据清洗后按 JSONL 写出，使用 </w:t>
      </w:r>
      <w:r>
        <w:rPr>
          <w:rFonts w:ascii="Consolas" w:hAnsi="Consolas"/>
          <w:color w:val="315CBE"/>
        </w:rPr>
        <w:t>text-embedding-v3</w:t>
      </w:r>
      <w:r>
        <w:t xml:space="preserve"> 生成向量。每条记录保存 </w:t>
      </w:r>
      <w:r>
        <w:rPr>
          <w:rFonts w:ascii="Consolas" w:hAnsi="Consolas"/>
          <w:color w:val="315CBE"/>
        </w:rPr>
        <w:t>source_id</w:t>
      </w:r>
      <w:r>
        <w:t>、原始文本与专有元数据，支持从答案回溯到原文。</w:t>
      </w:r>
    </w:p>
    <w:p w14:paraId="6819962E">
      <w:pPr>
        <w:pStyle w:val="4"/>
      </w:pPr>
      <w:r>
        <w:t>6.2 混合检索</w:t>
      </w:r>
    </w:p>
    <w:p w14:paraId="55F5F7DC">
      <w:pPr>
        <w:ind w:firstLine="360"/>
        <w:jc w:val="both"/>
      </w:pPr>
      <w:r>
        <w:t>向量检索负责语义召回，BM25 负责专业术语和编号精确匹配，两路结果通过 RRF 或加权融合重排。最终结果不仅返回相似度，还返回库名、来源 ID、标题和片段位置。检索侧尚在主仓库中集成，最终稿只能在接口与真实 Chroma/Milvus 联调通过后标记为“已完成”。</w:t>
      </w:r>
    </w:p>
    <w:p w14:paraId="51BB02A7">
      <w:pPr>
        <w:pStyle w:val="4"/>
      </w:pPr>
      <w:r>
        <w:t>6.3 引用核验</w:t>
      </w:r>
    </w:p>
    <w:p w14:paraId="16D62AF2">
      <w:pPr>
        <w:ind w:firstLine="360"/>
        <w:jc w:val="both"/>
      </w:pPr>
      <w:r>
        <w:t xml:space="preserve">评估 Agent 依次尝试 DOI、arXiv、PMID 和本地论文库。网络错误返回 </w:t>
      </w:r>
      <w:r>
        <w:rPr>
          <w:rFonts w:ascii="Consolas" w:hAnsi="Consolas"/>
          <w:color w:val="315CBE"/>
        </w:rPr>
        <w:t>UNVERIFIABLE</w:t>
      </w:r>
      <w:r>
        <w:t xml:space="preserve">，数据库确认不存在返回 </w:t>
      </w:r>
      <w:r>
        <w:rPr>
          <w:rFonts w:ascii="Consolas" w:hAnsi="Consolas"/>
          <w:color w:val="315CBE"/>
        </w:rPr>
        <w:t>NOT_FOUND</w:t>
      </w:r>
      <w:r>
        <w:t xml:space="preserve">，标题冲突返回 </w:t>
      </w:r>
      <w:r>
        <w:rPr>
          <w:rFonts w:ascii="Consolas" w:hAnsi="Consolas"/>
          <w:color w:val="315CBE"/>
        </w:rPr>
        <w:t>SUSPICIOUS</w:t>
      </w:r>
      <w:r>
        <w:t xml:space="preserve">，只有来源与标题一致时返回 </w:t>
      </w:r>
      <w:r>
        <w:rPr>
          <w:rFonts w:ascii="Consolas" w:hAnsi="Consolas"/>
          <w:color w:val="315CBE"/>
        </w:rPr>
        <w:t>VERIFIED</w:t>
      </w:r>
      <w:r>
        <w:t>。任何虚构或无法核验的引用都不能自动进入通过状态。</w:t>
      </w:r>
    </w:p>
    <w:p w14:paraId="331B4664">
      <w:r>
        <w:br w:type="page"/>
      </w:r>
    </w:p>
    <w:p w14:paraId="7DCA2BFA">
      <w:pPr>
        <w:pStyle w:val="3"/>
        <w:jc w:val="left"/>
      </w:pPr>
      <w:r>
        <w:t>七、多模态科学数据处理</w:t>
      </w:r>
    </w:p>
    <w:p w14:paraId="24837D6B">
      <w:pPr>
        <w:ind w:firstLine="360"/>
        <w:jc w:val="both"/>
      </w:pPr>
      <w:r>
        <w:t>赛题将“多模态大模型对科学模态数据的处理成效”单列为 15 分。本项目所说的多模态不是简单上传图片，而是把不同模态统一到同一证据对象中。</w:t>
      </w:r>
    </w:p>
    <w:p w14:paraId="1CCC2EB6">
      <w:pPr>
        <w:pStyle w:val="4"/>
      </w:pPr>
      <w:r>
        <w:t>7.1 支持的模态</w:t>
      </w:r>
    </w:p>
    <w:p w14:paraId="66E783DA">
      <w:pPr>
        <w:pStyle w:val="16"/>
      </w:pPr>
      <w:r>
        <w:t>学术 PDF：正文、标题、表格、公式、图注和参考文献；</w:t>
      </w:r>
    </w:p>
    <w:p w14:paraId="12CE4BA7">
      <w:pPr>
        <w:pStyle w:val="16"/>
      </w:pPr>
      <w:r>
        <w:t>图表图像：性能曲线、架构图、热力图、实验截图；</w:t>
      </w:r>
    </w:p>
    <w:p w14:paraId="67D7B6AF">
      <w:pPr>
        <w:pStyle w:val="16"/>
      </w:pPr>
      <w:r>
        <w:t>结构化数据：CSV/JSON 时序记录、I/O trace、指标表；</w:t>
      </w:r>
    </w:p>
    <w:p w14:paraId="612861B5">
      <w:pPr>
        <w:pStyle w:val="16"/>
      </w:pPr>
      <w:r>
        <w:t>文本知识：方法说明、数据集卡片、事实三元组。</w:t>
      </w:r>
    </w:p>
    <w:p w14:paraId="13641ABA">
      <w:pPr>
        <w:pStyle w:val="4"/>
      </w:pPr>
      <w:r>
        <w:t>7.2 统一 EvidenceItem</w:t>
      </w:r>
    </w:p>
    <w:p w14:paraId="1017FDA8">
      <w:pPr>
        <w:ind w:firstLine="360"/>
        <w:jc w:val="both"/>
      </w:pPr>
      <w:r>
        <w:t xml:space="preserve">每条证据包含 </w:t>
      </w:r>
      <w:r>
        <w:rPr>
          <w:rFonts w:ascii="Consolas" w:hAnsi="Consolas"/>
          <w:color w:val="315CBE"/>
        </w:rPr>
        <w:t>evidenceId</w:t>
      </w:r>
      <w:r>
        <w:t>、</w:t>
      </w:r>
      <w:r>
        <w:rPr>
          <w:rFonts w:ascii="Consolas" w:hAnsi="Consolas"/>
          <w:color w:val="315CBE"/>
        </w:rPr>
        <w:t>modality</w:t>
      </w:r>
      <w:r>
        <w:t>、</w:t>
      </w:r>
      <w:r>
        <w:rPr>
          <w:rFonts w:ascii="Consolas" w:hAnsi="Consolas"/>
          <w:color w:val="315CBE"/>
        </w:rPr>
        <w:t>content</w:t>
      </w:r>
      <w:r>
        <w:t>、</w:t>
      </w:r>
      <w:r>
        <w:rPr>
          <w:rFonts w:ascii="Consolas" w:hAnsi="Consolas"/>
          <w:color w:val="315CBE"/>
        </w:rPr>
        <w:t>sourceId</w:t>
      </w:r>
      <w:r>
        <w:t>、</w:t>
      </w:r>
      <w:r>
        <w:rPr>
          <w:rFonts w:ascii="Consolas" w:hAnsi="Consolas"/>
          <w:color w:val="315CBE"/>
        </w:rPr>
        <w:t>location</w:t>
      </w:r>
      <w:r>
        <w:t>、</w:t>
      </w:r>
      <w:r>
        <w:rPr>
          <w:rFonts w:ascii="Consolas" w:hAnsi="Consolas"/>
          <w:color w:val="315CBE"/>
        </w:rPr>
        <w:t>metadata</w:t>
      </w:r>
      <w:r>
        <w:t xml:space="preserve"> 和 </w:t>
      </w:r>
      <w:r>
        <w:rPr>
          <w:rFonts w:ascii="Consolas" w:hAnsi="Consolas"/>
          <w:color w:val="315CBE"/>
        </w:rPr>
        <w:t>confidence</w:t>
      </w:r>
      <w:r>
        <w:t xml:space="preserve">。文本可直接分块；表格保留行列名和单位；曲线图通过视觉模型/OCR 提取坐标轴、趋势和图注，同时保存原图位置。Agent 的结论引用 </w:t>
      </w:r>
      <w:r>
        <w:rPr>
          <w:rFonts w:ascii="Consolas" w:hAnsi="Consolas"/>
          <w:color w:val="315CBE"/>
        </w:rPr>
        <w:t>evidenceId</w:t>
      </w:r>
      <w:r>
        <w:t>，前端可展示原始页面或数据行。</w:t>
      </w:r>
    </w:p>
    <w:p w14:paraId="57468A2E">
      <w:pPr>
        <w:pStyle w:val="4"/>
      </w:pPr>
      <w:r>
        <w:t>7.3 最小可交付路径</w:t>
      </w:r>
    </w:p>
    <w:p w14:paraId="43FDD872">
      <w:pPr>
        <w:ind w:firstLine="360"/>
        <w:jc w:val="both"/>
      </w:pPr>
      <w:r>
        <w:t>三天冲刺阶段优先保证“PDF 文字 + CSV 时序 + 页面图表截图”三类输入。视觉模型只用于文字层无法覆盖的图表和页面，不让图片识别替代来源核验。最终稿需补一组真实对照：只用 PDF 文本与加入图表/时序后，关键事实提取完整率和研究计划质量的变化。</w:t>
      </w:r>
    </w:p>
    <w:p w14:paraId="537E4D39">
      <w:pPr>
        <w:pStyle w:val="4"/>
      </w:pPr>
      <w:r>
        <w:t>7.4 风险控制</w:t>
      </w:r>
    </w:p>
    <w:p w14:paraId="1E9F8CD0">
      <w:pPr>
        <w:pStyle w:val="16"/>
      </w:pPr>
      <w:r>
        <w:t>图像解析结果必须保留页码、图号和原图；</w:t>
      </w:r>
    </w:p>
    <w:p w14:paraId="7B288D7B">
      <w:pPr>
        <w:pStyle w:val="16"/>
      </w:pPr>
      <w:r>
        <w:t>OCR 低置信度字段进入人工确认，不直接写入事实库；</w:t>
      </w:r>
    </w:p>
    <w:p w14:paraId="3121381D">
      <w:pPr>
        <w:pStyle w:val="16"/>
      </w:pPr>
      <w:r>
        <w:t>不从曲线图估算无法读出的精确数值；</w:t>
      </w:r>
    </w:p>
    <w:p w14:paraId="33E0A6FB">
      <w:pPr>
        <w:pStyle w:val="16"/>
      </w:pPr>
      <w:r>
        <w:t>含个人或敏感数据的文件默认不外发，提供本地模型适配接口。</w:t>
      </w:r>
    </w:p>
    <w:p w14:paraId="7FA43C88">
      <w:r>
        <w:br w:type="page"/>
      </w:r>
    </w:p>
    <w:p w14:paraId="321D5856">
      <w:pPr>
        <w:pStyle w:val="3"/>
        <w:jc w:val="left"/>
      </w:pPr>
      <w:r>
        <w:t>八、关键质量机制与核心代码</w:t>
      </w:r>
    </w:p>
    <w:p w14:paraId="26BDBCDE">
      <w:pPr>
        <w:pStyle w:val="4"/>
      </w:pPr>
      <w:r>
        <w:t>8.1 DAG 调度核心（已进入主仓库）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006C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6" w:type="dxa"/>
            <w:shd w:val="clear" w:color="auto" w:fill="F1F3F7"/>
          </w:tcPr>
          <w:p w14:paraId="503F7B78">
            <w:r>
              <w:rPr>
                <w:rFonts w:ascii="Consolas" w:hAnsi="Consolas"/>
                <w:sz w:val="14"/>
              </w:rPr>
              <w:t>PipelineContext ctx = new PipelineContext();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ctx.setQuestion(question.trim());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executeStage(UNDERSTANDING, ctx);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executeParallel(List.of(LITERATURE, KNOWLEDGE, HYPOTHESIS), ctx);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pauseForHuman(ctx);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executeStage(EVALUATION, ctx);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executeStage(EXPERIMENT, ctx);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executeStage(DEBATE, ctx);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ctx.setFinalReport(ResearchPlanAssembler.assemble(ctx));</w:t>
            </w:r>
          </w:p>
        </w:tc>
      </w:tr>
    </w:tbl>
    <w:p w14:paraId="68ABA6F1">
      <w:pPr>
        <w:spacing w:after="0"/>
      </w:pPr>
    </w:p>
    <w:p w14:paraId="71EBF1B7">
      <w:pPr>
        <w:pStyle w:val="4"/>
      </w:pPr>
      <w:r>
        <w:t>8.2 引用真实性质量闸门（成员模块已实现，待主仓库接入）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 w14:paraId="1BC3D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6" w:type="dxa"/>
            <w:shd w:val="clear" w:color="auto" w:fill="F1F3F7"/>
          </w:tcPr>
          <w:p w14:paraId="7ED2517C">
            <w:r>
              <w:rPr>
                <w:rFonts w:ascii="Consolas" w:hAnsi="Consolas"/>
                <w:sz w:val="14"/>
              </w:rPr>
              <w:t>LookupResult result = lookup(reference);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if (result.isNetworkError()) return UNVERIFIABLE;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if (result.isAbsent()) return NOT_FOUND;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if (!titleMatches(result.title(), reference.title())) return SUSPICIOUS;</w:t>
            </w:r>
            <w:r>
              <w:rPr>
                <w:rFonts w:ascii="Consolas" w:hAnsi="Consolas"/>
                <w:sz w:val="14"/>
              </w:rPr>
              <w:br w:type="textWrapping"/>
            </w:r>
            <w:r>
              <w:rPr>
                <w:rFonts w:ascii="Consolas" w:hAnsi="Consolas"/>
                <w:sz w:val="14"/>
              </w:rPr>
              <w:t>return VERIFIED;</w:t>
            </w:r>
          </w:p>
        </w:tc>
      </w:tr>
    </w:tbl>
    <w:p w14:paraId="5C77EBD9">
      <w:pPr>
        <w:spacing w:after="0"/>
      </w:pPr>
    </w:p>
    <w:p w14:paraId="14782578">
      <w:pPr>
        <w:pStyle w:val="4"/>
      </w:pPr>
      <w:r>
        <w:t>8.3 10 字段组装</w:t>
      </w:r>
    </w:p>
    <w:p w14:paraId="2B3F8B46">
      <w:pPr>
        <w:ind w:firstLine="360"/>
        <w:jc w:val="both"/>
      </w:pPr>
      <w:r>
        <w:rPr>
          <w:rFonts w:ascii="Consolas" w:hAnsi="Consolas"/>
          <w:color w:val="315CBE"/>
        </w:rPr>
        <w:t>ResearchPlanAssembler</w:t>
      </w:r>
      <w:r>
        <w:t xml:space="preserve"> 将知识发现、假设、评估与实验设计结果映射到统一 </w:t>
      </w:r>
      <w:r>
        <w:rPr>
          <w:rFonts w:ascii="Consolas" w:hAnsi="Consolas"/>
          <w:color w:val="315CBE"/>
        </w:rPr>
        <w:t>ResearchPlan</w:t>
      </w:r>
      <w:r>
        <w:t>。最终版本不允许保留“待生成”占位；References 不能为空，且必须经过评估 Agent 的核验结果过滤。</w:t>
      </w:r>
    </w:p>
    <w:p w14:paraId="33413A0B">
      <w:pPr>
        <w:pStyle w:val="4"/>
      </w:pPr>
      <w:r>
        <w:t>8.4 容错设计</w:t>
      </w:r>
    </w:p>
    <w:p w14:paraId="4730D6B6">
      <w:pPr>
        <w:pStyle w:val="16"/>
      </w:pPr>
      <w:r>
        <w:t>Agent 级超时、有限重试与错误事件；</w:t>
      </w:r>
    </w:p>
    <w:p w14:paraId="7C6E360E">
      <w:pPr>
        <w:pStyle w:val="16"/>
      </w:pPr>
      <w:r>
        <w:t>外部文献接口失败时降级到本地论文库，但标记核验来源；</w:t>
      </w:r>
    </w:p>
    <w:p w14:paraId="148C3D01">
      <w:pPr>
        <w:pStyle w:val="16"/>
      </w:pPr>
      <w:r>
        <w:t>SSE 断线重连和心跳；</w:t>
      </w:r>
    </w:p>
    <w:p w14:paraId="68D2AF0B">
      <w:pPr>
        <w:pStyle w:val="16"/>
      </w:pPr>
      <w:r>
        <w:t>状态快照支持断点恢复；</w:t>
      </w:r>
    </w:p>
    <w:p w14:paraId="4D443DE2">
      <w:pPr>
        <w:pStyle w:val="16"/>
      </w:pPr>
      <w:r>
        <w:t>百炼 API Key 仅通过环境变量注入，日志自动脱敏；</w:t>
      </w:r>
    </w:p>
    <w:p w14:paraId="1F2E135F">
      <w:pPr>
        <w:pStyle w:val="16"/>
      </w:pPr>
      <w:r>
        <w:t>任一阶段失败时输出阶段、任务 ID 和原因，不吞异常。</w:t>
      </w:r>
    </w:p>
    <w:p w14:paraId="544D901F">
      <w:r>
        <w:br w:type="page"/>
      </w:r>
    </w:p>
    <w:p w14:paraId="0957D73D">
      <w:pPr>
        <w:pStyle w:val="3"/>
        <w:jc w:val="left"/>
      </w:pPr>
      <w:r>
        <w:t>九、SSD 验证案例：问题与证据基础</w:t>
      </w:r>
    </w:p>
    <w:p w14:paraId="7D0B0410">
      <w:pPr>
        <w:pStyle w:val="4"/>
      </w:pPr>
      <w:r>
        <w:t>9.1 场景背景</w:t>
      </w:r>
    </w:p>
    <w:p w14:paraId="377F721E">
      <w:pPr>
        <w:ind w:firstLine="360"/>
        <w:jc w:val="both"/>
      </w:pPr>
      <w:r>
        <w:t>NAND Flash 采用擦除前写入机制。随着无效页累积，SSD 需要垃圾回收（GC）迁移有效页并擦除受害块。该过程会增加写放大、尾延迟和擦写次数，影响性能与寿命。如何预测数据未来“温度”并进行合理的数据放置，是一个具备真实工程价值和可实验验证性的研究问题。</w:t>
      </w:r>
    </w:p>
    <w:p w14:paraId="3D91BB7A">
      <w:pPr>
        <w:pStyle w:val="4"/>
      </w:pPr>
      <w:r>
        <w:t>9.2 已核验基础文献</w:t>
      </w:r>
    </w:p>
    <w:p w14:paraId="718A567A">
      <w:pPr>
        <w:pStyle w:val="14"/>
      </w:pPr>
      <w:r>
        <w:t>Yang 等在 HotStorage 2019 提出基于 LSTM 的未来温度预测与 K-Means 数据分派，在其实验最佳情形下 WAF 与 99.99% 写延迟分别降低 43.5% 和 79.3%。该结果是基线论文结果，不是本项目实测结果。</w:t>
      </w:r>
    </w:p>
    <w:p w14:paraId="48DE8E06">
      <w:pPr>
        <w:pStyle w:val="14"/>
      </w:pPr>
      <w:r>
        <w:t>Yan 与 Yao 在 IEEE Transactions on Consumer Electronics 2014 提出文件感知垃圾回收 FaGC，通过文件更新频率表减少复制和擦除操作，并兼顾磨损均衡。</w:t>
      </w:r>
    </w:p>
    <w:p w14:paraId="70CDA72E">
      <w:pPr>
        <w:pStyle w:val="4"/>
      </w:pPr>
      <w:r>
        <w:t>9.3 初步 Research Gap</w:t>
      </w:r>
    </w:p>
    <w:p w14:paraId="0302E2CB">
      <w:pPr>
        <w:ind w:firstLine="360"/>
        <w:jc w:val="both"/>
      </w:pPr>
      <w:r>
        <w:t>现有方法分别利用时序负载特征或文件更新频率，但仍存在三个可验证空白：</w:t>
      </w:r>
    </w:p>
    <w:p w14:paraId="053F476D">
      <w:pPr>
        <w:pStyle w:val="16"/>
      </w:pPr>
      <w:r>
        <w:t>跨工作负载迁移时，静态相关性选取与固定模型可能发生概念漂移；</w:t>
      </w:r>
    </w:p>
    <w:p w14:paraId="55566F4A">
      <w:pPr>
        <w:pStyle w:val="16"/>
      </w:pPr>
      <w:r>
        <w:t>逻辑地址块之间具有时空依赖，单纯序列模型难以表达动态关联；</w:t>
      </w:r>
    </w:p>
    <w:p w14:paraId="3815D299">
      <w:pPr>
        <w:pStyle w:val="16"/>
      </w:pPr>
      <w:r>
        <w:t>预测错误会直接影响数据放置，现有方案缺少不确定性门控和保守退化策略。</w:t>
      </w:r>
    </w:p>
    <w:p w14:paraId="2C6D0C34">
      <w:pPr>
        <w:pStyle w:val="4"/>
      </w:pPr>
      <w:r>
        <w:t>9.4 候选研究问题</w:t>
      </w:r>
    </w:p>
    <w:p w14:paraId="310A9F3C">
      <w:pPr>
        <w:ind w:firstLine="360"/>
        <w:jc w:val="both"/>
      </w:pPr>
      <w:r>
        <w:t>在 MySQL、RocksDB、Docker 和 FIO 等不同负载下，融合文件级语义、逻辑地址空间关系和预测不确定性的温度预测与数据放置策略，能否在不增加过多控制开销的前提下，同时降低 WAF、尾延迟和磨损离散度？</w:t>
      </w:r>
    </w:p>
    <w:p w14:paraId="420883CD">
      <w:r>
        <w:br w:type="page"/>
      </w:r>
    </w:p>
    <w:p w14:paraId="59F7F900">
      <w:pPr>
        <w:pStyle w:val="3"/>
        <w:jc w:val="left"/>
      </w:pPr>
      <w:r>
        <w:t>十、SSD 案例：候选科学假设与方法</w:t>
      </w:r>
    </w:p>
    <w:p w14:paraId="138D186C">
      <w:pPr>
        <w:pStyle w:val="4"/>
      </w:pPr>
      <w:r>
        <w:t>10.1 候选假设</w:t>
      </w:r>
    </w:p>
    <w:p w14:paraId="6B2F5884">
      <w:pPr>
        <w:ind w:firstLine="360"/>
        <w:jc w:val="both"/>
      </w:pPr>
      <w:r>
        <w:t>构建“文件感知时空不确定性垃圾回收策略”（暂名 FSTU-GC）：将逻辑地址区间表示为动态图节点，以历史温度、吞吐、I/O 大小、读写比例、文件更新频率和块擦写次数作为特征；使用时空预测模型估计下一窗口的数据温度分布及置信区间；当不确定性超过阈值时退化到 FaGC/Greedy 等保守策略，否则按多目标代价函数完成数据分组与块分派。该设计有望提升跨负载稳定性，并减少错误预测带来的负收益。</w:t>
      </w:r>
    </w:p>
    <w:p w14:paraId="223FF084">
      <w:pPr>
        <w:pStyle w:val="4"/>
      </w:pPr>
      <w:r>
        <w:t>10.2 技术手段</w:t>
      </w:r>
    </w:p>
    <w:p w14:paraId="4B44F9C2">
      <w:pPr>
        <w:pStyle w:val="16"/>
      </w:pPr>
      <w:r>
        <w:t>采集固定时间窗口内的 LBA、时间戳、请求大小、读写类型和文件标识；</w:t>
      </w:r>
    </w:p>
    <w:p w14:paraId="10A4891C">
      <w:pPr>
        <w:pStyle w:val="16"/>
      </w:pPr>
      <w:r>
        <w:t>以地址邻接、访问转移或文件归属构建动态关系图；</w:t>
      </w:r>
    </w:p>
    <w:p w14:paraId="79E035D9">
      <w:pPr>
        <w:pStyle w:val="16"/>
      </w:pPr>
      <w:r>
        <w:t>对比 LSTM、Temporal Convolution、轻量图时序模型等预测器；</w:t>
      </w:r>
    </w:p>
    <w:p w14:paraId="4DA5FB8C">
      <w:pPr>
        <w:pStyle w:val="16"/>
      </w:pPr>
      <w:r>
        <w:t>通过深度集成或 MC Dropout 估计预测不确定性；</w:t>
      </w:r>
    </w:p>
    <w:p w14:paraId="46C25614">
      <w:pPr>
        <w:pStyle w:val="16"/>
      </w:pPr>
      <w:r>
        <w:t>构建多目标代价：</w:t>
      </w:r>
      <w:r>
        <w:rPr>
          <w:rFonts w:ascii="Consolas" w:hAnsi="Consolas"/>
          <w:color w:val="315CBE"/>
        </w:rPr>
        <w:t>J = α·WAF + β·P99.99Latency + γ·WearVariance + δ·Overhead</w:t>
      </w:r>
      <w:r>
        <w:t>；</w:t>
      </w:r>
    </w:p>
    <w:p w14:paraId="0921B2FD">
      <w:pPr>
        <w:pStyle w:val="16"/>
      </w:pPr>
      <w:r>
        <w:t>设置置信度阈值，低置信时回退到规则基线，保证最坏情况下不明显劣化。</w:t>
      </w:r>
    </w:p>
    <w:p w14:paraId="56F23EC7">
      <w:pPr>
        <w:pStyle w:val="4"/>
      </w:pPr>
      <w:r>
        <w:t>10.3 可证伪条件</w:t>
      </w:r>
    </w:p>
    <w:p w14:paraId="2630EABE">
      <w:pPr>
        <w:ind w:firstLine="360"/>
        <w:jc w:val="both"/>
      </w:pPr>
      <w:r>
        <w:t>如果 FSTU-GC 在至少三类负载上不能同时满足下列任一条件，则假设不成立或需要收缩：WAF 相对强基线下降；P99/P99.99 延迟不劣化；磨损离散度下降；控制器 CPU/内存开销处于可接受范围。模型只在单一负载有效，不视为支持“跨负载稳定性”假设。</w:t>
      </w:r>
    </w:p>
    <w:p w14:paraId="42C4A0D1">
      <w:pPr>
        <w:pStyle w:val="4"/>
      </w:pPr>
      <w:r>
        <w:t>10.4 人在回路介入点</w:t>
      </w:r>
    </w:p>
    <w:p w14:paraId="46C434B3">
      <w:pPr>
        <w:ind w:firstLine="360"/>
        <w:jc w:val="both"/>
      </w:pPr>
      <w:r>
        <w:t>存储领域成员确认特征是否可采集、数据是否泄露文件语义、指标权重是否符合设备目标；评估 Agent 检查引用与数据来源；导师可删去不可实现的模型并调整实验规模。</w:t>
      </w:r>
    </w:p>
    <w:p w14:paraId="6733FB43">
      <w:r>
        <w:br w:type="page"/>
      </w:r>
    </w:p>
    <w:p w14:paraId="4615C2F5">
      <w:pPr>
        <w:pStyle w:val="3"/>
        <w:jc w:val="left"/>
      </w:pPr>
      <w:r>
        <w:t>十一、SSD 案例：实验设计与结果规范</w:t>
      </w:r>
    </w:p>
    <w:p w14:paraId="62FD1551">
      <w:pPr>
        <w:pStyle w:val="4"/>
      </w:pPr>
      <w:r>
        <w:t>11.1 数据集</w:t>
      </w:r>
    </w:p>
    <w:p w14:paraId="6C346759">
      <w:pPr>
        <w:pStyle w:val="16"/>
      </w:pPr>
      <w:r>
        <w:t>Source：已核验论文中的方法、工作负载类型与基线结果；团队采集或公开获得的块级 I/O traces；</w:t>
      </w:r>
    </w:p>
    <w:p w14:paraId="4A8A73A2">
      <w:pPr>
        <w:pStyle w:val="16"/>
      </w:pPr>
      <w:r>
        <w:t>Target：在 FEMU/MQSim 或可用真实 SSD 环境中记录的温度、WAF、延迟、擦写次数与资源开销；</w:t>
      </w:r>
    </w:p>
    <w:p w14:paraId="1608CF88">
      <w:pPr>
        <w:pStyle w:val="16"/>
      </w:pPr>
      <w:r>
        <w:t>数据划分：按工作负载和时间段划分训练、验证、测试，另设“未见负载”测试以避免随机切分造成信息泄露。</w:t>
      </w:r>
    </w:p>
    <w:p w14:paraId="648461AA">
      <w:pPr>
        <w:pStyle w:val="4"/>
      </w:pPr>
      <w:r>
        <w:t>11.2 Baselines</w:t>
      </w:r>
    </w:p>
    <w:p w14:paraId="19A44F8B">
      <w:pPr>
        <w:pStyle w:val="16"/>
      </w:pPr>
      <w:r>
        <w:t>Greedy GC；</w:t>
      </w:r>
    </w:p>
    <w:p w14:paraId="46C19DEA">
      <w:pPr>
        <w:pStyle w:val="16"/>
      </w:pPr>
      <w:r>
        <w:t>Cost-Benefit / CAT；</w:t>
      </w:r>
    </w:p>
    <w:p w14:paraId="096C570F">
      <w:pPr>
        <w:pStyle w:val="16"/>
      </w:pPr>
      <w:r>
        <w:t>FaGC 文件感知方法；</w:t>
      </w:r>
    </w:p>
    <w:p w14:paraId="4C35858E">
      <w:pPr>
        <w:pStyle w:val="16"/>
      </w:pPr>
      <w:r>
        <w:t>LSTM + K-Means 温度预测方法；</w:t>
      </w:r>
    </w:p>
    <w:p w14:paraId="6623450C">
      <w:pPr>
        <w:pStyle w:val="16"/>
      </w:pPr>
      <w:r>
        <w:t>去掉图结构、去掉文件语义、去掉不确定性门控的消融版本。</w:t>
      </w:r>
    </w:p>
    <w:p w14:paraId="3EBE09EB">
      <w:pPr>
        <w:pStyle w:val="4"/>
      </w:pPr>
      <w:r>
        <w:t>11.3 Metrics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68A2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</w:tcPr>
          <w:p w14:paraId="2D89541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类别</w:t>
            </w:r>
          </w:p>
        </w:tc>
        <w:tc>
          <w:tcPr>
            <w:tcW w:w="4933" w:type="dxa"/>
            <w:shd w:val="clear" w:color="auto" w:fill="315CBE"/>
            <w:vAlign w:val="center"/>
          </w:tcPr>
          <w:p w14:paraId="7BBC8CF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指标</w:t>
            </w:r>
          </w:p>
        </w:tc>
      </w:tr>
      <w:tr w14:paraId="6DBE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34C7191A">
            <w:pPr>
              <w:spacing w:after="0"/>
              <w:jc w:val="left"/>
            </w:pPr>
            <w:r>
              <w:rPr>
                <w:sz w:val="15"/>
              </w:rPr>
              <w:t>预测质量</w:t>
            </w:r>
          </w:p>
        </w:tc>
        <w:tc>
          <w:tcPr>
            <w:tcW w:w="4933" w:type="dxa"/>
            <w:vAlign w:val="center"/>
          </w:tcPr>
          <w:p w14:paraId="29163233">
            <w:pPr>
              <w:spacing w:after="0"/>
              <w:jc w:val="left"/>
            </w:pPr>
            <w:r>
              <w:rPr>
                <w:sz w:val="15"/>
              </w:rPr>
              <w:t>MAE、RMSE、温度等级 F1、Expected Calibration Error</w:t>
            </w:r>
          </w:p>
        </w:tc>
      </w:tr>
      <w:tr w14:paraId="163D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E3EC854">
            <w:pPr>
              <w:spacing w:after="0"/>
              <w:jc w:val="left"/>
            </w:pPr>
            <w:r>
              <w:rPr>
                <w:sz w:val="15"/>
              </w:rPr>
              <w:t>SSD 性能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17886BD1">
            <w:pPr>
              <w:spacing w:after="0"/>
              <w:jc w:val="left"/>
            </w:pPr>
            <w:r>
              <w:rPr>
                <w:sz w:val="15"/>
              </w:rPr>
              <w:t>WAF、平均写延迟、P99/P99.99 写延迟、吞吐</w:t>
            </w:r>
          </w:p>
        </w:tc>
      </w:tr>
      <w:tr w14:paraId="2DA2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23DDD8B7">
            <w:pPr>
              <w:spacing w:after="0"/>
              <w:jc w:val="left"/>
            </w:pPr>
            <w:r>
              <w:rPr>
                <w:sz w:val="15"/>
              </w:rPr>
              <w:t>寿命与稳定性</w:t>
            </w:r>
          </w:p>
        </w:tc>
        <w:tc>
          <w:tcPr>
            <w:tcW w:w="4933" w:type="dxa"/>
            <w:vAlign w:val="center"/>
          </w:tcPr>
          <w:p w14:paraId="7206AF80">
            <w:pPr>
              <w:spacing w:after="0"/>
              <w:jc w:val="left"/>
            </w:pPr>
            <w:r>
              <w:rPr>
                <w:sz w:val="15"/>
              </w:rPr>
              <w:t>擦写次数方差、最大/最小擦写比、跨负载最坏相对性能</w:t>
            </w:r>
          </w:p>
        </w:tc>
      </w:tr>
      <w:tr w14:paraId="27AA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1EA39329">
            <w:pPr>
              <w:spacing w:after="0"/>
              <w:jc w:val="left"/>
            </w:pPr>
            <w:r>
              <w:rPr>
                <w:sz w:val="15"/>
              </w:rPr>
              <w:t>系统开销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58361F06">
            <w:pPr>
              <w:spacing w:after="0"/>
              <w:jc w:val="left"/>
            </w:pPr>
            <w:r>
              <w:rPr>
                <w:sz w:val="15"/>
              </w:rPr>
              <w:t>CPU、内存、推理延迟、元数据开销</w:t>
            </w:r>
          </w:p>
        </w:tc>
      </w:tr>
    </w:tbl>
    <w:p w14:paraId="6EDBAFA6">
      <w:pPr>
        <w:spacing w:after="0"/>
      </w:pPr>
    </w:p>
    <w:p w14:paraId="3CFEAC8A">
      <w:pPr>
        <w:pStyle w:val="4"/>
      </w:pPr>
      <w:r>
        <w:t>11.4 结果呈现规范</w:t>
      </w:r>
    </w:p>
    <w:p w14:paraId="03626DF8">
      <w:pPr>
        <w:ind w:firstLine="360"/>
        <w:jc w:val="both"/>
      </w:pPr>
      <w:r>
        <w:t>最终技术方案只填写实际执行或可靠模拟得到的结果，并给出环境、随机种子、重复次数和误差范围。当前尚未完成的数字统一标记为【待回填实测】，不得沿用基础论文的 43.5%/79.3% 作为本项目结果。若三天内无法完成全规模实验，提交可复现的小规模仿真、完整参数和失败分析，也比虚构结果更有可信度。</w:t>
      </w:r>
    </w:p>
    <w:p w14:paraId="54792C2E">
      <w:r>
        <w:br w:type="page"/>
      </w:r>
    </w:p>
    <w:p w14:paraId="018C46CF">
      <w:pPr>
        <w:pStyle w:val="3"/>
        <w:jc w:val="left"/>
      </w:pPr>
      <w:r>
        <w:t>十二、系统级测试与评价方案</w:t>
      </w:r>
    </w:p>
    <w:p w14:paraId="31A90F28">
      <w:pPr>
        <w:pStyle w:val="4"/>
      </w:pPr>
      <w:r>
        <w:t>12.1 对比方案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37FF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</w:tcPr>
          <w:p w14:paraId="128122EF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方案</w:t>
            </w:r>
          </w:p>
        </w:tc>
        <w:tc>
          <w:tcPr>
            <w:tcW w:w="4933" w:type="dxa"/>
            <w:shd w:val="clear" w:color="auto" w:fill="315CBE"/>
            <w:vAlign w:val="center"/>
          </w:tcPr>
          <w:p w14:paraId="74858FB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描述</w:t>
            </w:r>
          </w:p>
        </w:tc>
      </w:tr>
      <w:tr w14:paraId="085D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6BD717F5">
            <w:pPr>
              <w:spacing w:after="0"/>
              <w:jc w:val="left"/>
            </w:pPr>
            <w:r>
              <w:rPr>
                <w:sz w:val="15"/>
              </w:rPr>
              <w:t>A：单模型直出</w:t>
            </w:r>
          </w:p>
        </w:tc>
        <w:tc>
          <w:tcPr>
            <w:tcW w:w="4933" w:type="dxa"/>
            <w:vAlign w:val="center"/>
          </w:tcPr>
          <w:p w14:paraId="58968353">
            <w:pPr>
              <w:spacing w:after="0"/>
              <w:jc w:val="left"/>
            </w:pPr>
            <w:r>
              <w:rPr>
                <w:sz w:val="15"/>
              </w:rPr>
              <w:t>Qwen 直接生成研究计划，无 RAG、无多 Agent</w:t>
            </w:r>
          </w:p>
        </w:tc>
      </w:tr>
      <w:tr w14:paraId="69A2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02BA930">
            <w:pPr>
              <w:spacing w:after="0"/>
              <w:jc w:val="left"/>
            </w:pPr>
            <w:r>
              <w:rPr>
                <w:sz w:val="15"/>
              </w:rPr>
              <w:t>B：单模型 + RAG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5CB3E42B">
            <w:pPr>
              <w:spacing w:after="0"/>
              <w:jc w:val="left"/>
            </w:pPr>
            <w:r>
              <w:rPr>
                <w:sz w:val="15"/>
              </w:rPr>
              <w:t>有证据检索，但无分工、评估与辩论</w:t>
            </w:r>
          </w:p>
        </w:tc>
      </w:tr>
      <w:tr w14:paraId="5E77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0B7711CF">
            <w:pPr>
              <w:spacing w:after="0"/>
              <w:jc w:val="left"/>
            </w:pPr>
            <w:r>
              <w:rPr>
                <w:sz w:val="15"/>
              </w:rPr>
              <w:t>C：多 Agent，无质量闸门</w:t>
            </w:r>
          </w:p>
        </w:tc>
        <w:tc>
          <w:tcPr>
            <w:tcW w:w="4933" w:type="dxa"/>
            <w:vAlign w:val="center"/>
          </w:tcPr>
          <w:p w14:paraId="74AF9650">
            <w:pPr>
              <w:spacing w:after="0"/>
              <w:jc w:val="left"/>
            </w:pPr>
            <w:r>
              <w:rPr>
                <w:sz w:val="15"/>
              </w:rPr>
              <w:t>七阶段协作，但关闭引用核验/人在回路</w:t>
            </w:r>
          </w:p>
        </w:tc>
      </w:tr>
      <w:tr w14:paraId="12AF9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3213DE1">
            <w:pPr>
              <w:spacing w:after="0"/>
              <w:jc w:val="left"/>
            </w:pPr>
            <w:r>
              <w:rPr>
                <w:sz w:val="15"/>
              </w:rPr>
              <w:t>D：完整系统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22A3D0E4">
            <w:pPr>
              <w:spacing w:after="0"/>
              <w:jc w:val="left"/>
            </w:pPr>
            <w:r>
              <w:rPr>
                <w:sz w:val="15"/>
              </w:rPr>
              <w:t>七 Agent + 四库 RAG + 引用核验 + 人在回路 + 辩论</w:t>
            </w:r>
          </w:p>
        </w:tc>
      </w:tr>
    </w:tbl>
    <w:p w14:paraId="4936E880">
      <w:pPr>
        <w:spacing w:after="0"/>
      </w:pPr>
    </w:p>
    <w:p w14:paraId="4CC1FE52">
      <w:pPr>
        <w:pStyle w:val="4"/>
      </w:pPr>
      <w:r>
        <w:t>12.2 指标</w:t>
      </w:r>
    </w:p>
    <w:p w14:paraId="09C439FD">
      <w:pPr>
        <w:pStyle w:val="16"/>
      </w:pPr>
      <w:r>
        <w:t>证据质量：Recall@K、NDCG@K、来源标识完整率；</w:t>
      </w:r>
    </w:p>
    <w:p w14:paraId="3E07E7B4">
      <w:pPr>
        <w:pStyle w:val="16"/>
      </w:pPr>
      <w:r>
        <w:t>引用质量：真实引用准确率、虚构引用拦截率、无法核验识别率；</w:t>
      </w:r>
    </w:p>
    <w:p w14:paraId="4E1092F2">
      <w:pPr>
        <w:pStyle w:val="16"/>
      </w:pPr>
      <w:r>
        <w:t>计划质量：10 字段完整率、字段一致性、可证伪性、实验可执行性；</w:t>
      </w:r>
    </w:p>
    <w:p w14:paraId="120BF808">
      <w:pPr>
        <w:pStyle w:val="16"/>
      </w:pPr>
      <w:r>
        <w:t>科学价值：由领域成员盲评创新性、自洽性和 Research Gap 有效性；</w:t>
      </w:r>
    </w:p>
    <w:p w14:paraId="709A76A3">
      <w:pPr>
        <w:pStyle w:val="16"/>
      </w:pPr>
      <w:r>
        <w:t>人机协作：人工修改次数、采纳率、退回原因分布；</w:t>
      </w:r>
    </w:p>
    <w:p w14:paraId="084C5F61">
      <w:pPr>
        <w:pStyle w:val="16"/>
      </w:pPr>
      <w:r>
        <w:t>工程性能：端到端时延、Agent 失败率、重试成功率、任务恢复成功率。</w:t>
      </w:r>
    </w:p>
    <w:p w14:paraId="3D9572DE">
      <w:pPr>
        <w:pStyle w:val="4"/>
      </w:pPr>
      <w:r>
        <w:t>12.3 测试要求</w:t>
      </w:r>
    </w:p>
    <w:p w14:paraId="41CB5663">
      <w:pPr>
        <w:ind w:firstLine="360"/>
        <w:jc w:val="both"/>
      </w:pPr>
      <w:r>
        <w:t>每个 Agent 至少包含正常输入、空输入、无证据、外部接口失败、格式错误和引用虚构测试；管线包含并行聚合、暂停恢复、阶段异常和 10 字段组装测试。最终演示前固定一组离线证据和模型响应作为兜底，避免现场网络波动导致无法展示。</w:t>
      </w:r>
    </w:p>
    <w:p w14:paraId="74E1A4BF">
      <w:r>
        <w:br w:type="page"/>
      </w:r>
    </w:p>
    <w:p w14:paraId="1A33DF94">
      <w:pPr>
        <w:pStyle w:val="3"/>
        <w:jc w:val="left"/>
      </w:pPr>
      <w:r>
        <w:t>十三、部署、复现与安全</w:t>
      </w:r>
    </w:p>
    <w:p w14:paraId="6447CDFF">
      <w:pPr>
        <w:pStyle w:val="4"/>
      </w:pPr>
      <w:r>
        <w:t>13.1 部署结构</w:t>
      </w:r>
    </w:p>
    <w:p w14:paraId="413DB80E">
      <w:pPr>
        <w:ind w:firstLine="360"/>
        <w:jc w:val="both"/>
      </w:pPr>
      <w:r>
        <w:t xml:space="preserve">项目按 </w:t>
      </w:r>
      <w:r>
        <w:rPr>
          <w:rFonts w:ascii="Consolas" w:hAnsi="Consolas"/>
          <w:color w:val="315CBE"/>
        </w:rPr>
        <w:t>frontend / backend / ai-service / data</w:t>
      </w:r>
      <w:r>
        <w:t xml:space="preserve"> 四个工程组织。开发环境可单机启动，MySQL、Chroma/Milvus 由 Docker Compose 编排。前端默认 5173，后端 8080，AI 服务 8081；对外只暴露后端接口。</w:t>
      </w:r>
    </w:p>
    <w:p w14:paraId="19BCA0F4">
      <w:pPr>
        <w:pStyle w:val="4"/>
      </w:pPr>
      <w:r>
        <w:t>13.2 复现清单</w:t>
      </w:r>
    </w:p>
    <w:p w14:paraId="0FFE76EB">
      <w:pPr>
        <w:pStyle w:val="16"/>
      </w:pPr>
      <w:r>
        <w:t>代码 commit、依赖锁定文件与启动说明；</w:t>
      </w:r>
    </w:p>
    <w:p w14:paraId="06D795A2">
      <w:pPr>
        <w:pStyle w:val="16"/>
      </w:pPr>
      <w:r>
        <w:rPr>
          <w:rFonts w:ascii="Consolas" w:hAnsi="Consolas"/>
          <w:color w:val="315CBE"/>
        </w:rPr>
        <w:t>.env.example</w:t>
      </w:r>
      <w:r>
        <w:t>，真实密钥不入仓库；</w:t>
      </w:r>
    </w:p>
    <w:p w14:paraId="0072424C">
      <w:pPr>
        <w:pStyle w:val="16"/>
      </w:pPr>
      <w:r>
        <w:t>原始数据来源清单、清洗脚本和 JSONL Schema；</w:t>
      </w:r>
    </w:p>
    <w:p w14:paraId="40AA4B01">
      <w:pPr>
        <w:pStyle w:val="16"/>
      </w:pPr>
      <w:r>
        <w:t>模型名、Embedding 模型、Prompt 版本与推理参数；</w:t>
      </w:r>
    </w:p>
    <w:p w14:paraId="2C8369F9">
      <w:pPr>
        <w:pStyle w:val="16"/>
      </w:pPr>
      <w:r>
        <w:t>测试命令、测试报告、样例请求和预期输出；</w:t>
      </w:r>
    </w:p>
    <w:p w14:paraId="6429BFF9">
      <w:pPr>
        <w:pStyle w:val="16"/>
      </w:pPr>
      <w:r>
        <w:t>百炼 API 调用凭证/截图及脱敏日志；</w:t>
      </w:r>
    </w:p>
    <w:p w14:paraId="604AD712">
      <w:pPr>
        <w:pStyle w:val="16"/>
      </w:pPr>
      <w:r>
        <w:t>Docker Compose 和离线演示数据包。</w:t>
      </w:r>
    </w:p>
    <w:p w14:paraId="5A365AE3">
      <w:pPr>
        <w:pStyle w:val="4"/>
      </w:pPr>
      <w:r>
        <w:t>13.3 安全与合规</w:t>
      </w:r>
    </w:p>
    <w:p w14:paraId="090B3B10">
      <w:pPr>
        <w:ind w:firstLine="360"/>
        <w:jc w:val="both"/>
      </w:pPr>
      <w:r>
        <w:t>只使用公开、获授权或团队自产数据；文献保存来源和许可信息；日志不记录完整 API Key；上传文件做类型和大小限制；模型输出不替代科研伦理和领域专家判断。引用无法核验时显式提示，禁止用“看似合理”的内容补全缺失证据。</w:t>
      </w:r>
    </w:p>
    <w:p w14:paraId="17375024">
      <w:r>
        <w:br w:type="page"/>
      </w:r>
    </w:p>
    <w:p w14:paraId="37AC72AE">
      <w:pPr>
        <w:pStyle w:val="3"/>
        <w:jc w:val="left"/>
      </w:pPr>
      <w:r>
        <w:t>十四、创新点与应用潜力</w:t>
      </w:r>
    </w:p>
    <w:p w14:paraId="49C018FE">
      <w:pPr>
        <w:pStyle w:val="4"/>
      </w:pPr>
      <w:r>
        <w:t>14.1 主要创新点</w:t>
      </w:r>
    </w:p>
    <w:p w14:paraId="5CC5A2FE">
      <w:pPr>
        <w:pStyle w:val="14"/>
      </w:pPr>
      <w:r>
        <w:t>从“文本生成”转为“证据-空白-假设-实验”的科研闭环，每一步都有结构化输入输出；</w:t>
      </w:r>
    </w:p>
    <w:p w14:paraId="431E2458">
      <w:pPr>
        <w:pStyle w:val="14"/>
      </w:pPr>
      <w:r>
        <w:t>七 Agent 串并联 DAG 与可插拔 Skills 结合，既保留专业分工，又支持新学科快速替换工具；</w:t>
      </w:r>
    </w:p>
    <w:p w14:paraId="6D1D7407">
      <w:pPr>
        <w:pStyle w:val="14"/>
      </w:pPr>
      <w:r>
        <w:t>四库 RAG 将论文、方法、数据集和事实证据分离治理，最终通过来源 ID 汇成可追溯证据链；</w:t>
      </w:r>
    </w:p>
    <w:p w14:paraId="25B832FC">
      <w:pPr>
        <w:pStyle w:val="14"/>
      </w:pPr>
      <w:r>
        <w:t xml:space="preserve">将 </w:t>
      </w:r>
      <w:r>
        <w:rPr>
          <w:rFonts w:ascii="Consolas" w:hAnsi="Consolas"/>
          <w:color w:val="315CBE"/>
        </w:rPr>
        <w:t>NOT_FOUND</w:t>
      </w:r>
      <w:r>
        <w:t xml:space="preserve"> 与 </w:t>
      </w:r>
      <w:r>
        <w:rPr>
          <w:rFonts w:ascii="Consolas" w:hAnsi="Consolas"/>
          <w:color w:val="315CBE"/>
        </w:rPr>
        <w:t>UNVERIFIABLE</w:t>
      </w:r>
      <w:r>
        <w:t xml:space="preserve"> 区分，避免把网络故障误判为虚构文献；</w:t>
      </w:r>
    </w:p>
    <w:p w14:paraId="6BDD241E">
      <w:pPr>
        <w:pStyle w:val="14"/>
      </w:pPr>
      <w:r>
        <w:t>人在回路与双角色辩论共同承担科研质量控制，使系统更适合教学和团队研究。</w:t>
      </w:r>
    </w:p>
    <w:p w14:paraId="0C041085">
      <w:pPr>
        <w:pStyle w:val="4"/>
      </w:pPr>
      <w:r>
        <w:t>14.2 应用场景</w:t>
      </w:r>
    </w:p>
    <w:p w14:paraId="7477D4B1">
      <w:pPr>
        <w:pStyle w:val="16"/>
      </w:pPr>
      <w:r>
        <w:t>研究生开题与课程设计：从文献阅读到实验计划的结构化训练；</w:t>
      </w:r>
    </w:p>
    <w:p w14:paraId="0A7EA594">
      <w:pPr>
        <w:pStyle w:val="16"/>
      </w:pPr>
      <w:r>
        <w:t>企业研发预研：快速比较方法、生成技术验证路线；</w:t>
      </w:r>
    </w:p>
    <w:p w14:paraId="794095C0">
      <w:pPr>
        <w:pStyle w:val="16"/>
      </w:pPr>
      <w:r>
        <w:t>跨学科合作：把一领域的方法迁移到另一领域并给出证据；</w:t>
      </w:r>
    </w:p>
    <w:p w14:paraId="4D755FBA">
      <w:pPr>
        <w:pStyle w:val="16"/>
      </w:pPr>
      <w:r>
        <w:t>科研管理：保存研究假设版本、审阅意见和验证结果；</w:t>
      </w:r>
    </w:p>
    <w:p w14:paraId="2F01F152">
      <w:pPr>
        <w:pStyle w:val="16"/>
      </w:pPr>
      <w:r>
        <w:t>垂直扩展：在替换知识库和 Skills 后进入材料、生物、农业、社会科学等方向。</w:t>
      </w:r>
    </w:p>
    <w:p w14:paraId="2AB4EDAE">
      <w:pPr>
        <w:pStyle w:val="4"/>
      </w:pPr>
      <w:r>
        <w:t>14.3 成果转化路径</w:t>
      </w:r>
    </w:p>
    <w:p w14:paraId="129536D6">
      <w:pPr>
        <w:ind w:firstLine="360"/>
        <w:jc w:val="both"/>
      </w:pPr>
      <w:r>
        <w:t>短期形成可复现原型、软件著作权和教学案例；中期围绕证据约束的多智能体编排、引用核验或 SSD 优化假设形成论文/专利；长期建设面向高校与研发团队的私有化科研助手平台。</w:t>
      </w:r>
    </w:p>
    <w:p w14:paraId="0850F512">
      <w:r>
        <w:br w:type="page"/>
      </w:r>
    </w:p>
    <w:p w14:paraId="47276B09">
      <w:pPr>
        <w:pStyle w:val="3"/>
        <w:jc w:val="left"/>
      </w:pPr>
      <w:r>
        <w:t>十五、当前实现状态与三天冲刺计划</w:t>
      </w:r>
    </w:p>
    <w:p w14:paraId="22A810D2">
      <w:pPr>
        <w:pStyle w:val="4"/>
      </w:pPr>
      <w:r>
        <w:t>15.1 当前状态（截至 2026-09-01）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4"/>
        <w:gridCol w:w="3155"/>
        <w:gridCol w:w="3763"/>
      </w:tblGrid>
      <w:tr w14:paraId="0044C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9" w:type="dxa"/>
            <w:shd w:val="clear" w:color="auto" w:fill="315CBE"/>
            <w:vAlign w:val="center"/>
          </w:tcPr>
          <w:p w14:paraId="388BA548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模块</w:t>
            </w:r>
          </w:p>
        </w:tc>
        <w:tc>
          <w:tcPr>
            <w:tcW w:w="3289" w:type="dxa"/>
            <w:shd w:val="clear" w:color="auto" w:fill="315CBE"/>
            <w:vAlign w:val="center"/>
          </w:tcPr>
          <w:p w14:paraId="4C1D017B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状态</w:t>
            </w:r>
          </w:p>
        </w:tc>
        <w:tc>
          <w:tcPr>
            <w:tcW w:w="3289" w:type="dxa"/>
            <w:shd w:val="clear" w:color="auto" w:fill="315CBE"/>
            <w:vAlign w:val="center"/>
          </w:tcPr>
          <w:p w14:paraId="25AE36DA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说明</w:t>
            </w:r>
          </w:p>
        </w:tc>
      </w:tr>
      <w:tr w14:paraId="6FF05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2B0649C3">
            <w:pPr>
              <w:spacing w:after="0"/>
              <w:jc w:val="left"/>
            </w:pPr>
            <w:r>
              <w:rPr>
                <w:sz w:val="15"/>
              </w:rPr>
              <w:t>总体架构、DAG、10 字段模型</w:t>
            </w:r>
          </w:p>
        </w:tc>
        <w:tc>
          <w:tcPr>
            <w:tcW w:w="3289" w:type="dxa"/>
            <w:vAlign w:val="center"/>
          </w:tcPr>
          <w:p w14:paraId="2AC80ABA">
            <w:pPr>
              <w:spacing w:after="0"/>
              <w:jc w:val="left"/>
            </w:pPr>
            <w:r>
              <w:rPr>
                <w:sz w:val="15"/>
              </w:rPr>
              <w:t>已进入主仓库</w:t>
            </w:r>
          </w:p>
        </w:tc>
        <w:tc>
          <w:tcPr>
            <w:tcW w:w="3289" w:type="dxa"/>
            <w:vAlign w:val="center"/>
          </w:tcPr>
          <w:p w14:paraId="3D37D7F4">
            <w:pPr>
              <w:spacing w:after="0"/>
              <w:jc w:val="left"/>
            </w:pPr>
            <w:r>
              <w:rPr>
                <w:rFonts w:ascii="Consolas" w:hAnsi="Consolas"/>
                <w:color w:val="315CBE"/>
                <w:sz w:val="15"/>
              </w:rPr>
              <w:t>PipelineEngine/PipelineContext/ResearchPlan</w:t>
            </w:r>
            <w:r>
              <w:rPr>
                <w:sz w:val="15"/>
              </w:rPr>
              <w:t xml:space="preserve"> 已存在</w:t>
            </w:r>
          </w:p>
        </w:tc>
      </w:tr>
      <w:tr w14:paraId="53896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shd w:val="clear" w:color="auto" w:fill="F3F6FB"/>
            <w:vAlign w:val="center"/>
          </w:tcPr>
          <w:p w14:paraId="1389963D">
            <w:pPr>
              <w:spacing w:after="0"/>
              <w:jc w:val="left"/>
            </w:pPr>
            <w:r>
              <w:rPr>
                <w:sz w:val="15"/>
              </w:rPr>
              <w:t>知识发现 Agent</w:t>
            </w:r>
          </w:p>
        </w:tc>
        <w:tc>
          <w:tcPr>
            <w:tcW w:w="3289" w:type="dxa"/>
            <w:shd w:val="clear" w:color="auto" w:fill="F3F6FB"/>
            <w:vAlign w:val="center"/>
          </w:tcPr>
          <w:p w14:paraId="28E217A2">
            <w:pPr>
              <w:spacing w:after="0"/>
              <w:jc w:val="left"/>
            </w:pPr>
            <w:r>
              <w:rPr>
                <w:sz w:val="15"/>
              </w:rPr>
              <w:t>已实现并有单元测试</w:t>
            </w:r>
          </w:p>
        </w:tc>
        <w:tc>
          <w:tcPr>
            <w:tcW w:w="3289" w:type="dxa"/>
            <w:shd w:val="clear" w:color="auto" w:fill="F3F6FB"/>
            <w:vAlign w:val="center"/>
          </w:tcPr>
          <w:p w14:paraId="67C78149">
            <w:pPr>
              <w:spacing w:after="0"/>
              <w:jc w:val="left"/>
            </w:pPr>
            <w:r>
              <w:rPr>
                <w:sz w:val="15"/>
              </w:rPr>
              <w:t>三阶段证据提取、跨论文比较、Gap 排序</w:t>
            </w:r>
          </w:p>
        </w:tc>
      </w:tr>
      <w:tr w14:paraId="7B27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1B2E45D5">
            <w:pPr>
              <w:spacing w:after="0"/>
              <w:jc w:val="left"/>
            </w:pPr>
            <w:r>
              <w:rPr>
                <w:sz w:val="15"/>
              </w:rPr>
              <w:t>问题理解、评估、实验设计等成员模块</w:t>
            </w:r>
          </w:p>
        </w:tc>
        <w:tc>
          <w:tcPr>
            <w:tcW w:w="3289" w:type="dxa"/>
            <w:vAlign w:val="center"/>
          </w:tcPr>
          <w:p w14:paraId="70123203">
            <w:pPr>
              <w:spacing w:after="0"/>
              <w:jc w:val="left"/>
            </w:pPr>
            <w:r>
              <w:rPr>
                <w:sz w:val="15"/>
              </w:rPr>
              <w:t>独立实现，待统一接入</w:t>
            </w:r>
          </w:p>
        </w:tc>
        <w:tc>
          <w:tcPr>
            <w:tcW w:w="3289" w:type="dxa"/>
            <w:vAlign w:val="center"/>
          </w:tcPr>
          <w:p w14:paraId="032B2B1A">
            <w:pPr>
              <w:spacing w:after="0"/>
              <w:jc w:val="left"/>
            </w:pPr>
            <w:r>
              <w:rPr>
                <w:sz w:val="15"/>
              </w:rPr>
              <w:t>需统一包名、DTO、Spring/LangChain4j 版本</w:t>
            </w:r>
          </w:p>
        </w:tc>
      </w:tr>
      <w:tr w14:paraId="367D5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shd w:val="clear" w:color="auto" w:fill="F3F6FB"/>
            <w:vAlign w:val="center"/>
          </w:tcPr>
          <w:p w14:paraId="41619030">
            <w:pPr>
              <w:spacing w:after="0"/>
              <w:jc w:val="left"/>
            </w:pPr>
            <w:r>
              <w:rPr>
                <w:sz w:val="15"/>
              </w:rPr>
              <w:t>四库清洗与灌库脚本</w:t>
            </w:r>
          </w:p>
        </w:tc>
        <w:tc>
          <w:tcPr>
            <w:tcW w:w="3289" w:type="dxa"/>
            <w:shd w:val="clear" w:color="auto" w:fill="F3F6FB"/>
            <w:vAlign w:val="center"/>
          </w:tcPr>
          <w:p w14:paraId="05D26003">
            <w:pPr>
              <w:spacing w:after="0"/>
              <w:jc w:val="left"/>
            </w:pPr>
            <w:r>
              <w:rPr>
                <w:sz w:val="15"/>
              </w:rPr>
              <w:t>已实现骨架</w:t>
            </w:r>
          </w:p>
        </w:tc>
        <w:tc>
          <w:tcPr>
            <w:tcW w:w="3289" w:type="dxa"/>
            <w:shd w:val="clear" w:color="auto" w:fill="F3F6FB"/>
            <w:vAlign w:val="center"/>
          </w:tcPr>
          <w:p w14:paraId="7A1010C6">
            <w:pPr>
              <w:spacing w:after="0"/>
              <w:jc w:val="left"/>
            </w:pPr>
            <w:r>
              <w:rPr>
                <w:sz w:val="15"/>
              </w:rPr>
              <w:t>最终 SSD 数据尚需替换当前演示 JSONL</w:t>
            </w:r>
          </w:p>
        </w:tc>
      </w:tr>
      <w:tr w14:paraId="68CF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0C2C81E2">
            <w:pPr>
              <w:spacing w:after="0"/>
              <w:jc w:val="left"/>
            </w:pPr>
            <w:r>
              <w:rPr>
                <w:sz w:val="15"/>
              </w:rPr>
              <w:t>RAG 检索服务</w:t>
            </w:r>
          </w:p>
        </w:tc>
        <w:tc>
          <w:tcPr>
            <w:tcW w:w="3289" w:type="dxa"/>
            <w:vAlign w:val="center"/>
          </w:tcPr>
          <w:p w14:paraId="3A0E47E1">
            <w:pPr>
              <w:spacing w:after="0"/>
              <w:jc w:val="left"/>
            </w:pPr>
            <w:r>
              <w:rPr>
                <w:sz w:val="15"/>
              </w:rPr>
              <w:t>待集成</w:t>
            </w:r>
          </w:p>
        </w:tc>
        <w:tc>
          <w:tcPr>
            <w:tcW w:w="3289" w:type="dxa"/>
            <w:vAlign w:val="center"/>
          </w:tcPr>
          <w:p w14:paraId="4D7B6317">
            <w:pPr>
              <w:spacing w:after="0"/>
              <w:jc w:val="left"/>
            </w:pPr>
            <w:r>
              <w:rPr>
                <w:sz w:val="15"/>
              </w:rPr>
              <w:t>主仓库接口仍为 TODO；Milvus 需确认真实连接</w:t>
            </w:r>
          </w:p>
        </w:tc>
      </w:tr>
      <w:tr w14:paraId="59051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shd w:val="clear" w:color="auto" w:fill="F3F6FB"/>
            <w:vAlign w:val="center"/>
          </w:tcPr>
          <w:p w14:paraId="41B79B80">
            <w:pPr>
              <w:spacing w:after="0"/>
              <w:jc w:val="left"/>
            </w:pPr>
            <w:r>
              <w:rPr>
                <w:sz w:val="15"/>
              </w:rPr>
              <w:t>前端</w:t>
            </w:r>
          </w:p>
        </w:tc>
        <w:tc>
          <w:tcPr>
            <w:tcW w:w="3289" w:type="dxa"/>
            <w:shd w:val="clear" w:color="auto" w:fill="F3F6FB"/>
            <w:vAlign w:val="center"/>
          </w:tcPr>
          <w:p w14:paraId="1ECC072B">
            <w:pPr>
              <w:spacing w:after="0"/>
              <w:jc w:val="left"/>
            </w:pPr>
            <w:r>
              <w:rPr>
                <w:sz w:val="15"/>
              </w:rPr>
              <w:t>已有可交互原型页面</w:t>
            </w:r>
          </w:p>
        </w:tc>
        <w:tc>
          <w:tcPr>
            <w:tcW w:w="3289" w:type="dxa"/>
            <w:shd w:val="clear" w:color="auto" w:fill="F3F6FB"/>
            <w:vAlign w:val="center"/>
          </w:tcPr>
          <w:p w14:paraId="2322D151">
            <w:pPr>
              <w:spacing w:after="0"/>
              <w:jc w:val="left"/>
            </w:pPr>
            <w:r>
              <w:rPr>
                <w:sz w:val="15"/>
              </w:rPr>
              <w:t>SSE、人在回路和后端接口待联调</w:t>
            </w:r>
          </w:p>
        </w:tc>
      </w:tr>
      <w:tr w14:paraId="28DF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9" w:type="dxa"/>
            <w:vAlign w:val="center"/>
          </w:tcPr>
          <w:p w14:paraId="24B3A80F">
            <w:pPr>
              <w:spacing w:after="0"/>
              <w:jc w:val="left"/>
            </w:pPr>
            <w:r>
              <w:rPr>
                <w:sz w:val="15"/>
              </w:rPr>
              <w:t>SSD 真实案例</w:t>
            </w:r>
          </w:p>
        </w:tc>
        <w:tc>
          <w:tcPr>
            <w:tcW w:w="3289" w:type="dxa"/>
            <w:vAlign w:val="center"/>
          </w:tcPr>
          <w:p w14:paraId="2059F490">
            <w:pPr>
              <w:spacing w:after="0"/>
              <w:jc w:val="left"/>
            </w:pPr>
            <w:r>
              <w:rPr>
                <w:sz w:val="15"/>
              </w:rPr>
              <w:t>已收集两篇基础论文</w:t>
            </w:r>
          </w:p>
        </w:tc>
        <w:tc>
          <w:tcPr>
            <w:tcW w:w="3289" w:type="dxa"/>
            <w:vAlign w:val="center"/>
          </w:tcPr>
          <w:p w14:paraId="6DBB4C6D">
            <w:pPr>
              <w:spacing w:after="0"/>
              <w:jc w:val="left"/>
            </w:pPr>
            <w:r>
              <w:rPr>
                <w:sz w:val="15"/>
              </w:rPr>
              <w:t>端到端生成结果和实测结果待回填</w:t>
            </w:r>
          </w:p>
        </w:tc>
      </w:tr>
    </w:tbl>
    <w:p w14:paraId="629C9155">
      <w:pPr>
        <w:spacing w:after="0"/>
      </w:pPr>
    </w:p>
    <w:p w14:paraId="6EB0D1EE">
      <w:pPr>
        <w:pStyle w:val="4"/>
      </w:pPr>
      <w:r>
        <w:t>15.2 冲刺优先级</w:t>
      </w:r>
    </w:p>
    <w:p w14:paraId="07E327DF">
      <w:pPr>
        <w:ind w:firstLine="360"/>
        <w:jc w:val="both"/>
      </w:pPr>
      <w:r>
        <w:rPr>
          <w:b/>
        </w:rPr>
        <w:t>第 1 天：接口统一与最小闭环。</w:t>
      </w:r>
      <w:r>
        <w:t xml:space="preserve"> 固化 </w:t>
      </w:r>
      <w:r>
        <w:rPr>
          <w:rFonts w:ascii="Consolas" w:hAnsi="Consolas"/>
          <w:color w:val="315CBE"/>
        </w:rPr>
        <w:t>PipelineContext</w:t>
      </w:r>
      <w:r>
        <w:t>、</w:t>
      </w:r>
      <w:r>
        <w:rPr>
          <w:rFonts w:ascii="Consolas" w:hAnsi="Consolas"/>
          <w:color w:val="315CBE"/>
        </w:rPr>
        <w:t>EvidenceItem</w:t>
      </w:r>
      <w:r>
        <w:t>、</w:t>
      </w:r>
      <w:r>
        <w:rPr>
          <w:rFonts w:ascii="Consolas" w:hAnsi="Consolas"/>
          <w:color w:val="315CBE"/>
        </w:rPr>
        <w:t>ResearchPlan</w:t>
      </w:r>
      <w:r>
        <w:t xml:space="preserve"> 与 </w:t>
      </w:r>
      <w:r>
        <w:rPr>
          <w:rFonts w:ascii="Consolas" w:hAnsi="Consolas"/>
          <w:color w:val="315CBE"/>
        </w:rPr>
        <w:t>RagSearchService</w:t>
      </w:r>
      <w:r>
        <w:t>；接入问题理解、知识发现、假设评估和实验设计；不再增加新框架。</w:t>
      </w:r>
    </w:p>
    <w:p w14:paraId="352DD4BB">
      <w:pPr>
        <w:ind w:firstLine="360"/>
        <w:jc w:val="both"/>
      </w:pPr>
      <w:r>
        <w:rPr>
          <w:b/>
        </w:rPr>
        <w:t>第 2 天：SSD 数据与端到端案例。</w:t>
      </w:r>
      <w:r>
        <w:t xml:space="preserve"> 解析两篇真实 SSD 论文，补齐 DOI/URL；生成四库 JSONL；跑通一个问题到 10 字段报告的完整流程；记录失败和人工介入过程。</w:t>
      </w:r>
    </w:p>
    <w:p w14:paraId="4348C2AB">
      <w:pPr>
        <w:ind w:firstLine="360"/>
        <w:jc w:val="both"/>
      </w:pPr>
      <w:r>
        <w:rPr>
          <w:b/>
        </w:rPr>
        <w:t>第 3 天：测试、材料与演示。</w:t>
      </w:r>
      <w:r>
        <w:t xml:space="preserve"> 修复阻断缺陷，完成核心测试；回填真实截图与运行数据；导出≤20页 PDF；按 8-10 分钟脚本录制演示视频，并准备离线兜底。</w:t>
      </w:r>
    </w:p>
    <w:p w14:paraId="3B7A430E">
      <w:pPr>
        <w:pStyle w:val="4"/>
      </w:pPr>
      <w:r>
        <w:t>15.3 明确延后</w:t>
      </w:r>
    </w:p>
    <w:p w14:paraId="1DD48B91">
      <w:pPr>
        <w:ind w:firstLine="360"/>
        <w:jc w:val="both"/>
      </w:pPr>
      <w:r>
        <w:t>SFT 微调、复杂权限系统、全量生产 Milvus、跨多学科大规模评测和高级界面动效不属于三天内阻断项。只有在核心链路稳定后才进入后续版本。</w:t>
      </w:r>
    </w:p>
    <w:p w14:paraId="64C424BD">
      <w:r>
        <w:br w:type="page"/>
      </w:r>
    </w:p>
    <w:p w14:paraId="1746B4F9">
      <w:pPr>
        <w:pStyle w:val="3"/>
        <w:jc w:val="left"/>
      </w:pPr>
      <w:r>
        <w:t>十六、结论、提交对照与待回填项</w:t>
      </w:r>
    </w:p>
    <w:p w14:paraId="312440F6">
      <w:pPr>
        <w:ind w:firstLine="360"/>
        <w:jc w:val="both"/>
      </w:pPr>
      <w:r>
        <w:t>本项目以“可验证”而非“会生成”为核心目标，通过七 Agent 协作、四库 RAG、结构化状态、真实引用核验和人在回路，将千问模型的推理能力约束在可追溯的科研证据链上。SSD 垃圾回收案例为系统提供了具体、可证伪、可实验的验证场景。现阶段的关键不是继续扩展功能，而是完成接口统一、真实数据入库和一个端到端案例，确保技术方案、源代码和演示视频展示的是同一套系统。</w:t>
      </w:r>
    </w:p>
    <w:p w14:paraId="6A7AB012">
      <w:pPr>
        <w:pStyle w:val="4"/>
      </w:pPr>
      <w:r>
        <w:t>16.1 赛题材料对照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4A4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33" w:type="dxa"/>
            <w:shd w:val="clear" w:color="auto" w:fill="315CBE"/>
            <w:vAlign w:val="center"/>
          </w:tcPr>
          <w:p w14:paraId="6D12FD3B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赛题要求</w:t>
            </w:r>
          </w:p>
        </w:tc>
        <w:tc>
          <w:tcPr>
            <w:tcW w:w="4933" w:type="dxa"/>
            <w:shd w:val="clear" w:color="auto" w:fill="315CBE"/>
            <w:vAlign w:val="center"/>
          </w:tcPr>
          <w:p w14:paraId="2E242CF5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本项目材料</w:t>
            </w:r>
          </w:p>
        </w:tc>
      </w:tr>
      <w:tr w14:paraId="16F00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76E76720">
            <w:pPr>
              <w:spacing w:after="0"/>
              <w:jc w:val="left"/>
            </w:pPr>
            <w:r>
              <w:rPr>
                <w:sz w:val="15"/>
              </w:rPr>
              <w:t>PDF≤20页技术方案</w:t>
            </w:r>
          </w:p>
        </w:tc>
        <w:tc>
          <w:tcPr>
            <w:tcW w:w="4933" w:type="dxa"/>
            <w:vAlign w:val="center"/>
          </w:tcPr>
          <w:p w14:paraId="0264A2C6">
            <w:pPr>
              <w:spacing w:after="0"/>
              <w:jc w:val="left"/>
            </w:pPr>
            <w:r>
              <w:rPr>
                <w:sz w:val="15"/>
              </w:rPr>
              <w:t>本文档最终定稿版</w:t>
            </w:r>
          </w:p>
        </w:tc>
      </w:tr>
      <w:tr w14:paraId="2278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48117E88">
            <w:pPr>
              <w:spacing w:after="0"/>
              <w:jc w:val="left"/>
            </w:pPr>
            <w:r>
              <w:rPr>
                <w:sz w:val="15"/>
              </w:rPr>
              <w:t>研究问题与解决方法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564DA993">
            <w:pPr>
              <w:spacing w:after="0"/>
              <w:jc w:val="left"/>
            </w:pPr>
            <w:r>
              <w:rPr>
                <w:sz w:val="15"/>
              </w:rPr>
              <w:t>第一、二、九至十一章</w:t>
            </w:r>
          </w:p>
        </w:tc>
      </w:tr>
      <w:tr w14:paraId="4628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50B17417">
            <w:pPr>
              <w:spacing w:after="0"/>
              <w:jc w:val="left"/>
            </w:pPr>
            <w:r>
              <w:rPr>
                <w:sz w:val="15"/>
              </w:rPr>
              <w:t>AI Scientist 架构讲解</w:t>
            </w:r>
          </w:p>
        </w:tc>
        <w:tc>
          <w:tcPr>
            <w:tcW w:w="4933" w:type="dxa"/>
            <w:vAlign w:val="center"/>
          </w:tcPr>
          <w:p w14:paraId="731D2AEF">
            <w:pPr>
              <w:spacing w:after="0"/>
              <w:jc w:val="left"/>
            </w:pPr>
            <w:r>
              <w:rPr>
                <w:sz w:val="15"/>
              </w:rPr>
              <w:t>第三至八章</w:t>
            </w:r>
          </w:p>
        </w:tc>
      </w:tr>
      <w:tr w14:paraId="211B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281E61D6">
            <w:pPr>
              <w:spacing w:after="0"/>
              <w:jc w:val="left"/>
            </w:pPr>
            <w:r>
              <w:rPr>
                <w:sz w:val="15"/>
              </w:rPr>
              <w:t>真实案例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059824DA">
            <w:pPr>
              <w:spacing w:after="0"/>
              <w:jc w:val="left"/>
            </w:pPr>
            <w:r>
              <w:rPr>
                <w:sz w:val="15"/>
              </w:rPr>
              <w:t>SSD 案例及端到端运行记录</w:t>
            </w:r>
          </w:p>
        </w:tc>
      </w:tr>
      <w:tr w14:paraId="5008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595E566C">
            <w:pPr>
              <w:spacing w:after="0"/>
              <w:jc w:val="left"/>
            </w:pPr>
            <w:r>
              <w:rPr>
                <w:sz w:val="15"/>
              </w:rPr>
              <w:t>核心源代码与上下文工程</w:t>
            </w:r>
          </w:p>
        </w:tc>
        <w:tc>
          <w:tcPr>
            <w:tcW w:w="4933" w:type="dxa"/>
            <w:vAlign w:val="center"/>
          </w:tcPr>
          <w:p w14:paraId="4DA42837">
            <w:pPr>
              <w:spacing w:after="0"/>
              <w:jc w:val="left"/>
            </w:pPr>
            <w:r>
              <w:rPr>
                <w:sz w:val="15"/>
              </w:rPr>
              <w:t>第五、八、十三章及 GitHub 仓库</w:t>
            </w:r>
          </w:p>
        </w:tc>
      </w:tr>
      <w:tr w14:paraId="19B8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517499A6">
            <w:pPr>
              <w:spacing w:after="0"/>
              <w:jc w:val="left"/>
            </w:pPr>
            <w:r>
              <w:rPr>
                <w:sz w:val="15"/>
              </w:rPr>
              <w:t>百炼调用凭证/截图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1C55B7CD">
            <w:pPr>
              <w:spacing w:after="0"/>
              <w:jc w:val="left"/>
            </w:pPr>
            <w:r>
              <w:rPr>
                <w:sz w:val="15"/>
              </w:rPr>
              <w:t>【待补：脱敏截图与调用日志】</w:t>
            </w:r>
          </w:p>
        </w:tc>
      </w:tr>
      <w:tr w14:paraId="3F2F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vAlign w:val="center"/>
          </w:tcPr>
          <w:p w14:paraId="466F19BF">
            <w:pPr>
              <w:spacing w:after="0"/>
              <w:jc w:val="left"/>
            </w:pPr>
            <w:r>
              <w:rPr>
                <w:sz w:val="15"/>
              </w:rPr>
              <w:t>可交互前端</w:t>
            </w:r>
          </w:p>
        </w:tc>
        <w:tc>
          <w:tcPr>
            <w:tcW w:w="4933" w:type="dxa"/>
            <w:vAlign w:val="center"/>
          </w:tcPr>
          <w:p w14:paraId="24E14293">
            <w:pPr>
              <w:spacing w:after="0"/>
              <w:jc w:val="left"/>
            </w:pPr>
            <w:r>
              <w:rPr>
                <w:sz w:val="15"/>
              </w:rPr>
              <w:t>【待补：任务页、管线页、结果页截图】</w:t>
            </w:r>
          </w:p>
        </w:tc>
      </w:tr>
      <w:tr w14:paraId="1A19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33" w:type="dxa"/>
            <w:shd w:val="clear" w:color="auto" w:fill="F3F6FB"/>
            <w:vAlign w:val="center"/>
          </w:tcPr>
          <w:p w14:paraId="625D8CC9">
            <w:pPr>
              <w:spacing w:after="0"/>
              <w:jc w:val="left"/>
            </w:pPr>
            <w:r>
              <w:rPr>
                <w:sz w:val="15"/>
              </w:rPr>
              <w:t>10分钟内演示视频</w:t>
            </w:r>
          </w:p>
        </w:tc>
        <w:tc>
          <w:tcPr>
            <w:tcW w:w="4933" w:type="dxa"/>
            <w:shd w:val="clear" w:color="auto" w:fill="F3F6FB"/>
            <w:vAlign w:val="center"/>
          </w:tcPr>
          <w:p w14:paraId="22501C23">
            <w:pPr>
              <w:spacing w:after="0"/>
              <w:jc w:val="left"/>
            </w:pPr>
            <w:r>
              <w:rPr>
                <w:sz w:val="15"/>
              </w:rPr>
              <w:t>【待补：最终视频链接/文件名】</w:t>
            </w:r>
          </w:p>
        </w:tc>
      </w:tr>
    </w:tbl>
    <w:p w14:paraId="5B5A2956">
      <w:pPr>
        <w:spacing w:after="0"/>
      </w:pPr>
    </w:p>
    <w:p w14:paraId="1456C787">
      <w:pPr>
        <w:pStyle w:val="4"/>
      </w:pPr>
      <w:r>
        <w:t>16.2 最终稿必须回填</w:t>
      </w:r>
    </w:p>
    <w:p w14:paraId="5E4EF98F">
      <w:pPr>
        <w:pStyle w:val="16"/>
      </w:pPr>
      <w:r>
        <w:t>学校、团队、负责人和指导教师；</w:t>
      </w:r>
    </w:p>
    <w:p w14:paraId="4A06A0EE">
      <w:pPr>
        <w:pStyle w:val="16"/>
      </w:pPr>
      <w:r>
        <w:t>GitHub 最终 commit 与代码统计；</w:t>
      </w:r>
    </w:p>
    <w:p w14:paraId="33389CE9">
      <w:pPr>
        <w:pStyle w:val="16"/>
      </w:pPr>
      <w:r>
        <w:t>百炼 API 调用凭证、模型名和脱敏日志；</w:t>
      </w:r>
    </w:p>
    <w:p w14:paraId="555F70F8">
      <w:pPr>
        <w:pStyle w:val="16"/>
      </w:pPr>
      <w:r>
        <w:t>Chroma/Milvus 真实连接截图；</w:t>
      </w:r>
    </w:p>
    <w:p w14:paraId="1F0DDD1C">
      <w:pPr>
        <w:pStyle w:val="16"/>
      </w:pPr>
      <w:r>
        <w:t>SSD 四库数据规模与来源清单；</w:t>
      </w:r>
    </w:p>
    <w:p w14:paraId="5A9BF505">
      <w:pPr>
        <w:pStyle w:val="16"/>
      </w:pPr>
      <w:r>
        <w:t>一次完整运行的 10 字段输出；</w:t>
      </w:r>
    </w:p>
    <w:p w14:paraId="44A426DA">
      <w:pPr>
        <w:pStyle w:val="16"/>
      </w:pPr>
      <w:r>
        <w:t>系统测试结果和 SSD 小规模实验结果；</w:t>
      </w:r>
    </w:p>
    <w:p w14:paraId="42CB4A03">
      <w:pPr>
        <w:pStyle w:val="16"/>
      </w:pPr>
      <w:r>
        <w:t>前端交互与人在回路截图。</w:t>
      </w:r>
    </w:p>
    <w:p w14:paraId="1BF33D54">
      <w:pPr>
        <w:pStyle w:val="4"/>
      </w:pPr>
      <w:r>
        <w:t>参考资料</w:t>
      </w:r>
    </w:p>
    <w:p w14:paraId="3D50FA44">
      <w:pPr>
        <w:pStyle w:val="14"/>
      </w:pPr>
      <w:r>
        <w:t>2026 年“挑战杯”揭榜挂帅专项赛题 XH-202619：《基于国产开源大模型的 AI Scientist 的研发与应用》。</w:t>
      </w:r>
    </w:p>
    <w:p w14:paraId="4A2E4C68">
      <w:pPr>
        <w:pStyle w:val="14"/>
      </w:pPr>
      <w:r>
        <w:t xml:space="preserve">项目仓库：August13-B/ai-scientist，commit </w:t>
      </w:r>
      <w:r>
        <w:rPr>
          <w:rFonts w:ascii="Consolas" w:hAnsi="Consolas"/>
          <w:color w:val="315CBE"/>
        </w:rPr>
        <w:t>23fa6d98522d36726c608c03b53f7bce17f9bc96</w:t>
      </w:r>
      <w:r>
        <w:t>，2026-09-01。</w:t>
      </w:r>
    </w:p>
    <w:p w14:paraId="04DC04E4">
      <w:pPr>
        <w:pStyle w:val="14"/>
      </w:pPr>
      <w:r>
        <w:t>Pan Yang et al. “Reducing Garbage Collection Overhead in SSD Based on Workload Prediction.” 11th USENIX Workshop on Hot Topics in Storage and File Systems, 2019.</w:t>
      </w:r>
    </w:p>
    <w:p w14:paraId="6C9FA979">
      <w:pPr>
        <w:pStyle w:val="14"/>
      </w:pPr>
      <w:r>
        <w:t>Hua Yan and Qian Yao. “An Efficient File-aware Garbage Collection Algorithm for NAND Flash-based Consumer Electronics.” IEEE Transactions on Consumer Electronics, 60(4):623-627, 2014. DOI: 10.1109/TCE.2014.7027335.</w:t>
      </w:r>
    </w:p>
    <w:sectPr>
      <w:footerReference r:id="rId5" w:type="default"/>
      <w:pgSz w:w="11906" w:h="16838"/>
      <w:pgMar w:top="964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A5C33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6A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color w:val="162033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6203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15CBE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15CBE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162033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2033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1935</Words>
  <Characters>2209</Characters>
  <Lines>0</Lines>
  <Paragraphs>0</Paragraphs>
  <TotalTime>111</TotalTime>
  <ScaleCrop>false</ScaleCrop>
  <LinksUpToDate>false</LinksUpToDate>
  <CharactersWithSpaces>2323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-y</cp:lastModifiedBy>
  <dcterms:modified xsi:type="dcterms:W3CDTF">2026-09-01T13:56:12Z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eyJoZGlkIjoiZWE4ZGZjODBlMTFkZDJjNzQ5OGYwOTg2OGMyZjdlMjEiLCJ1c2VySWQiOiIxNDQ2NDY4NTU5In0=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178817FAB1B044A7BD3C66BC01DD22C1_12</vt:lpwstr>
  </property>
</Properties>
</file>