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Microsoft YaHei" w:hAnsi="Microsoft YaHei" w:eastAsia="Microsoft YaHei"/>
          <w:b/>
          <w:i w:val="0"/>
          <w:color w:val="1A2421"/>
          <w:sz w:val="50"/>
        </w:rPr>
        <w:t>接口说明与测试报告</w:t>
      </w:r>
    </w:p>
    <w:p>
      <w:pPr>
        <w:spacing w:after="360"/>
      </w:pPr>
      <w:r>
        <w:rPr>
          <w:rFonts w:ascii="Microsoft YaHei" w:hAnsi="Microsoft YaHei" w:eastAsia="Microsoft YaHei"/>
          <w:b w:val="0"/>
          <w:i w:val="0"/>
          <w:color w:val="1F4D78"/>
          <w:sz w:val="28"/>
        </w:rPr>
        <w:t>HypoLab 科研假设生成 Agent V1.0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项目：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AI Scientist / HypoLab 科研假设工作台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功能分支：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feature/hypolab-workbench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接口模型：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通义千问 Qwen3.7-Plus（OpenAI 兼容接口）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测试日期：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2026年9月2日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编制人：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黄晴昀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结论摘要</w:t>
      </w:r>
    </w:p>
    <w:p>
      <w:pPr>
        <w:spacing w:after="160"/>
        <w:shd w:fill="E9F4E6"/>
      </w:pPr>
      <w:r>
        <w:rPr>
          <w:rFonts w:ascii="Microsoft YaHei" w:hAnsi="Microsoft YaHei" w:eastAsia="Microsoft YaHei"/>
          <w:b/>
          <w:i w:val="0"/>
          <w:color w:val="285A32"/>
          <w:sz w:val="22"/>
        </w:rPr>
        <w:t>结论：真实大模型接口、结构化证据引用、D1持久化和错误处理均已完成并通过本地联调。两组不同科研问题产生了明显不同的假设与验证方案，证明系统不再返回固定模板。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固定五组假设模板已替换为通义千问真实调用。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输入覆盖科研问题、ResearchGap、EvidenceItem、数据条件与生成约束。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输出覆盖假设陈述、生成依据、证据ID、创新性、可行性、置信度与验证方案。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数据库保存失败会返回明确错误，不再返回模拟ID或伪成功。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接口总体设计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前端工作台通过同源 API 调用假设生成服务。服务优先使用团队统一后端；未配置团队接口时调用通义千问 OpenAI 兼容端点。上游模块负责把图片、表格和论文解析成 EvidenceItem，本模块只消费结构化证据并生成可证伪假设。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模块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前端工作台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收集研究上下文、EvidenceItem、数据条件和约束；展示结构化假设结果。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POST /api/hypotheses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校验请求、调用模型、校验证据引用、保存D1并返回结果。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假设生成 Agent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构造模型提示词，要求只输出JSON并禁止虚构证据ID。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Cloudflare D1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持久化假设、证据引用、质量评分和验证方案。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生成假设接口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请求方法：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POST /api/hypotheses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i w:val="0"/>
          <w:color w:val="1A2421"/>
          <w:sz w:val="22"/>
        </w:rPr>
        <w:t>内容类型：</w:t>
      </w: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application/json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2.1 请求字段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900"/>
        <w:gridCol w:w="50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必填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researchQuestion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科研问题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researchGap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已知事实和研究空白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evidenceItems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EvidenceItem[]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上游提取的结构化证据，至少1条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dataConditions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可用数据与实验条件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constraints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生成约束，例如可证伪、禁止虚构证据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candidateCount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3 | 4 | 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候选假设数量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2.2 请求示例</w:t>
      </w:r>
    </w:p>
    <w:p>
      <w:pPr>
        <w:spacing w:before="80" w:after="160"/>
        <w:ind w:left="230" w:right="230"/>
        <w:shd w:fill="F6F8FA"/>
      </w:pPr>
      <w:r>
        <w:rPr>
          <w:rFonts w:ascii="Consolas" w:hAnsi="Consolas" w:eastAsia="Consolas"/>
          <w:b w:val="0"/>
          <w:i w:val="0"/>
          <w:color w:val="24292F"/>
          <w:sz w:val="17"/>
        </w:rPr>
        <w:t>{</w:t>
        <w:br/>
        <w:t xml:space="preserve">  "researchQuestion": "如何预测极端降雨后农田土壤含水率变化？",</w:t>
        <w:br/>
        <w:t xml:space="preserve">  "researchGap": "现有模型跨区域泛化能力不足。",</w:t>
        <w:br/>
        <w:t xml:space="preserve">  "evidenceItems": [</w:t>
        <w:br/>
        <w:t xml:space="preserve">    {"id":"E001","content":"黏土衰减速度慢于砂土。"},</w:t>
        <w:br/>
        <w:t xml:space="preserve">    {"id":"E002","content":"含6站点、3类土壤、两年逐小时数据。"}</w:t>
        <w:br/>
        <w:t xml:space="preserve">  ],</w:t>
        <w:br/>
        <w:t xml:space="preserve">  "dataConditions": "可进行跨站点留一验证。",</w:t>
        <w:br/>
        <w:t xml:space="preserve">  "constraints": ["必须可证伪","只能引用输入证据ID"],</w:t>
        <w:br/>
        <w:t xml:space="preserve">  "candidateCount": 3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2.3 输出字段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title / statement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假设标题与可证伪陈述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rationale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结合ResearchGap和EvidenceItem形成的生成依据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citedEvidenceIds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实际引用的输入证据ID；虚构ID会被拒绝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novelty / feasibility / confidence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创新性、可行性与置信度评分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validationPlan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方法、变量、数据集、指标与证伪条件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查询与错误处理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3.1 查询假设记录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GET /api/hypotheses 返回D1中最近保存的最多50条假设，按ID倒序排列。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3.2 错误码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000"/>
        <w:gridCol w:w="5360"/>
      </w:tblGrid>
      <w:t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HTTP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错误码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处理含义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400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INVALID_REQUEST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输入缺失、类型不符或EvidenceItem不合规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422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INVALID_MODEL_OUTPUT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模型输出不是合规JSON，或引用了不存在的证据ID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500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HYPOTHESIS_PERSIST_FAILED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模型生成成功但数据库保存失败；不返回模拟成功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502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AGENT_SERVICE_FAILED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模型服务调用失败、超时或上游返回异常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503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GENERATOR_NOT_CONFIGURED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未配置团队接口或通义千问密钥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两组真实联调测试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1200"/>
        <w:gridCol w:w="42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测试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科研问题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证据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生成结果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大学生睡眠与心理压力风险识别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E001、E002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生成4条；包含个体基线、时序验证、多模态融合等方向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B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极端降雨后土壤含水率预测与灌溉优化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E001、E002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A2421"/>
                <w:sz w:val="18"/>
              </w:rPr>
              <w:t>生成3条；包含土壤类型校准、分区模型和滚动灌溉策略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判定：两组输出的研究主题、推理依据、验证方法、指标和证伪条件均不同；结果不是固定模板。所有模型输出均只引用输入中存在的证据ID。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测试截图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5.1 测试A：睡眠与心理压力输入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输入包含科研问题、ResearchGap、E001/E002、可用数据条件和证据约束。</w:t>
      </w:r>
    </w:p>
    <w:p>
      <w:r>
        <w:drawing>
          <wp:inline xmlns:a="http://schemas.openxmlformats.org/drawingml/2006/main" xmlns:pic="http://schemas.openxmlformats.org/drawingml/2006/picture">
            <wp:extent cx="5806440" cy="3243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leep-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87078"/>
          <w:sz w:val="18"/>
        </w:rPr>
        <w:t>图1  睡眠与心理压力问题的结构化输入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5.2 测试B：土壤含水率真实生成结果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页面显示了模型生成的假设标题、可证伪陈述、Rationale、引用证据E001/E002、验证方法、指标与证伪条件。</w:t>
      </w:r>
    </w:p>
    <w:p>
      <w:r>
        <w:drawing>
          <wp:inline xmlns:a="http://schemas.openxmlformats.org/drawingml/2006/main" xmlns:pic="http://schemas.openxmlformats.org/drawingml/2006/picture">
            <wp:extent cx="5806440" cy="3243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il-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87078"/>
          <w:sz w:val="18"/>
        </w:rPr>
        <w:t>图2  土壤类型动态校准与跨站点验证假设结果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验收结论与安全说明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真实后端接口接入：通过。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结构化EvidenceItem接收与证据ID引用：通过。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不同科研问题生成不同假设：通过。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D1保存失败返回明确错误：通过。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Cloudflare Worker/D1 TypeScript类型检查：通过。</w:t>
      </w:r>
    </w:p>
    <w:p>
      <w:pPr>
        <w:pStyle w:val="ListBullet"/>
        <w:spacing w:after="120" w:line="280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API Key保存在本地.dev.vars中，并由.gitignore排除，不进入Git提交。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i w:val="0"/>
          <w:color w:val="1A2421"/>
          <w:sz w:val="22"/>
        </w:rPr>
        <w:t>最终结论：本版本已经从“固定模板前端原型”升级为可调用真实大模型、接受结构化证据、输出可追溯假设并持久化保存的科研假设生成 Agent，可作为功能分支提交负责人审查。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A8288"/>
        <w:sz w:val="16"/>
      </w:rPr>
      <w:t>科研假设生成 Agent V1.0 ·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87078"/>
        <w:sz w:val="17"/>
      </w:rPr>
      <w:t>HypoLab · 技术交付文档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HypoLab接口说明与测试报告</dc:title>
  <dc:subject>科研假设生成Agent接口与联调测试</dc:subject>
  <dc:creator>黄晴昀</dc:creator>
  <cp:keywords>HypoLab, 科研假设, Qwen, EvidenceItem, D1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