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360"/>
        <w:jc w:val="center"/>
      </w:pPr>
    </w:p>
    <w:p>
      <w:pPr>
        <w:spacing w:before="0" w:after="120"/>
        <w:jc w:val="center"/>
      </w:pPr>
      <w:r>
        <w:rPr>
          <w:rFonts w:ascii="Times New Roman" w:hAnsi="Times New Roman" w:eastAsia="宋体"/>
          <w:b/>
          <w:sz w:val="36"/>
        </w:rPr>
        <w:t>2026 年“挑战杯”揭榜挂帅专项赛</w:t>
      </w:r>
    </w:p>
    <w:p>
      <w:pPr>
        <w:spacing w:before="0" w:after="600"/>
        <w:jc w:val="center"/>
      </w:pPr>
      <w:r>
        <w:rPr>
          <w:rFonts w:ascii="Times New Roman" w:hAnsi="Times New Roman" w:eastAsia="宋体"/>
          <w:b/>
          <w:sz w:val="32"/>
        </w:rPr>
        <w:t>参赛作品技术方案</w:t>
      </w:r>
    </w:p>
    <w:p>
      <w:pPr>
        <w:spacing w:before="0" w:after="360"/>
        <w:jc w:val="center"/>
      </w:pPr>
    </w:p>
    <w:p>
      <w:pPr>
        <w:spacing w:before="0" w:after="0"/>
        <w:jc w:val="center"/>
      </w:pPr>
      <w:r>
        <w:rPr>
          <w:rFonts w:ascii="Times New Roman" w:hAnsi="Times New Roman" w:eastAsia="宋体"/>
          <w:b/>
          <w:sz w:val="44"/>
        </w:rPr>
        <w:t>基于国产开源大模型的 AI Scientist</w:t>
      </w:r>
    </w:p>
    <w:p>
      <w:pPr>
        <w:spacing w:before="0" w:after="200"/>
        <w:jc w:val="center"/>
      </w:pPr>
      <w:r>
        <w:rPr>
          <w:rFonts w:ascii="Times New Roman" w:hAnsi="Times New Roman" w:eastAsia="宋体"/>
          <w:b/>
          <w:sz w:val="44"/>
        </w:rPr>
        <w:t>的研发与应用</w:t>
      </w:r>
    </w:p>
    <w:p>
      <w:pPr>
        <w:spacing w:before="0" w:after="960"/>
        <w:jc w:val="center"/>
      </w:pPr>
      <w:r>
        <w:rPr>
          <w:rFonts w:ascii="Times New Roman" w:hAnsi="Times New Roman" w:eastAsia="宋体"/>
          <w:b w:val="0"/>
          <w:sz w:val="28"/>
        </w:rPr>
        <w:t>题目编号：XH-202619</w:t>
      </w:r>
    </w:p>
    <w:p>
      <w:pPr>
        <w:spacing w:before="0" w:after="480"/>
        <w:jc w:val="center"/>
      </w:pPr>
    </w:p>
    <w:p>
      <w:pPr>
        <w:spacing w:before="0" w:after="360"/>
        <w:jc w:val="center"/>
      </w:pPr>
      <w:r>
        <w:rPr>
          <w:rFonts w:ascii="Times New Roman" w:hAnsi="Times New Roman" w:eastAsia="宋体"/>
          <w:b w:val="0"/>
          <w:sz w:val="32"/>
        </w:rPr>
        <w:t>参赛学校：浙江万里学院</w:t>
      </w:r>
    </w:p>
    <w:p>
      <w:pPr>
        <w:spacing w:before="0" w:after="360"/>
        <w:jc w:val="center"/>
      </w:pPr>
      <w:r>
        <w:rPr>
          <w:rFonts w:ascii="Times New Roman" w:hAnsi="Times New Roman" w:eastAsia="宋体"/>
          <w:b w:val="0"/>
          <w:sz w:val="32"/>
        </w:rPr>
        <w:t>团队负责人：吴浩瑜</w:t>
      </w:r>
    </w:p>
    <w:p>
      <w:pPr>
        <w:spacing w:before="0" w:after="240"/>
        <w:jc w:val="center"/>
      </w:pPr>
      <w:r>
        <w:rPr>
          <w:rFonts w:ascii="Times New Roman" w:hAnsi="Times New Roman" w:eastAsia="宋体"/>
          <w:b w:val="0"/>
          <w:sz w:val="32"/>
        </w:rPr>
        <w:t>提交日期：2026 年 9 月</w:t>
      </w:r>
    </w:p>
    <w:p>
      <w:pPr>
        <w:sectPr>
          <w:footerReference r:id="rId5" w:type="default"/>
          <w:pgSz w:w="11906" w:h="16838"/>
          <w:pgMar w:top="964" w:right="1020" w:bottom="850" w:left="1020" w:header="720" w:footer="720" w:gutter="0"/>
          <w:cols w:space="720" w:num="1"/>
          <w:docGrid w:linePitch="360" w:charSpace="0"/>
        </w:sectPr>
      </w:pPr>
    </w:p>
    <w:p>
      <w:pPr>
        <w:spacing w:before="0" w:after="240"/>
        <w:jc w:val="center"/>
      </w:pPr>
      <w:r>
        <w:rPr>
          <w:rFonts w:ascii="Times New Roman" w:hAnsi="Times New Roman" w:eastAsia="宋体"/>
          <w:b/>
          <w:sz w:val="36"/>
        </w:rPr>
        <w:t>目录</w:t>
      </w:r>
    </w:p>
    <w:p>
      <w:r>
        <w:rPr>
          <w:sz w:val="24"/>
        </w:rPr>
        <w:fldChar w:fldCharType="begin"/>
        <w:instrText xml:space="preserve"> TOC \o "1-2" \h \z \u </w:instrText>
        <w:fldChar w:fldCharType="separate"/>
        <w:t>（在 Word 中按 F9 或“引用→更新目录”生成）</w:t>
        <w:fldChar w:fldCharType="end"/>
      </w:r>
    </w:p>
    <w:p>
      <w:pPr>
        <w:spacing w:before="0" w:after="0"/>
        <w:jc w:val="center"/>
      </w:pPr>
    </w:p>
    <w:p>
      <w:pPr>
        <w:sectPr>
          <w:pgSz w:w="11906" w:h="16838"/>
          <w:pgMar w:top="964" w:right="1020" w:bottom="850" w:left="1020" w:header="720" w:footer="720" w:gutter="0"/>
          <w:cols w:space="720" w:num="1"/>
          <w:docGrid w:linePitch="360" w:charSpace="0"/>
        </w:sectPr>
      </w:pPr>
    </w:p>
    <w:p w14:paraId="0A5DA185">
      <w:pPr>
        <w:pStyle w:val="3"/>
        <w:spacing w:before="360" w:after="20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2"/>
        </w:rPr>
        <w:t>摘要与方案总览</w:t>
      </w:r>
    </w:p>
    <w:p w14:paraId="63AA383B">
      <w:pPr>
        <w:spacing w:line="240" w:lineRule="auto" w:after="120"/>
        <w:ind w:firstLine="480" w:firstLineChars="200"/>
        <w:jc w:val="both"/>
      </w:pPr>
      <w:r>
        <w:rPr>
          <w:rFonts w:ascii="Times New Roman" w:hAnsi="Times New Roman" w:eastAsia="宋体" w:cs="Times New Roman"/>
        </w:rPr>
        <w:t>科研工作中，研究者往往需要在大量论文、实验记录与跨学科方法之间反复检索、比较和推演，才能形成一条既有创新性又能被实验验证的研究假设。通用对话模型可以生成流畅文本，但容易出现事实依据不明、引用失真、推理过程不可追踪、实验方案难以落地等问题。针对上述痛点，本项目提出一套基于千问（Qwen）系列模型的多智能体 AI Scientist 平台，将科研灵感形成过程拆分为问题理解、文献检索、知识发现、假设生成、科学评估、实验设计和思辨辩论七个职责清晰的 Agent，并通过四库 RAG、结构化状态总线和人在回路机制组成“数据/文献输入-证据提取-候选假设-验证方案-研究计划”的闭环。</w:t>
      </w:r>
    </w:p>
    <w:p w14:paraId="59087AD5">
      <w:pPr>
        <w:spacing w:line="240" w:lineRule="auto" w:after="120"/>
        <w:ind w:firstLine="480" w:firstLineChars="200"/>
        <w:jc w:val="both"/>
      </w:pPr>
      <w:r>
        <w:rPr>
          <w:rFonts w:ascii="Times New Roman" w:hAnsi="Times New Roman" w:eastAsia="宋体" w:cs="Times New Roman"/>
        </w:rPr>
        <w:t>系统采用四层架构：Vue 3 前端负责任务创建、流程可视化和人工介入；Spring Boot 业务后端负责统一 API、任务持久化和 SSE 转发；Java + LangChain4j 多智能体服务负责 DAG 编排与 Qwen 调用；Python 数据引擎负责 PDF、表格和时序数据清洗，以及论文库、方法库、数据集库和证据库的构建。最终输出严格映射赛题规定的 10 个字段，并对每条文献保留 DOI、PMID 或 URL 来源标识。</w:t>
      </w:r>
    </w:p>
    <w:p w14:paraId="3B991B65">
      <w:pPr>
        <w:spacing w:line="240" w:lineRule="auto" w:after="120"/>
        <w:ind w:firstLine="480" w:firstLineChars="200"/>
        <w:jc w:val="both"/>
      </w:pPr>
      <w:r>
        <w:rPr>
          <w:rFonts w:ascii="Times New Roman" w:hAnsi="Times New Roman" w:eastAsia="宋体" w:cs="Times New Roman"/>
        </w:rPr>
        <w:t>本项目选择“深度学习 × SSD 可靠性与垃圾回收优化”作为首个验证方向。系统将从真实存储论文和 I/O 数据中识别现有 LSTM 温度预测、文件感知垃圾回收等方法的边界，形成“文件语义 + 时空负载建模 + 不确定性门控”的候选研究假设，并给出基线、指标、数据采集方案和可复现实验步骤。该案例当前处于端到端联调阶段，本稿只引用已经核验的真实论文，不虚构实验结果。</w:t>
      </w:r>
    </w:p>
    <w:p w14:paraId="579F40A9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方案与评分点对应</w:t>
      </w:r>
    </w:p>
    <w:p>
      <w:pPr>
        <w:keepNext/>
        <w:spacing w:before="160" w:after="120" w:line="240" w:lineRule="auto"/>
        <w:jc w:val="center"/>
      </w:pPr>
      <w:r>
        <w:rPr>
          <w:rFonts w:ascii="Times New Roman" w:hAnsi="Times New Roman" w:eastAsia="宋体" w:cs="Times New Roman"/>
          <w:b/>
          <w:color w:val="000000"/>
          <w:sz w:val="21"/>
        </w:rPr>
        <w:t>表 1  方案与赛题评分点对照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609D7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933" w:type="dxa"/>
            <w:shd w:val="clear" w:color="auto" w:fill="315CBE"/>
            <w:vAlign w:val="center"/>
            <w:shd w:val="clear" w:color="auto" w:fill="D9D9D9"/>
          </w:tcPr>
          <w:p w14:paraId="55DF5A35"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评分维度</w:t>
            </w:r>
          </w:p>
        </w:tc>
        <w:tc>
          <w:tcPr>
            <w:tcW w:w="4933" w:type="dxa"/>
            <w:shd w:val="clear" w:color="auto" w:fill="315CBE"/>
            <w:vAlign w:val="center"/>
            <w:shd w:val="clear" w:color="auto" w:fill="D9D9D9"/>
          </w:tcPr>
          <w:p w14:paraId="27EB94BB"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本项目的主要回答</w:t>
            </w:r>
          </w:p>
        </w:tc>
      </w:tr>
      <w:tr w14:paraId="29492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vAlign w:val="center"/>
          </w:tcPr>
          <w:p w14:paraId="454F2B9E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科学价值 40 分</w:t>
            </w:r>
          </w:p>
        </w:tc>
        <w:tc>
          <w:tcPr>
            <w:tcW w:w="4933" w:type="dxa"/>
            <w:vAlign w:val="center"/>
          </w:tcPr>
          <w:p w14:paraId="46D0D2AD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证据约束的 Research Gap 识别、3-5 个候选假设、四维评估、真实引用核验、可执行实验方案</w:t>
            </w:r>
          </w:p>
        </w:tc>
      </w:tr>
      <w:tr w14:paraId="686EA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shd w:val="clear" w:color="auto" w:fill="F3F6FB"/>
            <w:vAlign w:val="center"/>
          </w:tcPr>
          <w:p w14:paraId="18DAB9B5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技术深度 30 分</w:t>
            </w:r>
          </w:p>
        </w:tc>
        <w:tc>
          <w:tcPr>
            <w:tcW w:w="4933" w:type="dxa"/>
            <w:shd w:val="clear" w:color="auto" w:fill="F3F6FB"/>
            <w:vAlign w:val="center"/>
          </w:tcPr>
          <w:p w14:paraId="06F44C30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七 Agent 串并联 DAG、可插拔 Skills、四库混合 RAG、多模态证据适配、人在回路与结构化辩论</w:t>
            </w:r>
          </w:p>
        </w:tc>
      </w:tr>
      <w:tr w14:paraId="4264C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vAlign w:val="center"/>
          </w:tcPr>
          <w:p w14:paraId="02B31CBE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应用潜力 30 分</w:t>
            </w:r>
          </w:p>
        </w:tc>
        <w:tc>
          <w:tcPr>
            <w:tcW w:w="4933" w:type="dxa"/>
            <w:vAlign w:val="center"/>
          </w:tcPr>
          <w:p w14:paraId="5109162E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SSD 场景验证、标准化 10 字段研究计划、Docker 化部署、日志和证据链可追溯、可扩展至其他学科</w:t>
            </w:r>
          </w:p>
        </w:tc>
      </w:tr>
    </w:tbl>
    <w:p w14:paraId="0797B8D8">
      <w:pPr>
        <w:spacing w:line="240" w:lineRule="auto" w:after="120"/>
      </w:pPr>
      <w:r>
        <w:rPr>
          <w:rFonts w:ascii="Times New Roman" w:hAnsi="Times New Roman" w:eastAsia="宋体" w:cs="Times New Roman"/>
        </w:rPr>
        <w:br w:type="page"/>
      </w:r>
    </w:p>
    <w:p w14:paraId="72BCAA4F">
      <w:pPr>
        <w:pStyle w:val="3"/>
        <w:spacing w:before="360" w:after="20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2"/>
        </w:rPr>
        <w:t>一、研究背景、核心问题与目标</w:t>
      </w:r>
    </w:p>
    <w:p w14:paraId="685424DC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1.1 核心问题</w:t>
      </w:r>
    </w:p>
    <w:p w14:paraId="651AD2C8">
      <w:pPr>
        <w:spacing w:line="240" w:lineRule="auto" w:after="120"/>
        <w:ind w:firstLine="480" w:firstLineChars="200"/>
        <w:jc w:val="both"/>
      </w:pPr>
      <w:r>
        <w:rPr>
          <w:rFonts w:ascii="Times New Roman" w:hAnsi="Times New Roman" w:eastAsia="宋体" w:cs="Times New Roman"/>
        </w:rPr>
        <w:t>本项目不把 AI Scientist 定义为“自动写论文工具”，而是定义为“受证据约束的科研假设生成与验证规划系统”。需要解决的核心问题包括：</w:t>
      </w:r>
    </w:p>
    <w:p w14:paraId="775EA60A">
      <w:pPr>
        <w:pStyle w:val="14"/>
        <w:spacing w:line="240" w:lineRule="auto" w:after="60"/>
      </w:pPr>
      <w:r>
        <w:rPr>
          <w:rFonts w:ascii="Times New Roman" w:hAnsi="Times New Roman" w:eastAsia="宋体" w:cs="Times New Roman"/>
        </w:rPr>
        <w:t>如何从论文全文、图表、实验数据和领域规则中提取可追溯的科学事实，避免仅凭摘要或孤立片段下结论；</w:t>
      </w:r>
    </w:p>
    <w:p w14:paraId="32D9C794">
      <w:pPr>
        <w:pStyle w:val="14"/>
        <w:spacing w:line="240" w:lineRule="auto" w:after="60"/>
      </w:pPr>
      <w:r>
        <w:rPr>
          <w:rFonts w:ascii="Times New Roman" w:hAnsi="Times New Roman" w:eastAsia="宋体" w:cs="Times New Roman"/>
        </w:rPr>
        <w:t>如何让大模型在已知事实边界内进行归纳、演绎和跨学科迁移，产出具有创新性、自洽性和可证伪性的候选假设；</w:t>
      </w:r>
    </w:p>
    <w:p w14:paraId="04302D84">
      <w:pPr>
        <w:pStyle w:val="14"/>
        <w:spacing w:line="240" w:lineRule="auto" w:after="60"/>
      </w:pPr>
      <w:r>
        <w:rPr>
          <w:rFonts w:ascii="Times New Roman" w:hAnsi="Times New Roman" w:eastAsia="宋体" w:cs="Times New Roman"/>
        </w:rPr>
        <w:t>如何对候选假设进行科学性评估，尤其是对 DOI、PMID、arXiv ID 和标题进行反向核验，防止虚构引用进入最终报告；</w:t>
      </w:r>
    </w:p>
    <w:p w14:paraId="0F685EE6">
      <w:pPr>
        <w:pStyle w:val="14"/>
        <w:spacing w:line="240" w:lineRule="auto" w:after="60"/>
      </w:pPr>
      <w:r>
        <w:rPr>
          <w:rFonts w:ascii="Times New Roman" w:hAnsi="Times New Roman" w:eastAsia="宋体" w:cs="Times New Roman"/>
        </w:rPr>
        <w:t>如何将“创新想法”进一步转化为包含数据、基线、指标和预期范围的实验方案，使结果能够被团队复现；</w:t>
      </w:r>
    </w:p>
    <w:p w14:paraId="5F39A9E0">
      <w:pPr>
        <w:pStyle w:val="14"/>
        <w:spacing w:line="240" w:lineRule="auto" w:after="60"/>
      </w:pPr>
      <w:r>
        <w:rPr>
          <w:rFonts w:ascii="Times New Roman" w:hAnsi="Times New Roman" w:eastAsia="宋体" w:cs="Times New Roman"/>
        </w:rPr>
        <w:t>如何在自动化与科研责任之间取得平衡，使导师能够在关键节点审阅、修改、退回或恢复流程。</w:t>
      </w:r>
    </w:p>
    <w:p w14:paraId="5DC9698F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1.2 建设目标</w:t>
      </w:r>
    </w:p>
    <w:p w14:paraId="137D32B2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建成一条从科研问题输入到《科学假设与研究计划》输出的多智能体闭环；</w:t>
      </w:r>
    </w:p>
    <w:p w14:paraId="042C4B35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对赛题规定的 10 个字段实现结构化输出和字段级来源追踪；</w:t>
      </w:r>
    </w:p>
    <w:p w14:paraId="1C1B3B94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对至少两篇不同来源文献进行跨文献比较，形成可解释的 Research Gap；</w:t>
      </w:r>
    </w:p>
    <w:p w14:paraId="789986CE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每轮生成 3-5 个候选假设，按创新性、可行性、引用真实性和数据可获得性排序；</w:t>
      </w:r>
    </w:p>
    <w:p w14:paraId="54477639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引用核验失败或暂时无法核验时禁止自动通过，保留人工确认入口；</w:t>
      </w:r>
    </w:p>
    <w:p w14:paraId="282291EA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在 SSD 垃圾回收场景完成一个可运行、可展示、可复现的典型案例。</w:t>
      </w:r>
    </w:p>
    <w:p w14:paraId="6A9B1873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1.3 设计原则</w:t>
      </w:r>
    </w:p>
    <w:p w14:paraId="7361A37B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证据优先：结论必须能回到原始文献或数据；</w:t>
      </w:r>
    </w:p>
    <w:p w14:paraId="74A52BE7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结构化优先：Agent 之间传递 JSON/Java Record，不依赖自然语言猜字段；</w:t>
      </w:r>
    </w:p>
    <w:p w14:paraId="17BBA2DF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人机协同：模型给出候选方案，人类对研究方向和风险保留最终决定权；</w:t>
      </w:r>
    </w:p>
    <w:p w14:paraId="0EFA555A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渐进降级：外部接口不可用时返回“无法核验”，不把网络失败解释成文献不存在；</w:t>
      </w:r>
    </w:p>
    <w:p w14:paraId="5AADBCB0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可复现：固定模型、提示词、数据版本、运行参数和日志，支持 Docker 化部署。</w:t>
      </w:r>
    </w:p>
    <w:p w14:paraId="40A7F3C1">
      <w:pPr>
        <w:spacing w:line="240" w:lineRule="auto" w:after="120"/>
      </w:pPr>
      <w:r>
        <w:rPr>
          <w:rFonts w:ascii="Times New Roman" w:hAnsi="Times New Roman" w:eastAsia="宋体" w:cs="Times New Roman"/>
        </w:rPr>
        <w:br w:type="page"/>
      </w:r>
    </w:p>
    <w:p w14:paraId="2527BBDD">
      <w:pPr>
        <w:pStyle w:val="3"/>
        <w:spacing w:before="360" w:after="20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2"/>
        </w:rPr>
        <w:t>二、总体技术路线</w:t>
      </w:r>
    </w:p>
    <w:p w14:paraId="301361D5">
      <w:pPr>
        <w:spacing w:line="240" w:lineRule="auto" w:after="120"/>
        <w:jc w:val="center"/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5831840" cy="1814195"/>
            <wp:effectExtent l="0" t="0" r="1016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8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178C3">
      <w:pPr>
        <w:spacing w:before="120" w:after="120"/>
        <w:jc w:val="center"/>
      </w:pPr>
      <w:r>
        <w:rPr>
          <w:rFonts w:ascii="Times New Roman" w:hAnsi="Times New Roman" w:eastAsia="宋体" w:cs="Times New Roman"/>
          <w:b/>
          <w:color w:val="000000"/>
          <w:sz w:val="21"/>
        </w:rPr>
        <w:t>图 2-1 总体技术路线</w:t>
      </w:r>
    </w:p>
    <w:p w14:paraId="5F193D3B">
      <w:pPr>
        <w:spacing w:line="240" w:lineRule="auto" w:after="120"/>
        <w:ind w:firstLine="480" w:firstLineChars="200"/>
        <w:jc w:val="both"/>
      </w:pPr>
      <w:r>
        <w:rPr>
          <w:rFonts w:ascii="Times New Roman" w:hAnsi="Times New Roman" w:eastAsia="宋体" w:cs="Times New Roman"/>
        </w:rPr>
        <w:t>系统接收自然语言科研问题，以及可选的 PDF、CSV/JSON、实验记录或图表文件。问题理解 Agent 首先形成领域、关键概念、约束条件和子查询；随后文献检索与知识发现两阶段并行执行（互不依赖、各自自足 RAG），聚合证据后由假设生成 Agent 串行消费 Research Gap 与文献产物，形成候选假设。产物进入人在回路暂停点，由用户查看证据、Research Gap 和候选假设，必要时修改问题边界或排除错误证据。</w:t>
      </w:r>
    </w:p>
    <w:p w14:paraId="30193D59">
      <w:pPr>
        <w:spacing w:line="240" w:lineRule="auto" w:after="120"/>
        <w:ind w:firstLine="480" w:firstLineChars="200"/>
        <w:jc w:val="both"/>
      </w:pPr>
      <w:r>
        <w:rPr>
          <w:rFonts w:ascii="Times New Roman" w:hAnsi="Times New Roman" w:eastAsia="宋体" w:cs="Times New Roman"/>
        </w:rPr>
        <w:t>确认后的候选假设进入质量闸门：评估 Agent 完成多维打分和引用核验；未通过者携带明确原因退回假设生成阶段，通过者交给实验设计 Agent。实验设计 Agent从方法库和数据集库中选择基线、指标、数据划分与风险控制，随后由倡议者和质疑者进行多轮结构化辩论。流程最终输出符合赛题规范的 10 字段研究计划。</w:t>
      </w:r>
    </w:p>
    <w:p w14:paraId="51C35E26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2.1 输入与输出</w:t>
      </w:r>
    </w:p>
    <w:p>
      <w:pPr>
        <w:keepNext/>
        <w:spacing w:before="160" w:after="120" w:line="240" w:lineRule="auto"/>
        <w:jc w:val="center"/>
      </w:pPr>
      <w:r>
        <w:rPr>
          <w:rFonts w:ascii="Times New Roman" w:hAnsi="Times New Roman" w:eastAsia="宋体" w:cs="Times New Roman"/>
          <w:b/>
          <w:color w:val="000000"/>
          <w:sz w:val="21"/>
        </w:rPr>
        <w:t>表 2  系统输入、中间产物与最终输出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25EC9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933" w:type="dxa"/>
            <w:shd w:val="clear" w:color="auto" w:fill="315CBE"/>
            <w:vAlign w:val="center"/>
            <w:shd w:val="clear" w:color="auto" w:fill="D9D9D9"/>
          </w:tcPr>
          <w:p w14:paraId="0C72AEE3"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类别</w:t>
            </w:r>
          </w:p>
        </w:tc>
        <w:tc>
          <w:tcPr>
            <w:tcW w:w="4933" w:type="dxa"/>
            <w:shd w:val="clear" w:color="auto" w:fill="315CBE"/>
            <w:vAlign w:val="center"/>
            <w:shd w:val="clear" w:color="auto" w:fill="D9D9D9"/>
          </w:tcPr>
          <w:p w14:paraId="11078C4A"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内容</w:t>
            </w:r>
          </w:p>
        </w:tc>
      </w:tr>
      <w:tr w14:paraId="1B807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vAlign w:val="center"/>
          </w:tcPr>
          <w:p w14:paraId="220450E1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输入</w:t>
            </w:r>
          </w:p>
        </w:tc>
        <w:tc>
          <w:tcPr>
            <w:tcW w:w="4933" w:type="dxa"/>
            <w:vAlign w:val="center"/>
          </w:tcPr>
          <w:p w14:paraId="02AE09D2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科研问题、领域标签、PDF 文献、CSV/JSON 数据、实验记录、图表/页面图像</w:t>
            </w:r>
          </w:p>
        </w:tc>
      </w:tr>
      <w:tr w14:paraId="4AC84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shd w:val="clear" w:color="auto" w:fill="F3F6FB"/>
            <w:vAlign w:val="center"/>
          </w:tcPr>
          <w:p w14:paraId="28EAB762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中间产物</w:t>
            </w:r>
          </w:p>
        </w:tc>
        <w:tc>
          <w:tcPr>
            <w:tcW w:w="4933" w:type="dxa"/>
            <w:shd w:val="clear" w:color="auto" w:fill="F3F6FB"/>
            <w:vAlign w:val="center"/>
          </w:tcPr>
          <w:p w14:paraId="6EE2A2FA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子查询、证据片段、跨文献差异、Research Gap、候选假设、评分、实验计划、辩论纪要</w:t>
            </w:r>
          </w:p>
        </w:tc>
      </w:tr>
      <w:tr w14:paraId="69971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vAlign w:val="center"/>
          </w:tcPr>
          <w:p w14:paraId="528B0749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最终输出</w:t>
            </w:r>
          </w:p>
        </w:tc>
        <w:tc>
          <w:tcPr>
            <w:tcW w:w="4933" w:type="dxa"/>
            <w:vAlign w:val="center"/>
          </w:tcPr>
          <w:p w14:paraId="1C8EF2F3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Problem Statement、Rationale、Technical Details、Datasets、Paper Title、Paper Abstract、Methods、Experiments、Results、References</w:t>
            </w:r>
          </w:p>
        </w:tc>
      </w:tr>
    </w:tbl>
    <w:p w14:paraId="05F23045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2.2 闭环与退回机制</w:t>
      </w:r>
    </w:p>
    <w:p w14:paraId="6A7C9BA9">
      <w:pPr>
        <w:spacing w:line="240" w:lineRule="auto" w:after="120"/>
        <w:ind w:firstLine="480" w:firstLineChars="200"/>
        <w:jc w:val="both"/>
      </w:pPr>
      <w:r>
        <w:rPr>
          <w:rFonts w:ascii="Times New Roman" w:hAnsi="Times New Roman" w:eastAsia="宋体" w:cs="Times New Roman"/>
        </w:rPr>
        <w:t>流程不是单向文本生成。评估发现引用虚构、证据覆盖不足、总分低于阈值或数据不可获得时，将问题与原因写入状态总线并退回；人在回路也可修改候选假设后恢复。所有退回均保留版本号与原因，便于复盘。</w:t>
      </w:r>
    </w:p>
    <w:p w14:paraId="340A1E61">
      <w:pPr>
        <w:spacing w:line="240" w:lineRule="auto" w:after="120"/>
      </w:pPr>
      <w:r>
        <w:rPr>
          <w:rFonts w:ascii="Times New Roman" w:hAnsi="Times New Roman" w:eastAsia="宋体" w:cs="Times New Roman"/>
        </w:rPr>
        <w:br w:type="page"/>
      </w:r>
    </w:p>
    <w:p w14:paraId="1B1E88CA">
      <w:pPr>
        <w:pStyle w:val="3"/>
        <w:spacing w:before="360" w:after="20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2"/>
        </w:rPr>
        <w:t>三、系统总体架构</w:t>
      </w:r>
    </w:p>
    <w:p w14:paraId="613486FC">
      <w:pPr>
        <w:spacing w:line="240" w:lineRule="auto" w:after="120"/>
        <w:jc w:val="center"/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5831840" cy="3567430"/>
            <wp:effectExtent l="0" t="0" r="1016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56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CE15C8F">
      <w:pPr>
        <w:spacing w:before="120" w:after="120"/>
        <w:jc w:val="center"/>
      </w:pPr>
      <w:r>
        <w:rPr>
          <w:rFonts w:ascii="Times New Roman" w:hAnsi="Times New Roman" w:eastAsia="宋体" w:cs="Times New Roman"/>
          <w:b/>
          <w:color w:val="000000"/>
          <w:sz w:val="21"/>
        </w:rPr>
        <w:t>图 3-1 四层系统架构</w:t>
      </w:r>
    </w:p>
    <w:p w14:paraId="3A4AEC10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3.1 前端交互层</w:t>
      </w:r>
    </w:p>
    <w:p w14:paraId="47F47551">
      <w:pPr>
        <w:spacing w:line="240" w:lineRule="auto" w:after="120"/>
        <w:ind w:firstLine="480" w:firstLineChars="200"/>
        <w:jc w:val="both"/>
      </w:pPr>
      <w:r>
        <w:rPr>
          <w:rFonts w:ascii="Times New Roman" w:hAnsi="Times New Roman" w:eastAsia="宋体" w:cs="Times New Roman"/>
        </w:rPr>
        <w:t>采用 Vue 3、Vite、TypeScript 与 Element Plus。主要页面包括科研任务创建、七 Agent 流水线、知识库浏览、结果报告和历史任务。SSE 事件驱动前端更新 Agent 状态和阶段结果；人在回路按钮用于提交审阅意见、修改参数和恢复管线。前端只连接业务后端，不直接访问 AI 服务，以便统一鉴权、日志与错误处理。</w:t>
      </w:r>
    </w:p>
    <w:p w14:paraId="1F242A71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3.2 业务后端层</w:t>
      </w:r>
    </w:p>
    <w:p w14:paraId="5D78AA8D">
      <w:pPr>
        <w:spacing w:line="240" w:lineRule="auto" w:after="120"/>
        <w:ind w:firstLine="480" w:firstLineChars="200"/>
        <w:jc w:val="both"/>
      </w:pPr>
      <w:r>
        <w:rPr>
          <w:rFonts w:ascii="Times New Roman" w:hAnsi="Times New Roman" w:eastAsia="宋体" w:cs="Times New Roman"/>
        </w:rPr>
        <w:t>采用 Spring Boot 3.x。对外提供任务提交、文件上传、任务查询、流式进度、人工介入和报告获取接口；对内转发 AI 服务调用。任务、文件元数据、状态快照、最终报告与百炼调用日志由 MySQL 持久化。</w:t>
      </w:r>
    </w:p>
    <w:p w14:paraId="539314E1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3.3 多智能体服务层</w:t>
      </w:r>
    </w:p>
    <w:p w14:paraId="772ED6A3">
      <w:pPr>
        <w:spacing w:line="240" w:lineRule="auto" w:after="120"/>
        <w:ind w:firstLine="480" w:firstLineChars="200"/>
        <w:jc w:val="both"/>
      </w:pPr>
      <w:r>
        <w:rPr>
          <w:rFonts w:ascii="Times New Roman" w:hAnsi="Times New Roman" w:eastAsia="宋体" w:cs="Times New Roman"/>
        </w:rPr>
        <w:t>采用 Java、Spring Boot、LangChain4j 与千问模型。</w:t>
      </w:r>
      <w:r>
        <w:rPr>
          <w:rFonts w:ascii="Times New Roman" w:hAnsi="Times New Roman" w:eastAsia="宋体" w:cs="Times New Roman"/>
          <w:color w:val="315CBE"/>
        </w:rPr>
        <w:t>PipelineEngine</w:t>
      </w:r>
      <w:r>
        <w:rPr>
          <w:rFonts w:ascii="Times New Roman" w:hAnsi="Times New Roman" w:eastAsia="宋体" w:cs="Times New Roman"/>
        </w:rPr>
        <w:t xml:space="preserve"> 按 </w:t>
      </w:r>
      <w:r>
        <w:rPr>
          <w:rFonts w:ascii="Times New Roman" w:hAnsi="Times New Roman" w:eastAsia="宋体" w:cs="Times New Roman"/>
          <w:color w:val="315CBE"/>
        </w:rPr>
        <w:t>AgentStage</w:t>
      </w:r>
      <w:r>
        <w:rPr>
          <w:rFonts w:ascii="Times New Roman" w:hAnsi="Times New Roman" w:eastAsia="宋体" w:cs="Times New Roman"/>
        </w:rPr>
        <w:t xml:space="preserve"> 自动收集 Agent，实现串行阶段、并行阶段、异常传播和最终报告组装。各 Agent 通过独立 System Prompt、工具集合和结构化 Schema 形成可替换模块。</w:t>
      </w:r>
    </w:p>
    <w:p w14:paraId="18BE55D4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3.4 数据引擎层</w:t>
      </w:r>
    </w:p>
    <w:p w14:paraId="31307D51">
      <w:pPr>
        <w:spacing w:line="240" w:lineRule="auto" w:after="120"/>
        <w:ind w:firstLine="480" w:firstLineChars="200"/>
        <w:jc w:val="both"/>
      </w:pPr>
      <w:r>
        <w:rPr>
          <w:rFonts w:ascii="Times New Roman" w:hAnsi="Times New Roman" w:eastAsia="宋体" w:cs="Times New Roman"/>
        </w:rPr>
        <w:t>Python 数据管线负责 PDF 解析、文本清洗、语义分块、元数据补全与四库灌库。开发环境使用 Chroma，资源允许时切换 Milvus；关系数据使用 MySQL。当前四库灌库脚本已经形成，真实检索服务和主仓库 Agent 字段仍需在联调阶段统一。</w:t>
      </w:r>
    </w:p>
    <w:p w14:paraId="41C35484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3.5 通信约定</w:t>
      </w:r>
    </w:p>
    <w:p w14:paraId="7915EDC4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前端 → 后端：HTTP/REST + SSE；</w:t>
      </w:r>
    </w:p>
    <w:p w14:paraId="5A28A18A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后端 → AI 服务：内部 REST + SSE；</w:t>
      </w:r>
    </w:p>
    <w:p w14:paraId="721842F9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AI 服务 → 向量库：Java/Python SDK；</w:t>
      </w:r>
    </w:p>
    <w:p w14:paraId="789FF21F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数据引擎 → 四库：JSONL 数据契约；</w:t>
      </w:r>
    </w:p>
    <w:p w14:paraId="7650BED5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关键事件：</w:t>
      </w:r>
      <w:r>
        <w:rPr>
          <w:rFonts w:ascii="Times New Roman" w:hAnsi="Times New Roman" w:eastAsia="宋体" w:cs="Times New Roman"/>
          <w:color w:val="315CBE"/>
        </w:rPr>
        <w:t>agent.start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  <w:color w:val="315CBE"/>
        </w:rPr>
        <w:t>agent.result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  <w:color w:val="315CBE"/>
        </w:rPr>
        <w:t>pipeline.pause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  <w:color w:val="315CBE"/>
        </w:rPr>
        <w:t>pipeline.resume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  <w:color w:val="315CBE"/>
        </w:rPr>
        <w:t>pipeline.done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  <w:color w:val="315CBE"/>
        </w:rPr>
        <w:t>pipeline.error</w:t>
      </w:r>
      <w:r>
        <w:rPr>
          <w:rFonts w:ascii="Times New Roman" w:hAnsi="Times New Roman" w:eastAsia="宋体" w:cs="Times New Roman"/>
        </w:rPr>
        <w:t>。</w:t>
      </w:r>
    </w:p>
    <w:p w14:paraId="1F18330C">
      <w:pPr>
        <w:spacing w:line="240" w:lineRule="auto" w:after="120"/>
      </w:pPr>
      <w:r>
        <w:rPr>
          <w:rFonts w:ascii="Times New Roman" w:hAnsi="Times New Roman" w:eastAsia="宋体" w:cs="Times New Roman"/>
        </w:rPr>
        <w:br w:type="page"/>
      </w:r>
    </w:p>
    <w:p w14:paraId="2C31202C">
      <w:pPr>
        <w:pStyle w:val="3"/>
        <w:spacing w:before="360" w:after="20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2"/>
        </w:rPr>
        <w:t>四、七 Agent DAG 与状态总线</w:t>
      </w:r>
    </w:p>
    <w:p w14:paraId="2B4E36FE">
      <w:pPr>
        <w:spacing w:line="240" w:lineRule="auto" w:after="120"/>
        <w:jc w:val="center"/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5831840" cy="3239770"/>
            <wp:effectExtent l="0" t="0" r="1016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259FF">
      <w:pPr>
        <w:spacing w:before="120" w:after="120"/>
        <w:jc w:val="center"/>
      </w:pPr>
      <w:r>
        <w:rPr>
          <w:rFonts w:ascii="Times New Roman" w:hAnsi="Times New Roman" w:eastAsia="宋体" w:cs="Times New Roman"/>
          <w:b/>
          <w:color w:val="000000"/>
          <w:sz w:val="21"/>
        </w:rPr>
        <w:t>图 4-1 七 Agent 流水线</w:t>
      </w:r>
    </w:p>
    <w:p>
      <w:pPr>
        <w:keepNext/>
        <w:spacing w:before="160" w:after="120" w:line="240" w:lineRule="auto"/>
        <w:jc w:val="center"/>
      </w:pPr>
      <w:r>
        <w:rPr>
          <w:rFonts w:ascii="Times New Roman" w:hAnsi="Times New Roman" w:eastAsia="宋体" w:cs="Times New Roman"/>
          <w:b/>
          <w:color w:val="000000"/>
          <w:sz w:val="21"/>
        </w:rPr>
        <w:t>表 3  七 Agent 阶段职责与主要产物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 w14:paraId="3D97E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66" w:type="dxa"/>
            <w:shd w:val="clear" w:color="auto" w:fill="315CBE"/>
            <w:vAlign w:val="center"/>
            <w:shd w:val="clear" w:color="auto" w:fill="D9D9D9"/>
          </w:tcPr>
          <w:p w14:paraId="2DBA5C84"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阶段</w:t>
            </w:r>
          </w:p>
        </w:tc>
        <w:tc>
          <w:tcPr>
            <w:tcW w:w="2466" w:type="dxa"/>
            <w:shd w:val="clear" w:color="auto" w:fill="315CBE"/>
            <w:vAlign w:val="center"/>
            <w:shd w:val="clear" w:color="auto" w:fill="D9D9D9"/>
          </w:tcPr>
          <w:p w14:paraId="01EE60CE"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Agent</w:t>
            </w:r>
          </w:p>
        </w:tc>
        <w:tc>
          <w:tcPr>
            <w:tcW w:w="2466" w:type="dxa"/>
            <w:shd w:val="clear" w:color="auto" w:fill="315CBE"/>
            <w:vAlign w:val="center"/>
            <w:shd w:val="clear" w:color="auto" w:fill="D9D9D9"/>
          </w:tcPr>
          <w:p w14:paraId="32BD7DC4"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核心职责</w:t>
            </w:r>
          </w:p>
        </w:tc>
        <w:tc>
          <w:tcPr>
            <w:tcW w:w="2466" w:type="dxa"/>
            <w:shd w:val="clear" w:color="auto" w:fill="315CBE"/>
            <w:vAlign w:val="center"/>
            <w:shd w:val="clear" w:color="auto" w:fill="D9D9D9"/>
          </w:tcPr>
          <w:p w14:paraId="4E9E7928"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主要产物</w:t>
            </w:r>
          </w:p>
        </w:tc>
      </w:tr>
      <w:tr w14:paraId="312DD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vAlign w:val="center"/>
          </w:tcPr>
          <w:p w14:paraId="6A347FCF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①</w:t>
            </w:r>
          </w:p>
        </w:tc>
        <w:tc>
          <w:tcPr>
            <w:tcW w:w="2466" w:type="dxa"/>
            <w:vAlign w:val="center"/>
          </w:tcPr>
          <w:p w14:paraId="63AB47EF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问题理解</w:t>
            </w:r>
          </w:p>
        </w:tc>
        <w:tc>
          <w:tcPr>
            <w:tcW w:w="2466" w:type="dxa"/>
            <w:vAlign w:val="center"/>
          </w:tcPr>
          <w:p w14:paraId="75F1FACD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识别领域、概念、约束、变量，拆解子查询</w:t>
            </w:r>
          </w:p>
        </w:tc>
        <w:tc>
          <w:tcPr>
            <w:tcW w:w="2466" w:type="dxa"/>
            <w:vAlign w:val="center"/>
          </w:tcPr>
          <w:p w14:paraId="57A6171C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color w:val="315CBE"/>
                <w:sz w:val="21"/>
              </w:rPr>
              <w:t>QuestionQuery</w:t>
            </w:r>
          </w:p>
        </w:tc>
      </w:tr>
      <w:tr w14:paraId="17066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shd w:val="clear" w:color="auto" w:fill="F3F6FB"/>
            <w:vAlign w:val="center"/>
          </w:tcPr>
          <w:p w14:paraId="4F4891CC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②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3FF94BFB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文献检索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7FD5783C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检索论文库和证据库，返回 Top-K 与引用链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2E947B79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color w:val="315CBE"/>
                <w:sz w:val="21"/>
              </w:rPr>
              <w:t>LiteratureResult</w:t>
            </w:r>
          </w:p>
        </w:tc>
      </w:tr>
      <w:tr w14:paraId="1C4EF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vAlign w:val="center"/>
          </w:tcPr>
          <w:p w14:paraId="6939682D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③</w:t>
            </w:r>
          </w:p>
        </w:tc>
        <w:tc>
          <w:tcPr>
            <w:tcW w:w="2466" w:type="dxa"/>
            <w:vAlign w:val="center"/>
          </w:tcPr>
          <w:p w14:paraId="4EB00ABC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知识发现</w:t>
            </w:r>
          </w:p>
        </w:tc>
        <w:tc>
          <w:tcPr>
            <w:tcW w:w="2466" w:type="dxa"/>
            <w:vAlign w:val="center"/>
          </w:tcPr>
          <w:p w14:paraId="289BB707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逐篇证据提取、跨论文比较、Gap 排序</w:t>
            </w:r>
          </w:p>
        </w:tc>
        <w:tc>
          <w:tcPr>
            <w:tcW w:w="2466" w:type="dxa"/>
            <w:vAlign w:val="center"/>
          </w:tcPr>
          <w:p w14:paraId="0B0AF28C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color w:val="315CBE"/>
                <w:sz w:val="21"/>
              </w:rPr>
              <w:t>DiscoveryResult</w:t>
            </w:r>
          </w:p>
        </w:tc>
      </w:tr>
      <w:tr w14:paraId="4033F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66" w:type="dxa"/>
            <w:shd w:val="clear" w:color="auto" w:fill="F3F6FB"/>
            <w:vAlign w:val="center"/>
          </w:tcPr>
          <w:p w14:paraId="53821D99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④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7BF4F8F0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假设生成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7A7F0601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归纳、演绎与技术迁移，形成 3-5 个假设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29114558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color w:val="315CBE"/>
                <w:sz w:val="21"/>
              </w:rPr>
              <w:t>HypothesisResult</w:t>
            </w:r>
          </w:p>
        </w:tc>
      </w:tr>
      <w:tr w14:paraId="4218A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vAlign w:val="center"/>
          </w:tcPr>
          <w:p w14:paraId="5BE91969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⑤</w:t>
            </w:r>
          </w:p>
        </w:tc>
        <w:tc>
          <w:tcPr>
            <w:tcW w:w="2466" w:type="dxa"/>
            <w:vAlign w:val="center"/>
          </w:tcPr>
          <w:p w14:paraId="6D8C8D7A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科学评估</w:t>
            </w:r>
          </w:p>
        </w:tc>
        <w:tc>
          <w:tcPr>
            <w:tcW w:w="2466" w:type="dxa"/>
            <w:vAlign w:val="center"/>
          </w:tcPr>
          <w:p w14:paraId="155BF584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四维评分、数据可得性检查和引用核验</w:t>
            </w:r>
          </w:p>
        </w:tc>
        <w:tc>
          <w:tcPr>
            <w:tcW w:w="2466" w:type="dxa"/>
            <w:vAlign w:val="center"/>
          </w:tcPr>
          <w:p w14:paraId="771A4A2E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color w:val="315CBE"/>
                <w:sz w:val="21"/>
              </w:rPr>
              <w:t>EvaluationResult</w:t>
            </w:r>
          </w:p>
        </w:tc>
      </w:tr>
      <w:tr w14:paraId="01C32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shd w:val="clear" w:color="auto" w:fill="F3F6FB"/>
            <w:vAlign w:val="center"/>
          </w:tcPr>
          <w:p w14:paraId="282889C3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⑥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6B06BAA3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实验设计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12E1CD49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基线、指标、数据划分、风险与结果范围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1E26A4A4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color w:val="315CBE"/>
                <w:sz w:val="21"/>
              </w:rPr>
              <w:t>ExperimentResult</w:t>
            </w:r>
          </w:p>
        </w:tc>
      </w:tr>
      <w:tr w14:paraId="396E7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vAlign w:val="center"/>
          </w:tcPr>
          <w:p w14:paraId="467057ED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⑦</w:t>
            </w:r>
          </w:p>
        </w:tc>
        <w:tc>
          <w:tcPr>
            <w:tcW w:w="2466" w:type="dxa"/>
            <w:vAlign w:val="center"/>
          </w:tcPr>
          <w:p w14:paraId="2F995EEC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思辨辩论</w:t>
            </w:r>
          </w:p>
        </w:tc>
        <w:tc>
          <w:tcPr>
            <w:tcW w:w="2466" w:type="dxa"/>
            <w:vAlign w:val="center"/>
          </w:tcPr>
          <w:p w14:paraId="44CEF239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倡议者/质疑者多轮审查，收敛最终方案</w:t>
            </w:r>
          </w:p>
        </w:tc>
        <w:tc>
          <w:tcPr>
            <w:tcW w:w="2466" w:type="dxa"/>
            <w:vAlign w:val="center"/>
          </w:tcPr>
          <w:p w14:paraId="561DC004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color w:val="315CBE"/>
                <w:sz w:val="21"/>
              </w:rPr>
              <w:t>DebateResult</w:t>
            </w:r>
          </w:p>
        </w:tc>
      </w:tr>
    </w:tbl>
    <w:p w14:paraId="03CDC09C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4.1 串并联编排</w:t>
      </w:r>
    </w:p>
    <w:p w14:paraId="570BE62D">
      <w:pPr>
        <w:spacing w:line="240" w:lineRule="auto" w:after="120"/>
        <w:ind w:firstLine="480" w:firstLineChars="200"/>
        <w:jc w:val="both"/>
      </w:pPr>
      <w:r>
        <w:rPr>
          <w:rFonts w:ascii="Times New Roman" w:hAnsi="Times New Roman" w:eastAsia="宋体" w:cs="Times New Roman"/>
        </w:rPr>
        <w:t>问题理解必须先完成；文献检索与知识发现两阶段并行执行（互不依赖、各自自足 RAG），知识发现最终必须基于至少两篇不同来源证据；两者产物聚合后，由假设生成 Agent 串行消费 Research Gap 与文献产物，保证假设推导建立在已核验证据之上。聚合结果进入暂停点待人工确认，再串行执行评估、实验设计与辩论。这种“先并行取证、后串行推理”的编排兼顾运行效率与证据一致性。</w:t>
      </w:r>
    </w:p>
    <w:p w14:paraId="4C161A1C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4.2 状态总线</w:t>
      </w:r>
    </w:p>
    <w:p w14:paraId="1FDD43CC">
      <w:pPr>
        <w:spacing w:line="240" w:lineRule="auto" w:after="120"/>
        <w:ind w:firstLine="480" w:firstLineChars="200"/>
        <w:jc w:val="both"/>
      </w:pPr>
      <w:r>
        <w:rPr>
          <w:rFonts w:ascii="Times New Roman" w:hAnsi="Times New Roman" w:eastAsia="宋体" w:cs="Times New Roman"/>
          <w:color w:val="315CBE"/>
        </w:rPr>
        <w:t>PipelineContext</w:t>
      </w:r>
      <w:r>
        <w:rPr>
          <w:rFonts w:ascii="Times New Roman" w:hAnsi="Times New Roman" w:eastAsia="宋体" w:cs="Times New Roman"/>
        </w:rPr>
        <w:t xml:space="preserve"> 保存任务问题、七阶段结构化产物和最终报告。每个 Agent 只读取所需字段并写入自己的输出字段，避免模块间直接耦合。</w:t>
      </w:r>
      <w:r>
        <w:rPr>
          <w:rFonts w:ascii="Times New Roman" w:hAnsi="Times New Roman" w:eastAsia="宋体" w:cs="Times New Roman"/>
          <w:color w:val="315CBE"/>
        </w:rPr>
        <w:t>taskId/runId/hypothesisId/evaluationId</w:t>
      </w:r>
      <w:r>
        <w:rPr>
          <w:rFonts w:ascii="Times New Roman" w:hAnsi="Times New Roman" w:eastAsia="宋体" w:cs="Times New Roman"/>
        </w:rPr>
        <w:t xml:space="preserve"> 用于跨服务追踪，任何阶段异常都能定位到具体任务与候选假设。</w:t>
      </w:r>
    </w:p>
    <w:p w14:paraId="5EFC6A6A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4.3 人在回路</w:t>
      </w:r>
    </w:p>
    <w:p w14:paraId="5BCC215E">
      <w:pPr>
        <w:spacing w:line="240" w:lineRule="auto" w:after="120"/>
        <w:ind w:firstLine="480" w:firstLineChars="200"/>
        <w:jc w:val="both"/>
      </w:pPr>
      <w:r>
        <w:rPr>
          <w:rFonts w:ascii="Times New Roman" w:hAnsi="Times New Roman" w:eastAsia="宋体" w:cs="Times New Roman"/>
        </w:rPr>
        <w:t>暂停点位于候选假设聚合之后、自动评估之前。界面展示证据来源、Gap、候选假设与推理依据，用户可以：通过并继续、修改后继续、退回重做、剔除不可信证据。最终版本将把暂停 State 持久化，支持刷新页面后继续。</w:t>
      </w:r>
    </w:p>
    <w:p w14:paraId="66DC10E7">
      <w:pPr>
        <w:spacing w:line="240" w:lineRule="auto" w:after="120"/>
      </w:pPr>
      <w:r>
        <w:rPr>
          <w:rFonts w:ascii="Times New Roman" w:hAnsi="Times New Roman" w:eastAsia="宋体" w:cs="Times New Roman"/>
        </w:rPr>
        <w:br w:type="page"/>
      </w:r>
    </w:p>
    <w:p w14:paraId="1C27783A">
      <w:pPr>
        <w:pStyle w:val="3"/>
        <w:spacing w:before="360" w:after="20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2"/>
        </w:rPr>
        <w:t>五、Agent Skills 与上下文工程</w:t>
      </w:r>
    </w:p>
    <w:p w14:paraId="30AA5131">
      <w:pPr>
        <w:spacing w:line="240" w:lineRule="auto" w:after="120"/>
        <w:ind w:firstLine="480" w:firstLineChars="200"/>
        <w:jc w:val="both"/>
      </w:pPr>
      <w:r>
        <w:rPr>
          <w:rFonts w:ascii="Times New Roman" w:hAnsi="Times New Roman" w:eastAsia="宋体" w:cs="Times New Roman"/>
        </w:rPr>
        <w:t>系统将复杂能力拆分为可复用 Skills，减少单个 Prompt 过长和职责混乱的问题。</w:t>
      </w:r>
    </w:p>
    <w:p>
      <w:pPr>
        <w:keepNext/>
        <w:spacing w:before="160" w:after="120" w:line="240" w:lineRule="auto"/>
        <w:jc w:val="center"/>
      </w:pPr>
      <w:r>
        <w:rPr>
          <w:rFonts w:ascii="Times New Roman" w:hAnsi="Times New Roman" w:eastAsia="宋体" w:cs="Times New Roman"/>
          <w:b/>
          <w:color w:val="000000"/>
          <w:sz w:val="21"/>
        </w:rPr>
        <w:t>表 4  Agent Skills 清单与使用映射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2368"/>
        <w:gridCol w:w="2981"/>
        <w:gridCol w:w="2295"/>
      </w:tblGrid>
      <w:tr w14:paraId="1DF28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66" w:type="dxa"/>
            <w:shd w:val="clear" w:color="auto" w:fill="315CBE"/>
            <w:vAlign w:val="center"/>
            <w:shd w:val="clear" w:color="auto" w:fill="D9D9D9"/>
          </w:tcPr>
          <w:p w14:paraId="3572C7C4"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Skill</w:t>
            </w:r>
          </w:p>
        </w:tc>
        <w:tc>
          <w:tcPr>
            <w:tcW w:w="2466" w:type="dxa"/>
            <w:shd w:val="clear" w:color="auto" w:fill="315CBE"/>
            <w:vAlign w:val="center"/>
            <w:shd w:val="clear" w:color="auto" w:fill="D9D9D9"/>
          </w:tcPr>
          <w:p w14:paraId="54A442C8"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输入</w:t>
            </w:r>
          </w:p>
        </w:tc>
        <w:tc>
          <w:tcPr>
            <w:tcW w:w="2466" w:type="dxa"/>
            <w:shd w:val="clear" w:color="auto" w:fill="315CBE"/>
            <w:vAlign w:val="center"/>
            <w:shd w:val="clear" w:color="auto" w:fill="D9D9D9"/>
          </w:tcPr>
          <w:p w14:paraId="0F1A795C"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输出</w:t>
            </w:r>
          </w:p>
        </w:tc>
        <w:tc>
          <w:tcPr>
            <w:tcW w:w="2466" w:type="dxa"/>
            <w:shd w:val="clear" w:color="auto" w:fill="315CBE"/>
            <w:vAlign w:val="center"/>
            <w:shd w:val="clear" w:color="auto" w:fill="D9D9D9"/>
          </w:tcPr>
          <w:p w14:paraId="10C6562B"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使用 Agent</w:t>
            </w:r>
          </w:p>
        </w:tc>
      </w:tr>
      <w:tr w14:paraId="25528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vAlign w:val="center"/>
          </w:tcPr>
          <w:p w14:paraId="3067F1C5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QueryDecompositionSkill</w:t>
            </w:r>
          </w:p>
        </w:tc>
        <w:tc>
          <w:tcPr>
            <w:tcW w:w="2466" w:type="dxa"/>
            <w:vAlign w:val="center"/>
          </w:tcPr>
          <w:p w14:paraId="4A4D32F6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科研问题</w:t>
            </w:r>
          </w:p>
        </w:tc>
        <w:tc>
          <w:tcPr>
            <w:tcW w:w="2466" w:type="dxa"/>
            <w:vAlign w:val="center"/>
          </w:tcPr>
          <w:p w14:paraId="1308E47A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子查询与约束</w:t>
            </w:r>
          </w:p>
        </w:tc>
        <w:tc>
          <w:tcPr>
            <w:tcW w:w="2466" w:type="dxa"/>
            <w:vAlign w:val="center"/>
          </w:tcPr>
          <w:p w14:paraId="07A1CC0A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问题理解</w:t>
            </w:r>
          </w:p>
        </w:tc>
      </w:tr>
      <w:tr w14:paraId="234F2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shd w:val="clear" w:color="auto" w:fill="F3F6FB"/>
            <w:vAlign w:val="center"/>
          </w:tcPr>
          <w:p w14:paraId="455060D5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HybridSearchSkill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654ED29B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query、知识库、Top-K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22C37FB6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带来源的证据片段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71DE1987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文献检索/知识发现</w:t>
            </w:r>
          </w:p>
        </w:tc>
      </w:tr>
      <w:tr w14:paraId="1A102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vAlign w:val="center"/>
          </w:tcPr>
          <w:p w14:paraId="59884BFC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EvidenceExtractionSkill</w:t>
            </w:r>
          </w:p>
        </w:tc>
        <w:tc>
          <w:tcPr>
            <w:tcW w:w="2466" w:type="dxa"/>
            <w:vAlign w:val="center"/>
          </w:tcPr>
          <w:p w14:paraId="22F6E831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论文片段</w:t>
            </w:r>
          </w:p>
        </w:tc>
        <w:tc>
          <w:tcPr>
            <w:tcW w:w="2466" w:type="dxa"/>
            <w:vAlign w:val="center"/>
          </w:tcPr>
          <w:p w14:paraId="00272A0B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事实、限制、方法、来源 ID</w:t>
            </w:r>
          </w:p>
        </w:tc>
        <w:tc>
          <w:tcPr>
            <w:tcW w:w="2466" w:type="dxa"/>
            <w:vAlign w:val="center"/>
          </w:tcPr>
          <w:p w14:paraId="68746187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知识发现</w:t>
            </w:r>
          </w:p>
        </w:tc>
      </w:tr>
      <w:tr w14:paraId="108FD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shd w:val="clear" w:color="auto" w:fill="F3F6FB"/>
            <w:vAlign w:val="center"/>
          </w:tcPr>
          <w:p w14:paraId="5631EF64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CrossPaperComparisonSkill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4ADB19AF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多篇证据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0E8971C3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共识、冲突、空白、迁移机会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7AF46694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知识发现</w:t>
            </w:r>
          </w:p>
        </w:tc>
      </w:tr>
      <w:tr w14:paraId="665FC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vAlign w:val="center"/>
          </w:tcPr>
          <w:p w14:paraId="08E1CDA8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HypothesisDraftSkill</w:t>
            </w:r>
          </w:p>
        </w:tc>
        <w:tc>
          <w:tcPr>
            <w:tcW w:w="2466" w:type="dxa"/>
            <w:vAlign w:val="center"/>
          </w:tcPr>
          <w:p w14:paraId="47011651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Gap、事实、方法</w:t>
            </w:r>
          </w:p>
        </w:tc>
        <w:tc>
          <w:tcPr>
            <w:tcW w:w="2466" w:type="dxa"/>
            <w:vAlign w:val="center"/>
          </w:tcPr>
          <w:p w14:paraId="50C43F6F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候选假设与可证伪条件</w:t>
            </w:r>
          </w:p>
        </w:tc>
        <w:tc>
          <w:tcPr>
            <w:tcW w:w="2466" w:type="dxa"/>
            <w:vAlign w:val="center"/>
          </w:tcPr>
          <w:p w14:paraId="48EB8700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假设生成</w:t>
            </w:r>
          </w:p>
        </w:tc>
      </w:tr>
      <w:tr w14:paraId="47C61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shd w:val="clear" w:color="auto" w:fill="F3F6FB"/>
            <w:vAlign w:val="center"/>
          </w:tcPr>
          <w:p w14:paraId="145E0D13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CitationVerificationSkill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049168D0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DOI/PMID/arXiv/标题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3671DF9D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VERIFIED/NOT_FOUND/UNVERIFIABLE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5320C357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评估</w:t>
            </w:r>
          </w:p>
        </w:tc>
      </w:tr>
      <w:tr w14:paraId="6DCB6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vAlign w:val="center"/>
          </w:tcPr>
          <w:p w14:paraId="2A44C433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DatasetSearchSkill</w:t>
            </w:r>
          </w:p>
        </w:tc>
        <w:tc>
          <w:tcPr>
            <w:tcW w:w="2466" w:type="dxa"/>
            <w:vAlign w:val="center"/>
          </w:tcPr>
          <w:p w14:paraId="71BBD6DD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领域与任务</w:t>
            </w:r>
          </w:p>
        </w:tc>
        <w:tc>
          <w:tcPr>
            <w:tcW w:w="2466" w:type="dxa"/>
            <w:vAlign w:val="center"/>
          </w:tcPr>
          <w:p w14:paraId="69ABB0E6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数据集元信息</w:t>
            </w:r>
          </w:p>
        </w:tc>
        <w:tc>
          <w:tcPr>
            <w:tcW w:w="2466" w:type="dxa"/>
            <w:vAlign w:val="center"/>
          </w:tcPr>
          <w:p w14:paraId="7AF754E6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评估/实验设计</w:t>
            </w:r>
          </w:p>
        </w:tc>
      </w:tr>
      <w:tr w14:paraId="72CCF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shd w:val="clear" w:color="auto" w:fill="F3F6FB"/>
            <w:vAlign w:val="center"/>
          </w:tcPr>
          <w:p w14:paraId="2CAFA92E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ExperimentPlanningSkill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05258193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最优假设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738F74F6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Baselines、Metrics、步骤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3DCC40EF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实验设计</w:t>
            </w:r>
          </w:p>
        </w:tc>
      </w:tr>
    </w:tbl>
    <w:p w14:paraId="0253A2EE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5.1 上下文压缩</w:t>
      </w:r>
    </w:p>
    <w:p w14:paraId="6B0F64AE">
      <w:pPr>
        <w:spacing w:line="240" w:lineRule="auto" w:after="120"/>
        <w:ind w:firstLine="480" w:firstLineChars="200"/>
        <w:jc w:val="both"/>
      </w:pPr>
      <w:r>
        <w:rPr>
          <w:rFonts w:ascii="Times New Roman" w:hAnsi="Times New Roman" w:eastAsia="宋体" w:cs="Times New Roman"/>
        </w:rPr>
        <w:t>系统不把整篇论文直接堆入上下文。数据引擎按 512 token、64 token 重叠进行分块，并保留标题、章节、作者、年份和来源 ID。检索后先去重和重排，再由知识发现 Agent 提取结构化证据。后续 Agent 主要消费事实、Gap 和来源 ID，原文片段按需回查。</w:t>
      </w:r>
    </w:p>
    <w:p w14:paraId="421D7EC4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5.2 结构化输出约束</w:t>
      </w:r>
    </w:p>
    <w:p w14:paraId="6050E175">
      <w:pPr>
        <w:spacing w:line="240" w:lineRule="auto" w:after="120"/>
        <w:ind w:firstLine="480" w:firstLineChars="200"/>
        <w:jc w:val="both"/>
      </w:pPr>
      <w:r>
        <w:rPr>
          <w:rFonts w:ascii="Times New Roman" w:hAnsi="Times New Roman" w:eastAsia="宋体" w:cs="Times New Roman"/>
        </w:rPr>
        <w:t>每一阶段都定义 JSON Schema 或 Java Record。模型输出无法解析、字段缺失、引用未出现在输入证据中或 Gap 未覆盖至少两个来源时，阶段直接失败并返回明确错误，而不是生成一份形式完整但无法追溯的报告。</w:t>
      </w:r>
    </w:p>
    <w:p w14:paraId="57A3D925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5.3 模型分级</w:t>
      </w:r>
    </w:p>
    <w:p w14:paraId="1BB036AA">
      <w:pPr>
        <w:spacing w:line="240" w:lineRule="auto" w:after="120"/>
        <w:ind w:firstLine="480" w:firstLineChars="200"/>
        <w:jc w:val="both"/>
      </w:pPr>
      <w:r>
        <w:rPr>
          <w:rFonts w:ascii="Times New Roman" w:hAnsi="Times New Roman" w:eastAsia="宋体" w:cs="Times New Roman"/>
        </w:rPr>
        <w:t>复杂的跨文献比较、假设生成和辩论使用较强 Qwen 模型；格式化、查询改写和摘要等轻任务使用较低成本模型。模型名、温度、最大 token、超时与重试均配置化，最终材料附百炼调用凭证和日志截图。</w:t>
      </w:r>
    </w:p>
    <w:p w14:paraId="4AA053B4">
      <w:pPr>
        <w:spacing w:line="240" w:lineRule="auto" w:after="120"/>
      </w:pPr>
      <w:r>
        <w:rPr>
          <w:rFonts w:ascii="Times New Roman" w:hAnsi="Times New Roman" w:eastAsia="宋体" w:cs="Times New Roman"/>
        </w:rPr>
        <w:br w:type="page"/>
      </w:r>
    </w:p>
    <w:p w14:paraId="3FD72A2C">
      <w:pPr>
        <w:pStyle w:val="3"/>
        <w:spacing w:before="360" w:after="20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2"/>
        </w:rPr>
        <w:t>六、四库 RAG 与证据链</w:t>
      </w:r>
    </w:p>
    <w:p w14:paraId="346DB785">
      <w:pPr>
        <w:spacing w:line="240" w:lineRule="auto" w:after="120"/>
        <w:jc w:val="center"/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5831840" cy="3293110"/>
            <wp:effectExtent l="0" t="0" r="1016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9B81">
      <w:pPr>
        <w:spacing w:before="120" w:after="120"/>
        <w:jc w:val="center"/>
      </w:pPr>
      <w:r>
        <w:rPr>
          <w:rFonts w:ascii="Times New Roman" w:hAnsi="Times New Roman" w:eastAsia="宋体" w:cs="Times New Roman"/>
          <w:b/>
          <w:color w:val="000000"/>
          <w:sz w:val="21"/>
        </w:rPr>
        <w:t>图 6-1 四库 RAG 与证据核验</w:t>
      </w:r>
    </w:p>
    <w:p>
      <w:pPr>
        <w:keepNext/>
        <w:spacing w:before="160" w:after="120" w:line="240" w:lineRule="auto"/>
        <w:jc w:val="center"/>
      </w:pPr>
      <w:r>
        <w:rPr>
          <w:rFonts w:ascii="Times New Roman" w:hAnsi="Times New Roman" w:eastAsia="宋体" w:cs="Times New Roman"/>
          <w:b/>
          <w:color w:val="000000"/>
          <w:sz w:val="21"/>
        </w:rPr>
        <w:t>表 5  四库 RAG 知识库与证据链设计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 w14:paraId="7C1FF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66" w:type="dxa"/>
            <w:shd w:val="clear" w:color="auto" w:fill="315CBE"/>
            <w:vAlign w:val="center"/>
            <w:shd w:val="clear" w:color="auto" w:fill="D9D9D9"/>
          </w:tcPr>
          <w:p w14:paraId="063E7B32"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知识库</w:t>
            </w:r>
          </w:p>
        </w:tc>
        <w:tc>
          <w:tcPr>
            <w:tcW w:w="2466" w:type="dxa"/>
            <w:shd w:val="clear" w:color="auto" w:fill="315CBE"/>
            <w:vAlign w:val="center"/>
            <w:shd w:val="clear" w:color="auto" w:fill="D9D9D9"/>
          </w:tcPr>
          <w:p w14:paraId="374D673B"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核心内容</w:t>
            </w:r>
          </w:p>
        </w:tc>
        <w:tc>
          <w:tcPr>
            <w:tcW w:w="2466" w:type="dxa"/>
            <w:shd w:val="clear" w:color="auto" w:fill="315CBE"/>
            <w:vAlign w:val="center"/>
            <w:shd w:val="clear" w:color="auto" w:fill="D9D9D9"/>
          </w:tcPr>
          <w:p w14:paraId="1E431BCE"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必须携带的来源字段</w:t>
            </w:r>
          </w:p>
        </w:tc>
        <w:tc>
          <w:tcPr>
            <w:tcW w:w="2466" w:type="dxa"/>
            <w:shd w:val="clear" w:color="auto" w:fill="315CBE"/>
            <w:vAlign w:val="center"/>
            <w:shd w:val="clear" w:color="auto" w:fill="D9D9D9"/>
          </w:tcPr>
          <w:p w14:paraId="716D444F"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主要消费者</w:t>
            </w:r>
          </w:p>
        </w:tc>
      </w:tr>
      <w:tr w14:paraId="3E64C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vAlign w:val="center"/>
          </w:tcPr>
          <w:p w14:paraId="74AAED3B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论文库 </w:t>
            </w:r>
            <w:r>
              <w:rPr>
                <w:rFonts w:ascii="Times New Roman" w:hAnsi="Times New Roman" w:eastAsia="宋体" w:cs="Times New Roman"/>
                <w:color w:val="315CBE"/>
                <w:sz w:val="21"/>
              </w:rPr>
              <w:t>papers</w:t>
            </w:r>
          </w:p>
        </w:tc>
        <w:tc>
          <w:tcPr>
            <w:tcW w:w="2466" w:type="dxa"/>
            <w:vAlign w:val="center"/>
          </w:tcPr>
          <w:p w14:paraId="33CF9EC6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标题、摘要、章节、作者、年份</w:t>
            </w:r>
          </w:p>
        </w:tc>
        <w:tc>
          <w:tcPr>
            <w:tcW w:w="2466" w:type="dxa"/>
            <w:vAlign w:val="center"/>
          </w:tcPr>
          <w:p w14:paraId="2E1AEAB5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DOI/PMID/URL 至少一个</w:t>
            </w:r>
          </w:p>
        </w:tc>
        <w:tc>
          <w:tcPr>
            <w:tcW w:w="2466" w:type="dxa"/>
            <w:vAlign w:val="center"/>
          </w:tcPr>
          <w:p w14:paraId="2F032B02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检索、知识发现、假设生成、评估</w:t>
            </w:r>
          </w:p>
        </w:tc>
      </w:tr>
      <w:tr w14:paraId="6D9E8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shd w:val="clear" w:color="auto" w:fill="F3F6FB"/>
            <w:vAlign w:val="center"/>
          </w:tcPr>
          <w:p w14:paraId="58BF56AE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方法库 </w:t>
            </w:r>
            <w:r>
              <w:rPr>
                <w:rFonts w:ascii="Times New Roman" w:hAnsi="Times New Roman" w:eastAsia="宋体" w:cs="Times New Roman"/>
                <w:color w:val="315CBE"/>
                <w:sz w:val="21"/>
              </w:rPr>
              <w:t>methods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4D64AA91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方法、适用场景、步骤、指标、局限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586B63BA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source_doi/pmid/url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37B43652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知识发现、假设生成、实验设计</w:t>
            </w:r>
          </w:p>
        </w:tc>
      </w:tr>
      <w:tr w14:paraId="4A9D0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vAlign w:val="center"/>
          </w:tcPr>
          <w:p w14:paraId="10E2D5E9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数据集库 </w:t>
            </w:r>
            <w:r>
              <w:rPr>
                <w:rFonts w:ascii="Times New Roman" w:hAnsi="Times New Roman" w:eastAsia="宋体" w:cs="Times New Roman"/>
                <w:color w:val="315CBE"/>
                <w:sz w:val="21"/>
              </w:rPr>
              <w:t>datasets</w:t>
            </w:r>
          </w:p>
        </w:tc>
        <w:tc>
          <w:tcPr>
            <w:tcW w:w="2466" w:type="dxa"/>
            <w:vAlign w:val="center"/>
          </w:tcPr>
          <w:p w14:paraId="011AE744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名称、特征、规模、标注、许可</w:t>
            </w:r>
          </w:p>
        </w:tc>
        <w:tc>
          <w:tcPr>
            <w:tcW w:w="2466" w:type="dxa"/>
            <w:vAlign w:val="center"/>
          </w:tcPr>
          <w:p w14:paraId="0E4444C0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source_url</w:t>
            </w:r>
          </w:p>
        </w:tc>
        <w:tc>
          <w:tcPr>
            <w:tcW w:w="2466" w:type="dxa"/>
            <w:vAlign w:val="center"/>
          </w:tcPr>
          <w:p w14:paraId="4235BCC3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评估、实验设计</w:t>
            </w:r>
          </w:p>
        </w:tc>
      </w:tr>
      <w:tr w14:paraId="062AB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shd w:val="clear" w:color="auto" w:fill="F3F6FB"/>
            <w:vAlign w:val="center"/>
          </w:tcPr>
          <w:p w14:paraId="715848E3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证据库 </w:t>
            </w:r>
            <w:r>
              <w:rPr>
                <w:rFonts w:ascii="Times New Roman" w:hAnsi="Times New Roman" w:eastAsia="宋体" w:cs="Times New Roman"/>
                <w:color w:val="315CBE"/>
                <w:sz w:val="21"/>
              </w:rPr>
              <w:t>evidence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297BF14D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Subject-Predicate-Object、置信度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207963CA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source_doi/pmid/url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3745683A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检索、假设生成、评估</w:t>
            </w:r>
          </w:p>
        </w:tc>
      </w:tr>
    </w:tbl>
    <w:p w14:paraId="0E285445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6.1 数据处理</w:t>
      </w:r>
    </w:p>
    <w:p w14:paraId="0F9D7F6D">
      <w:pPr>
        <w:spacing w:line="240" w:lineRule="auto" w:after="120"/>
        <w:ind w:firstLine="480" w:firstLineChars="200"/>
        <w:jc w:val="both"/>
      </w:pPr>
      <w:r>
        <w:rPr>
          <w:rFonts w:ascii="Times New Roman" w:hAnsi="Times New Roman" w:eastAsia="宋体" w:cs="Times New Roman"/>
        </w:rPr>
        <w:t xml:space="preserve">PDF 首先提取文字层和版面元素，无法直接解析的页面保留图像证据；CSV/JSON 统一字段与单位。数据清洗后按 JSONL 写出，使用 </w:t>
      </w:r>
      <w:r>
        <w:rPr>
          <w:rFonts w:ascii="Times New Roman" w:hAnsi="Times New Roman" w:eastAsia="宋体" w:cs="Times New Roman"/>
          <w:color w:val="315CBE"/>
        </w:rPr>
        <w:t>text-embedding-v3</w:t>
      </w:r>
      <w:r>
        <w:rPr>
          <w:rFonts w:ascii="Times New Roman" w:hAnsi="Times New Roman" w:eastAsia="宋体" w:cs="Times New Roman"/>
        </w:rPr>
        <w:t xml:space="preserve"> 生成向量。每条记录保存 </w:t>
      </w:r>
      <w:r>
        <w:rPr>
          <w:rFonts w:ascii="Times New Roman" w:hAnsi="Times New Roman" w:eastAsia="宋体" w:cs="Times New Roman"/>
          <w:color w:val="315CBE"/>
        </w:rPr>
        <w:t>source_id</w:t>
      </w:r>
      <w:r>
        <w:rPr>
          <w:rFonts w:ascii="Times New Roman" w:hAnsi="Times New Roman" w:eastAsia="宋体" w:cs="Times New Roman"/>
        </w:rPr>
        <w:t>、原始文本与专有元数据，支持从答案回溯到原文。</w:t>
      </w:r>
    </w:p>
    <w:p w14:paraId="6819962E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6.2 混合检索</w:t>
      </w:r>
    </w:p>
    <w:p w14:paraId="55F5F7DC">
      <w:pPr>
        <w:spacing w:line="240" w:lineRule="auto" w:after="120"/>
        <w:ind w:firstLine="480" w:firstLineChars="200"/>
        <w:jc w:val="both"/>
      </w:pPr>
      <w:r>
        <w:rPr>
          <w:rFonts w:ascii="Times New Roman" w:hAnsi="Times New Roman" w:eastAsia="宋体" w:cs="Times New Roman"/>
        </w:rPr>
        <w:t>向量检索负责语义召回，BM25 负责专业术语和编号精确匹配，两路结果通过 RRF 或加权融合重排。最终结果不仅返回相似度，还返回库名、来源 ID、标题和片段位置。检索侧尚在主仓库中集成，最终稿只能在接口与真实 Chroma/Milvus 联调通过后标记为“已完成”。</w:t>
      </w:r>
    </w:p>
    <w:p w14:paraId="51BB02A7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6.3 引用核验</w:t>
      </w:r>
    </w:p>
    <w:p w14:paraId="16D62AF2">
      <w:pPr>
        <w:spacing w:line="240" w:lineRule="auto" w:after="120"/>
        <w:ind w:firstLine="480" w:firstLineChars="200"/>
        <w:jc w:val="both"/>
      </w:pPr>
      <w:r>
        <w:rPr>
          <w:rFonts w:ascii="Times New Roman" w:hAnsi="Times New Roman" w:eastAsia="宋体" w:cs="Times New Roman"/>
        </w:rPr>
        <w:t xml:space="preserve">评估 Agent 依次尝试 DOI、arXiv、PMID 和本地论文库。网络错误返回 </w:t>
      </w:r>
      <w:r>
        <w:rPr>
          <w:rFonts w:ascii="Times New Roman" w:hAnsi="Times New Roman" w:eastAsia="宋体" w:cs="Times New Roman"/>
          <w:color w:val="315CBE"/>
        </w:rPr>
        <w:t>UNVERIFIABLE</w:t>
      </w:r>
      <w:r>
        <w:rPr>
          <w:rFonts w:ascii="Times New Roman" w:hAnsi="Times New Roman" w:eastAsia="宋体" w:cs="Times New Roman"/>
        </w:rPr>
        <w:t xml:space="preserve">，数据库确认不存在返回 </w:t>
      </w:r>
      <w:r>
        <w:rPr>
          <w:rFonts w:ascii="Times New Roman" w:hAnsi="Times New Roman" w:eastAsia="宋体" w:cs="Times New Roman"/>
          <w:color w:val="315CBE"/>
        </w:rPr>
        <w:t>NOT_FOUND</w:t>
      </w:r>
      <w:r>
        <w:rPr>
          <w:rFonts w:ascii="Times New Roman" w:hAnsi="Times New Roman" w:eastAsia="宋体" w:cs="Times New Roman"/>
        </w:rPr>
        <w:t xml:space="preserve">，标题冲突返回 </w:t>
      </w:r>
      <w:r>
        <w:rPr>
          <w:rFonts w:ascii="Times New Roman" w:hAnsi="Times New Roman" w:eastAsia="宋体" w:cs="Times New Roman"/>
          <w:color w:val="315CBE"/>
        </w:rPr>
        <w:t>SUSPICIOUS</w:t>
      </w:r>
      <w:r>
        <w:rPr>
          <w:rFonts w:ascii="Times New Roman" w:hAnsi="Times New Roman" w:eastAsia="宋体" w:cs="Times New Roman"/>
        </w:rPr>
        <w:t xml:space="preserve">，只有来源与标题一致时返回 </w:t>
      </w:r>
      <w:r>
        <w:rPr>
          <w:rFonts w:ascii="Times New Roman" w:hAnsi="Times New Roman" w:eastAsia="宋体" w:cs="Times New Roman"/>
          <w:color w:val="315CBE"/>
        </w:rPr>
        <w:t>VERIFIED</w:t>
      </w:r>
      <w:r>
        <w:rPr>
          <w:rFonts w:ascii="Times New Roman" w:hAnsi="Times New Roman" w:eastAsia="宋体" w:cs="Times New Roman"/>
        </w:rPr>
        <w:t>。任何虚构或无法核验的引用都不能自动进入通过状态。</w:t>
      </w:r>
    </w:p>
    <w:p w14:paraId="331B4664">
      <w:pPr>
        <w:spacing w:line="240" w:lineRule="auto" w:after="120"/>
      </w:pPr>
      <w:r>
        <w:rPr>
          <w:rFonts w:ascii="Times New Roman" w:hAnsi="Times New Roman" w:eastAsia="宋体" w:cs="Times New Roman"/>
        </w:rPr>
        <w:br w:type="page"/>
      </w:r>
    </w:p>
    <w:p w14:paraId="7DCA2BFA">
      <w:pPr>
        <w:pStyle w:val="3"/>
        <w:spacing w:before="360" w:after="20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2"/>
        </w:rPr>
        <w:t>七、多模态科学数据处理</w:t>
      </w:r>
    </w:p>
    <w:p w14:paraId="24837D6B">
      <w:pPr>
        <w:spacing w:line="240" w:lineRule="auto" w:after="120"/>
        <w:ind w:firstLine="480" w:firstLineChars="200"/>
        <w:jc w:val="both"/>
      </w:pPr>
      <w:r>
        <w:rPr>
          <w:rFonts w:ascii="Times New Roman" w:hAnsi="Times New Roman" w:eastAsia="宋体" w:cs="Times New Roman"/>
        </w:rPr>
        <w:t>赛题将“多模态大模型对科学模态数据的处理成效”单列为 15 分。本项目所说的多模态不是简单上传图片，而是把不同模态统一到同一证据对象中。</w:t>
      </w:r>
    </w:p>
    <w:p w14:paraId="1CCC2EB6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7.1 支持的模态</w:t>
      </w:r>
    </w:p>
    <w:p w14:paraId="66E783DA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学术 PDF：正文、标题、表格、公式、图注和参考文献；</w:t>
      </w:r>
    </w:p>
    <w:p w14:paraId="12CE4BA7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图表图像：性能曲线、架构图、热力图、实验截图；</w:t>
      </w:r>
    </w:p>
    <w:p w14:paraId="67D7B6AF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结构化数据：CSV/JSON 时序记录、I/O trace、指标表；</w:t>
      </w:r>
    </w:p>
    <w:p w14:paraId="612861B5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文本知识：方法说明、数据集卡片、事实三元组。</w:t>
      </w:r>
    </w:p>
    <w:p w14:paraId="13641ABA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7.2 统一 EvidenceItem</w:t>
      </w:r>
    </w:p>
    <w:p w14:paraId="1017FDA8">
      <w:pPr>
        <w:spacing w:line="240" w:lineRule="auto" w:after="120"/>
        <w:ind w:firstLine="480" w:firstLineChars="200"/>
        <w:jc w:val="both"/>
      </w:pPr>
      <w:r>
        <w:rPr>
          <w:rFonts w:ascii="Times New Roman" w:hAnsi="Times New Roman" w:eastAsia="宋体" w:cs="Times New Roman"/>
        </w:rPr>
        <w:t xml:space="preserve">每条证据包含 </w:t>
      </w:r>
      <w:r>
        <w:rPr>
          <w:rFonts w:ascii="Times New Roman" w:hAnsi="Times New Roman" w:eastAsia="宋体" w:cs="Times New Roman"/>
          <w:color w:val="315CBE"/>
        </w:rPr>
        <w:t>evidenceId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  <w:color w:val="315CBE"/>
        </w:rPr>
        <w:t>modality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  <w:color w:val="315CBE"/>
        </w:rPr>
        <w:t>content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  <w:color w:val="315CBE"/>
        </w:rPr>
        <w:t>sourceId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  <w:color w:val="315CBE"/>
        </w:rPr>
        <w:t>location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  <w:color w:val="315CBE"/>
        </w:rPr>
        <w:t>metadata</w:t>
      </w:r>
      <w:r>
        <w:rPr>
          <w:rFonts w:ascii="Times New Roman" w:hAnsi="Times New Roman" w:eastAsia="宋体" w:cs="Times New Roman"/>
        </w:rPr>
        <w:t xml:space="preserve"> 和 </w:t>
      </w:r>
      <w:r>
        <w:rPr>
          <w:rFonts w:ascii="Times New Roman" w:hAnsi="Times New Roman" w:eastAsia="宋体" w:cs="Times New Roman"/>
          <w:color w:val="315CBE"/>
        </w:rPr>
        <w:t>confidence</w:t>
      </w:r>
      <w:r>
        <w:rPr>
          <w:rFonts w:ascii="Times New Roman" w:hAnsi="Times New Roman" w:eastAsia="宋体" w:cs="Times New Roman"/>
        </w:rPr>
        <w:t xml:space="preserve">。文本可直接分块；表格保留行列名和单位；曲线图通过视觉模型/OCR 提取坐标轴、趋势和图注，同时保存原图位置。Agent 的结论引用 </w:t>
      </w:r>
      <w:r>
        <w:rPr>
          <w:rFonts w:ascii="Times New Roman" w:hAnsi="Times New Roman" w:eastAsia="宋体" w:cs="Times New Roman"/>
          <w:color w:val="315CBE"/>
        </w:rPr>
        <w:t>evidenceId</w:t>
      </w:r>
      <w:r>
        <w:rPr>
          <w:rFonts w:ascii="Times New Roman" w:hAnsi="Times New Roman" w:eastAsia="宋体" w:cs="Times New Roman"/>
        </w:rPr>
        <w:t>，前端可展示原始页面或数据行。</w:t>
      </w:r>
    </w:p>
    <w:p w14:paraId="57468A2E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7.3 最小可交付路径</w:t>
      </w:r>
    </w:p>
    <w:p w14:paraId="43FDD872">
      <w:pPr>
        <w:spacing w:line="240" w:lineRule="auto" w:after="120"/>
        <w:ind w:firstLine="480" w:firstLineChars="200"/>
        <w:jc w:val="both"/>
      </w:pPr>
      <w:r>
        <w:rPr>
          <w:rFonts w:ascii="Times New Roman" w:hAnsi="Times New Roman" w:eastAsia="宋体" w:cs="Times New Roman"/>
        </w:rPr>
        <w:t>三天冲刺阶段优先保证“PDF 文字 + CSV 时序 + 页面图表截图”三类输入。视觉模型只用于文字层无法覆盖的图表和页面，不让图片识别替代来源核验。最终稿需补一组真实对照：只用 PDF 文本与加入图表/时序后，关键事实提取完整率和研究计划质量的变化。</w:t>
      </w:r>
    </w:p>
    <w:p w14:paraId="537E4D39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7.4 风险控制</w:t>
      </w:r>
    </w:p>
    <w:p w14:paraId="1E9F8CD0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图像解析结果必须保留页码、图号和原图；</w:t>
      </w:r>
    </w:p>
    <w:p w14:paraId="7B288D7B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OCR 低置信度字段进入人工确认，不直接写入事实库；</w:t>
      </w:r>
    </w:p>
    <w:p w14:paraId="3121381D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不从曲线图估算无法读出的精确数值；</w:t>
      </w:r>
    </w:p>
    <w:p w14:paraId="33E0A6FB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含个人或敏感数据的文件默认不外发，提供本地模型适配接口。</w:t>
      </w:r>
    </w:p>
    <w:p w14:paraId="7FA43C88">
      <w:pPr>
        <w:spacing w:line="240" w:lineRule="auto" w:after="120"/>
      </w:pPr>
      <w:r>
        <w:rPr>
          <w:rFonts w:ascii="Times New Roman" w:hAnsi="Times New Roman" w:eastAsia="宋体" w:cs="Times New Roman"/>
        </w:rPr>
        <w:br w:type="page"/>
      </w:r>
    </w:p>
    <w:p w14:paraId="321D5856">
      <w:pPr>
        <w:pStyle w:val="3"/>
        <w:spacing w:before="360" w:after="20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2"/>
        </w:rPr>
        <w:t>八、关键质量机制与核心代码</w:t>
      </w:r>
    </w:p>
    <w:p w14:paraId="26BDBCDE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8.1 DAG 调度核心（已进入主仓库）</w:t>
      </w:r>
    </w:p>
    <w:p>
      <w:pPr>
        <w:spacing w:before="16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1"/>
        </w:rPr>
        <w:t>清单 1  DAG 编排核心（PipelineEngine#executePipeline 语义简化）</w:t>
      </w:r>
    </w:p>
    <w:p>
      <w:pPr>
        <w:spacing w:line="240" w:lineRule="auto" w:before="0" w:after="0"/>
        <w:ind w:left="240"/>
        <w:jc w:val="left"/>
        <w:shd w:val="clear" w:color="auto" w:fill="F2F2F2"/>
      </w:pPr>
      <w:r>
        <w:rPr>
          <w:rFonts w:ascii="Consolas" w:hAnsi="Consolas" w:eastAsia="宋体" w:cs="Consolas"/>
          <w:sz w:val="20"/>
        </w:rPr>
        <w:t>PipelineContext ctx = new PipelineContext();</w:t>
      </w:r>
    </w:p>
    <w:p>
      <w:pPr>
        <w:spacing w:line="240" w:lineRule="auto" w:before="0" w:after="0"/>
        <w:ind w:left="240"/>
        <w:jc w:val="left"/>
        <w:shd w:val="clear" w:color="auto" w:fill="F2F2F2"/>
      </w:pPr>
      <w:r>
        <w:rPr>
          <w:rFonts w:ascii="Consolas" w:hAnsi="Consolas" w:eastAsia="宋体" w:cs="Consolas"/>
          <w:sz w:val="20"/>
        </w:rPr>
        <w:t>ctx.setQuestion(question.trim());</w:t>
      </w:r>
    </w:p>
    <w:p>
      <w:pPr>
        <w:spacing w:line="240" w:lineRule="auto" w:before="0" w:after="0"/>
        <w:ind w:left="240"/>
        <w:jc w:val="left"/>
        <w:shd w:val="clear" w:color="auto" w:fill="F2F2F2"/>
      </w:pPr>
      <w:r>
        <w:rPr>
          <w:rFonts w:ascii="Consolas" w:hAnsi="Consolas" w:eastAsia="宋体" w:cs="Consolas"/>
          <w:sz w:val="20"/>
        </w:rPr>
        <w:t>executeStage(UNDERSTANDING, ctx);                      // ① 问题理解</w:t>
      </w:r>
    </w:p>
    <w:p>
      <w:pPr>
        <w:spacing w:line="240" w:lineRule="auto" w:before="0" w:after="0"/>
        <w:ind w:left="240"/>
        <w:jc w:val="left"/>
        <w:shd w:val="clear" w:color="auto" w:fill="F2F2F2"/>
      </w:pPr>
      <w:r>
        <w:rPr>
          <w:rFonts w:ascii="Consolas" w:hAnsi="Consolas" w:eastAsia="宋体" w:cs="Consolas"/>
          <w:sz w:val="20"/>
        </w:rPr>
        <w:t>executeParallel(List.of(LITERATURE, KNOWLEDGE), ctx);  // ②③ 文献检索 ∥ 知识发现</w:t>
      </w:r>
    </w:p>
    <w:p>
      <w:pPr>
        <w:spacing w:line="240" w:lineRule="auto" w:before="0" w:after="0"/>
        <w:ind w:left="240"/>
        <w:jc w:val="left"/>
        <w:shd w:val="clear" w:color="auto" w:fill="F2F2F2"/>
      </w:pPr>
      <w:r>
        <w:rPr>
          <w:rFonts w:ascii="Consolas" w:hAnsi="Consolas" w:eastAsia="宋体" w:cs="Consolas"/>
          <w:sz w:val="20"/>
        </w:rPr>
        <w:t>executeStage(HYPOTHESIS, ctx);                         // ④ 假设生成（串行消费 Research Gap）</w:t>
      </w:r>
    </w:p>
    <w:p>
      <w:pPr>
        <w:spacing w:line="240" w:lineRule="auto" w:before="0" w:after="0"/>
        <w:ind w:left="240"/>
        <w:jc w:val="left"/>
        <w:shd w:val="clear" w:color="auto" w:fill="F2F2F2"/>
      </w:pPr>
      <w:r>
        <w:rPr>
          <w:rFonts w:ascii="Consolas" w:hAnsi="Consolas" w:eastAsia="宋体" w:cs="Consolas"/>
          <w:sz w:val="20"/>
        </w:rPr>
        <w:t>pauseForHuman(ctx);                                    // 【人在回路暂停点】</w:t>
      </w:r>
    </w:p>
    <w:p>
      <w:pPr>
        <w:spacing w:line="240" w:lineRule="auto" w:before="0" w:after="0"/>
        <w:ind w:left="240"/>
        <w:jc w:val="left"/>
        <w:shd w:val="clear" w:color="auto" w:fill="F2F2F2"/>
      </w:pPr>
      <w:r>
        <w:rPr>
          <w:rFonts w:ascii="Consolas" w:hAnsi="Consolas" w:eastAsia="宋体" w:cs="Consolas"/>
          <w:sz w:val="20"/>
        </w:rPr>
        <w:t>executeStage(EVALUATION, ctx);                         // ⑤ 科学假设评估</w:t>
      </w:r>
    </w:p>
    <w:p>
      <w:pPr>
        <w:spacing w:line="240" w:lineRule="auto" w:before="0" w:after="0"/>
        <w:ind w:left="240"/>
        <w:jc w:val="left"/>
        <w:shd w:val="clear" w:color="auto" w:fill="F2F2F2"/>
      </w:pPr>
      <w:r>
        <w:rPr>
          <w:rFonts w:ascii="Consolas" w:hAnsi="Consolas" w:eastAsia="宋体" w:cs="Consolas"/>
          <w:sz w:val="20"/>
        </w:rPr>
        <w:t>executeStage(EXPERIMENT, ctx);                         // ⑥ 实验设计</w:t>
      </w:r>
    </w:p>
    <w:p>
      <w:pPr>
        <w:spacing w:line="240" w:lineRule="auto" w:before="0" w:after="0"/>
        <w:ind w:left="240"/>
        <w:jc w:val="left"/>
        <w:shd w:val="clear" w:color="auto" w:fill="F2F2F2"/>
      </w:pPr>
      <w:r>
        <w:rPr>
          <w:rFonts w:ascii="Consolas" w:hAnsi="Consolas" w:eastAsia="宋体" w:cs="Consolas"/>
          <w:sz w:val="20"/>
        </w:rPr>
        <w:t>executeStage(DEBATE, ctx);                             // ⑦ 思辨辩论</w:t>
      </w:r>
    </w:p>
    <w:p>
      <w:pPr>
        <w:spacing w:line="240" w:lineRule="auto" w:before="0" w:after="0"/>
        <w:ind w:left="240"/>
        <w:jc w:val="left"/>
        <w:shd w:val="clear" w:color="auto" w:fill="F2F2F2"/>
      </w:pPr>
      <w:r>
        <w:rPr>
          <w:rFonts w:ascii="Consolas" w:hAnsi="Consolas" w:eastAsia="宋体" w:cs="Consolas"/>
          <w:sz w:val="20"/>
        </w:rPr>
        <w:t>ctx.setFinalReport(ResearchPlanAssembler.assemble(ctx));</w:t>
      </w:r>
    </w:p>
    <w:p w14:paraId="71EBF1B7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8.2 引用真实性质量闸门（来源白名单校验已合入主仓库）</w:t>
      </w:r>
    </w:p>
    <w:p>
      <w:pPr>
        <w:spacing w:before="16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1"/>
        </w:rPr>
        <w:t>清单 2  引用来源白名单核验（成员模块实现，已合入主仓库）</w:t>
      </w:r>
    </w:p>
    <w:p>
      <w:pPr>
        <w:spacing w:line="240" w:lineRule="auto" w:before="0" w:after="0"/>
        <w:ind w:left="240"/>
        <w:jc w:val="left"/>
        <w:shd w:val="clear" w:color="auto" w:fill="F2F2F2"/>
      </w:pPr>
      <w:r>
        <w:rPr>
          <w:rFonts w:ascii="Consolas" w:hAnsi="Consolas" w:eastAsia="宋体" w:cs="Consolas"/>
          <w:sz w:val="20"/>
        </w:rPr>
        <w:t>LookupResult result = lookup(reference);</w:t>
      </w:r>
    </w:p>
    <w:p>
      <w:pPr>
        <w:spacing w:line="240" w:lineRule="auto" w:before="0" w:after="0"/>
        <w:ind w:left="240"/>
        <w:jc w:val="left"/>
        <w:shd w:val="clear" w:color="auto" w:fill="F2F2F2"/>
      </w:pPr>
      <w:r>
        <w:rPr>
          <w:rFonts w:ascii="Consolas" w:hAnsi="Consolas" w:eastAsia="宋体" w:cs="Consolas"/>
          <w:sz w:val="20"/>
        </w:rPr>
        <w:t>if (result.isNetworkError()) return UNVERIFIABLE;</w:t>
      </w:r>
    </w:p>
    <w:p>
      <w:pPr>
        <w:spacing w:line="240" w:lineRule="auto" w:before="0" w:after="0"/>
        <w:ind w:left="240"/>
        <w:jc w:val="left"/>
        <w:shd w:val="clear" w:color="auto" w:fill="F2F2F2"/>
      </w:pPr>
      <w:r>
        <w:rPr>
          <w:rFonts w:ascii="Consolas" w:hAnsi="Consolas" w:eastAsia="宋体" w:cs="Consolas"/>
          <w:sz w:val="20"/>
        </w:rPr>
        <w:t>if (result.isAbsent()) return NOT_FOUND;</w:t>
      </w:r>
    </w:p>
    <w:p>
      <w:pPr>
        <w:spacing w:line="240" w:lineRule="auto" w:before="0" w:after="0"/>
        <w:ind w:left="240"/>
        <w:jc w:val="left"/>
        <w:shd w:val="clear" w:color="auto" w:fill="F2F2F2"/>
      </w:pPr>
      <w:r>
        <w:rPr>
          <w:rFonts w:ascii="Consolas" w:hAnsi="Consolas" w:eastAsia="宋体" w:cs="Consolas"/>
          <w:sz w:val="20"/>
        </w:rPr>
        <w:t>if (!titleMatches(result.title(), reference.title())) return SUSPICIOUS;</w:t>
      </w:r>
    </w:p>
    <w:p>
      <w:pPr>
        <w:spacing w:line="240" w:lineRule="auto" w:before="0" w:after="0"/>
        <w:ind w:left="240"/>
        <w:jc w:val="left"/>
        <w:shd w:val="clear" w:color="auto" w:fill="F2F2F2"/>
      </w:pPr>
      <w:r>
        <w:rPr>
          <w:rFonts w:ascii="Consolas" w:hAnsi="Consolas" w:eastAsia="宋体" w:cs="Consolas"/>
          <w:sz w:val="20"/>
        </w:rPr>
        <w:t>return VERIFIED;</w:t>
      </w:r>
    </w:p>
    <w:p w14:paraId="14782578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8.3 10 字段组装</w:t>
      </w:r>
    </w:p>
    <w:p w14:paraId="2B3F8B46">
      <w:pPr>
        <w:spacing w:line="240" w:lineRule="auto" w:after="120"/>
        <w:ind w:firstLine="480" w:firstLineChars="200"/>
        <w:jc w:val="both"/>
      </w:pPr>
      <w:r>
        <w:rPr>
          <w:rFonts w:ascii="Times New Roman" w:hAnsi="Times New Roman" w:eastAsia="宋体" w:cs="Times New Roman"/>
          <w:color w:val="315CBE"/>
        </w:rPr>
        <w:t>ResearchPlanAssembler</w:t>
      </w:r>
      <w:r>
        <w:rPr>
          <w:rFonts w:ascii="Times New Roman" w:hAnsi="Times New Roman" w:eastAsia="宋体" w:cs="Times New Roman"/>
        </w:rPr>
        <w:t xml:space="preserve"> 将知识发现、假设、评估与实验设计结果映射到统一 </w:t>
      </w:r>
      <w:r>
        <w:rPr>
          <w:rFonts w:ascii="Times New Roman" w:hAnsi="Times New Roman" w:eastAsia="宋体" w:cs="Times New Roman"/>
          <w:color w:val="315CBE"/>
        </w:rPr>
        <w:t>ResearchPlan</w:t>
      </w:r>
      <w:r>
        <w:rPr>
          <w:rFonts w:ascii="Times New Roman" w:hAnsi="Times New Roman" w:eastAsia="宋体" w:cs="Times New Roman"/>
        </w:rPr>
        <w:t>。最终版本不允许保留“待生成”占位；References 不能为空，且必须经过评估 Agent 的核验结果过滤。</w:t>
      </w:r>
    </w:p>
    <w:p w14:paraId="33413A0B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8.4 容错设计</w:t>
      </w:r>
    </w:p>
    <w:p w14:paraId="4730D6B6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Agent 级超时、有限重试与错误事件；</w:t>
      </w:r>
    </w:p>
    <w:p w14:paraId="7C6E360E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外部文献接口失败时降级到本地论文库，但标记核验来源；</w:t>
      </w:r>
    </w:p>
    <w:p w14:paraId="148C3D01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SSE 断线重连和心跳；</w:t>
      </w:r>
    </w:p>
    <w:p w14:paraId="68D2AF0B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状态快照支持断点恢复；</w:t>
      </w:r>
    </w:p>
    <w:p w14:paraId="4D443DE2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百炼 API Key 仅通过环境变量注入，日志自动脱敏；</w:t>
      </w:r>
    </w:p>
    <w:p w14:paraId="1F2E135F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任一阶段失败时输出阶段、任务 ID 和原因，不吞异常。</w:t>
      </w:r>
    </w:p>
    <w:p w14:paraId="544D901F">
      <w:pPr>
        <w:spacing w:line="240" w:lineRule="auto" w:after="120"/>
      </w:pPr>
      <w:r>
        <w:rPr>
          <w:rFonts w:ascii="Times New Roman" w:hAnsi="Times New Roman" w:eastAsia="宋体" w:cs="Times New Roman"/>
        </w:rPr>
        <w:br w:type="page"/>
      </w:r>
    </w:p>
    <w:p w14:paraId="0957D73D">
      <w:pPr>
        <w:pStyle w:val="3"/>
        <w:spacing w:before="360" w:after="20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2"/>
        </w:rPr>
        <w:t>九、SSD 验证案例：问题与证据基础</w:t>
      </w:r>
    </w:p>
    <w:p w14:paraId="7D0B0410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9.1 场景背景</w:t>
      </w:r>
    </w:p>
    <w:p w14:paraId="377F721E">
      <w:pPr>
        <w:spacing w:line="240" w:lineRule="auto" w:after="120"/>
        <w:ind w:firstLine="480" w:firstLineChars="200"/>
        <w:jc w:val="both"/>
      </w:pPr>
      <w:r>
        <w:rPr>
          <w:rFonts w:ascii="Times New Roman" w:hAnsi="Times New Roman" w:eastAsia="宋体" w:cs="Times New Roman"/>
        </w:rPr>
        <w:t>NAND Flash 采用擦除前写入机制。随着无效页累积，SSD 需要垃圾回收（GC）迁移有效页并擦除受害块。该过程会增加写放大、尾延迟和擦写次数，影响性能与寿命。如何预测数据未来“温度”并进行合理的数据放置，是一个具备真实工程价值和可实验验证性的研究问题。</w:t>
      </w:r>
    </w:p>
    <w:p w14:paraId="3D91BB7A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9.2 已核验基础文献</w:t>
      </w:r>
    </w:p>
    <w:p w14:paraId="718A567A">
      <w:pPr>
        <w:pStyle w:val="14"/>
        <w:spacing w:line="240" w:lineRule="auto" w:after="60"/>
      </w:pPr>
      <w:r>
        <w:rPr>
          <w:rFonts w:ascii="Times New Roman" w:hAnsi="Times New Roman" w:eastAsia="宋体" w:cs="Times New Roman"/>
        </w:rPr>
        <w:t>Yang 等在 HotStorage 2019 提出基于 LSTM 的未来温度预测与 K-Means 数据分派，在其实验最佳情形下 WAF 与 99.99% 写延迟分别降低 43.5% 和 79.3%。该结果是基线论文结果，不是本项目实测结果。</w:t>
      </w:r>
    </w:p>
    <w:p w14:paraId="48DE8E06">
      <w:pPr>
        <w:pStyle w:val="14"/>
        <w:spacing w:line="240" w:lineRule="auto" w:after="60"/>
      </w:pPr>
      <w:r>
        <w:rPr>
          <w:rFonts w:ascii="Times New Roman" w:hAnsi="Times New Roman" w:eastAsia="宋体" w:cs="Times New Roman"/>
        </w:rPr>
        <w:t>Yan 与 Yao 在 IEEE Transactions on Consumer Electronics 2014 提出文件感知垃圾回收 FaGC，通过文件更新频率表减少复制和擦除操作，并兼顾磨损均衡。</w:t>
      </w:r>
    </w:p>
    <w:p w14:paraId="70CDA72E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9.3 初步 Research Gap</w:t>
      </w:r>
    </w:p>
    <w:p w14:paraId="0302E2CB">
      <w:pPr>
        <w:spacing w:line="240" w:lineRule="auto" w:after="120"/>
        <w:ind w:firstLine="480" w:firstLineChars="200"/>
        <w:jc w:val="both"/>
      </w:pPr>
      <w:r>
        <w:rPr>
          <w:rFonts w:ascii="Times New Roman" w:hAnsi="Times New Roman" w:eastAsia="宋体" w:cs="Times New Roman"/>
        </w:rPr>
        <w:t>现有方法分别利用时序负载特征或文件更新频率，但仍存在三个可验证空白：</w:t>
      </w:r>
    </w:p>
    <w:p w14:paraId="053F476D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跨工作负载迁移时，静态相关性选取与固定模型可能发生概念漂移；</w:t>
      </w:r>
    </w:p>
    <w:p w14:paraId="55566F4A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逻辑地址块之间具有时空依赖，单纯序列模型难以表达动态关联；</w:t>
      </w:r>
    </w:p>
    <w:p w14:paraId="3815D299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预测错误会直接影响数据放置，现有方案缺少不确定性门控和保守退化策略。</w:t>
      </w:r>
    </w:p>
    <w:p w14:paraId="2C6D0C34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9.4 候选研究问题</w:t>
      </w:r>
    </w:p>
    <w:p w14:paraId="310A9F3C">
      <w:pPr>
        <w:spacing w:line="240" w:lineRule="auto" w:after="120"/>
        <w:ind w:firstLine="480" w:firstLineChars="200"/>
        <w:jc w:val="both"/>
      </w:pPr>
      <w:r>
        <w:rPr>
          <w:rFonts w:ascii="Times New Roman" w:hAnsi="Times New Roman" w:eastAsia="宋体" w:cs="Times New Roman"/>
        </w:rPr>
        <w:t>在 MySQL、RocksDB、Docker 和 FIO 等不同负载下，融合文件级语义、逻辑地址空间关系和预测不确定性的温度预测与数据放置策略，能否在不增加过多控制开销的前提下，同时降低 WAF、尾延迟和磨损离散度？</w:t>
      </w:r>
    </w:p>
    <w:p w14:paraId="420883CD">
      <w:pPr>
        <w:spacing w:line="240" w:lineRule="auto" w:after="120"/>
      </w:pPr>
      <w:r>
        <w:rPr>
          <w:rFonts w:ascii="Times New Roman" w:hAnsi="Times New Roman" w:eastAsia="宋体" w:cs="Times New Roman"/>
        </w:rPr>
        <w:br w:type="page"/>
      </w:r>
    </w:p>
    <w:p w14:paraId="59F7F900">
      <w:pPr>
        <w:pStyle w:val="3"/>
        <w:spacing w:before="360" w:after="20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2"/>
        </w:rPr>
        <w:t>十、SSD 案例：候选科学假设与方法</w:t>
      </w:r>
    </w:p>
    <w:p w14:paraId="138D186C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10.1 候选假设</w:t>
      </w:r>
    </w:p>
    <w:p w14:paraId="6B2F5884">
      <w:pPr>
        <w:spacing w:line="240" w:lineRule="auto" w:after="120"/>
        <w:ind w:firstLine="480" w:firstLineChars="200"/>
        <w:jc w:val="both"/>
      </w:pPr>
      <w:r>
        <w:rPr>
          <w:rFonts w:ascii="Times New Roman" w:hAnsi="Times New Roman" w:eastAsia="宋体" w:cs="Times New Roman"/>
        </w:rPr>
        <w:t>构建“文件感知时空不确定性垃圾回收策略”（暂名 FSTU-GC）：将逻辑地址区间表示为动态图节点，以历史温度、吞吐、I/O 大小、读写比例、文件更新频率和块擦写次数作为特征；使用时空预测模型估计下一窗口的数据温度分布及置信区间；当不确定性超过阈值时退化到 FaGC/Greedy 等保守策略，否则按多目标代价函数完成数据分组与块分派。该设计有望提升跨负载稳定性，并减少错误预测带来的负收益。</w:t>
      </w:r>
    </w:p>
    <w:p w14:paraId="223FF084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10.2 技术手段</w:t>
      </w:r>
    </w:p>
    <w:p w14:paraId="4B44F9C2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采集固定时间窗口内的 LBA、时间戳、请求大小、读写类型和文件标识；</w:t>
      </w:r>
    </w:p>
    <w:p w14:paraId="10A4891C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以地址邻接、访问转移或文件归属构建动态关系图；</w:t>
      </w:r>
    </w:p>
    <w:p w14:paraId="79E035D9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对比 LSTM、Temporal Convolution、轻量图时序模型等预测器；</w:t>
      </w:r>
    </w:p>
    <w:p w14:paraId="4DA5FB8C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通过深度集成或 MC Dropout 估计预测不确定性；</w:t>
      </w:r>
    </w:p>
    <w:p w14:paraId="46C25614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构建多目标代价：</w:t>
      </w:r>
      <w:r>
        <w:rPr>
          <w:rFonts w:ascii="Times New Roman" w:hAnsi="Times New Roman" w:eastAsia="宋体" w:cs="Times New Roman"/>
          <w:color w:val="315CBE"/>
        </w:rPr>
        <w:t>J = α·WAF + β·P99.99Latency + γ·WearVariance + δ·Overhead</w:t>
      </w:r>
      <w:r>
        <w:rPr>
          <w:rFonts w:ascii="Times New Roman" w:hAnsi="Times New Roman" w:eastAsia="宋体" w:cs="Times New Roman"/>
        </w:rPr>
        <w:t>；</w:t>
      </w:r>
    </w:p>
    <w:p w14:paraId="0921B2FD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设置置信度阈值，低置信时回退到规则基线，保证最坏情况下不明显劣化。</w:t>
      </w:r>
    </w:p>
    <w:p w14:paraId="56F23EC7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10.3 可证伪条件</w:t>
      </w:r>
    </w:p>
    <w:p w14:paraId="2630EABE">
      <w:pPr>
        <w:spacing w:line="240" w:lineRule="auto" w:after="120"/>
        <w:ind w:firstLine="480" w:firstLineChars="200"/>
        <w:jc w:val="both"/>
      </w:pPr>
      <w:r>
        <w:rPr>
          <w:rFonts w:ascii="Times New Roman" w:hAnsi="Times New Roman" w:eastAsia="宋体" w:cs="Times New Roman"/>
        </w:rPr>
        <w:t>如果 FSTU-GC 在至少三类负载上不能同时满足下列任一条件，则假设不成立或需要收缩：WAF 相对强基线下降；P99/P99.99 延迟不劣化；磨损离散度下降；控制器 CPU/内存开销处于可接受范围。模型只在单一负载有效，不视为支持“跨负载稳定性”假设。</w:t>
      </w:r>
    </w:p>
    <w:p w14:paraId="42C4A0D1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10.4 人在回路介入点</w:t>
      </w:r>
    </w:p>
    <w:p w14:paraId="46C434B3">
      <w:pPr>
        <w:spacing w:line="240" w:lineRule="auto" w:after="120"/>
        <w:ind w:firstLine="480" w:firstLineChars="200"/>
        <w:jc w:val="both"/>
      </w:pPr>
      <w:r>
        <w:rPr>
          <w:rFonts w:ascii="Times New Roman" w:hAnsi="Times New Roman" w:eastAsia="宋体" w:cs="Times New Roman"/>
        </w:rPr>
        <w:t>存储领域成员确认特征是否可采集、数据是否泄露文件语义、指标权重是否符合设备目标；评估 Agent 检查引用与数据来源；导师可删去不可实现的模型并调整实验规模。</w:t>
      </w:r>
    </w:p>
    <w:p w14:paraId="6733FB43">
      <w:pPr>
        <w:spacing w:line="240" w:lineRule="auto" w:after="120"/>
      </w:pPr>
      <w:r>
        <w:rPr>
          <w:rFonts w:ascii="Times New Roman" w:hAnsi="Times New Roman" w:eastAsia="宋体" w:cs="Times New Roman"/>
        </w:rPr>
        <w:br w:type="page"/>
      </w:r>
    </w:p>
    <w:p w14:paraId="4615C2F5">
      <w:pPr>
        <w:pStyle w:val="3"/>
        <w:spacing w:before="360" w:after="20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2"/>
        </w:rPr>
        <w:t>十一、SSD 案例：实验设计与结果规范</w:t>
      </w:r>
    </w:p>
    <w:p w14:paraId="62FD1551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11.1 数据集</w:t>
      </w:r>
    </w:p>
    <w:p w14:paraId="6C346759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Source：已核验论文中的方法、工作负载类型与基线结果；团队采集或公开获得的块级 I/O traces；</w:t>
      </w:r>
    </w:p>
    <w:p w14:paraId="4A8A73A2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Target：在 FEMU/MQSim 或可用真实 SSD 环境中记录的温度、WAF、延迟、擦写次数与资源开销；</w:t>
      </w:r>
    </w:p>
    <w:p w14:paraId="1608CF88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数据划分：按工作负载和时间段划分训练、验证、测试，另设“未见负载”测试以避免随机切分造成信息泄露。</w:t>
      </w:r>
    </w:p>
    <w:p w14:paraId="648461AA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11.2 Baselines</w:t>
      </w:r>
    </w:p>
    <w:p w14:paraId="19A44F8B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Greedy GC；</w:t>
      </w:r>
    </w:p>
    <w:p w14:paraId="46C19DEA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Cost-Benefit / CAT；</w:t>
      </w:r>
    </w:p>
    <w:p w14:paraId="096C570F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FaGC 文件感知方法；</w:t>
      </w:r>
    </w:p>
    <w:p w14:paraId="4C35858E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LSTM + K-Means 温度预测方法；</w:t>
      </w:r>
    </w:p>
    <w:p w14:paraId="6623450C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去掉图结构、去掉文件语义、去掉不确定性门控的消融版本。</w:t>
      </w:r>
    </w:p>
    <w:p w14:paraId="3EBE09EB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11.3 Metrics</w:t>
      </w:r>
    </w:p>
    <w:p>
      <w:pPr>
        <w:keepNext/>
        <w:spacing w:before="160" w:after="120" w:line="240" w:lineRule="auto"/>
        <w:jc w:val="center"/>
      </w:pPr>
      <w:r>
        <w:rPr>
          <w:rFonts w:ascii="Times New Roman" w:hAnsi="Times New Roman" w:eastAsia="宋体" w:cs="Times New Roman"/>
          <w:b/>
          <w:color w:val="000000"/>
          <w:sz w:val="21"/>
        </w:rPr>
        <w:t>表 6  SSD 案例评价指标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68A21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933" w:type="dxa"/>
            <w:shd w:val="clear" w:color="auto" w:fill="315CBE"/>
            <w:vAlign w:val="center"/>
            <w:shd w:val="clear" w:color="auto" w:fill="D9D9D9"/>
          </w:tcPr>
          <w:p w14:paraId="2D895413"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类别</w:t>
            </w:r>
          </w:p>
        </w:tc>
        <w:tc>
          <w:tcPr>
            <w:tcW w:w="4933" w:type="dxa"/>
            <w:shd w:val="clear" w:color="auto" w:fill="315CBE"/>
            <w:vAlign w:val="center"/>
            <w:shd w:val="clear" w:color="auto" w:fill="D9D9D9"/>
          </w:tcPr>
          <w:p w14:paraId="7BBC8CF3"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指标</w:t>
            </w:r>
          </w:p>
        </w:tc>
      </w:tr>
      <w:tr w14:paraId="6DBE0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vAlign w:val="center"/>
          </w:tcPr>
          <w:p w14:paraId="34C7191A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预测质量</w:t>
            </w:r>
          </w:p>
        </w:tc>
        <w:tc>
          <w:tcPr>
            <w:tcW w:w="4933" w:type="dxa"/>
            <w:vAlign w:val="center"/>
          </w:tcPr>
          <w:p w14:paraId="29163233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MAE、RMSE、温度等级 F1、Expected Calibration Error</w:t>
            </w:r>
          </w:p>
        </w:tc>
      </w:tr>
      <w:tr w14:paraId="163D9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shd w:val="clear" w:color="auto" w:fill="F3F6FB"/>
            <w:vAlign w:val="center"/>
          </w:tcPr>
          <w:p w14:paraId="4E3EC854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SSD 性能</w:t>
            </w:r>
          </w:p>
        </w:tc>
        <w:tc>
          <w:tcPr>
            <w:tcW w:w="4933" w:type="dxa"/>
            <w:shd w:val="clear" w:color="auto" w:fill="F3F6FB"/>
            <w:vAlign w:val="center"/>
          </w:tcPr>
          <w:p w14:paraId="17886BD1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WAF、平均写延迟、P99/P99.99 写延迟、吞吐</w:t>
            </w:r>
          </w:p>
        </w:tc>
      </w:tr>
      <w:tr w14:paraId="2DA24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vAlign w:val="center"/>
          </w:tcPr>
          <w:p w14:paraId="23DDD8B7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寿命与稳定性</w:t>
            </w:r>
          </w:p>
        </w:tc>
        <w:tc>
          <w:tcPr>
            <w:tcW w:w="4933" w:type="dxa"/>
            <w:vAlign w:val="center"/>
          </w:tcPr>
          <w:p w14:paraId="7206AF80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擦写次数方差、最大/最小擦写比、跨负载最坏相对性能</w:t>
            </w:r>
          </w:p>
        </w:tc>
      </w:tr>
      <w:tr w14:paraId="27AA1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shd w:val="clear" w:color="auto" w:fill="F3F6FB"/>
            <w:vAlign w:val="center"/>
          </w:tcPr>
          <w:p w14:paraId="1EA39329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系统开销</w:t>
            </w:r>
          </w:p>
        </w:tc>
        <w:tc>
          <w:tcPr>
            <w:tcW w:w="4933" w:type="dxa"/>
            <w:shd w:val="clear" w:color="auto" w:fill="F3F6FB"/>
            <w:vAlign w:val="center"/>
          </w:tcPr>
          <w:p w14:paraId="58361F06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CPU、内存、推理延迟、元数据开销</w:t>
            </w:r>
          </w:p>
        </w:tc>
      </w:tr>
    </w:tbl>
    <w:p w14:paraId="3CFEAC8A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11.4 结果呈现规范</w:t>
      </w:r>
    </w:p>
    <w:p w14:paraId="03626DF8">
      <w:pPr>
        <w:spacing w:line="240" w:lineRule="auto" w:after="120"/>
        <w:ind w:firstLine="480" w:firstLineChars="200"/>
        <w:jc w:val="both"/>
      </w:pPr>
      <w:r>
        <w:rPr>
          <w:rFonts w:ascii="Times New Roman" w:hAnsi="Times New Roman" w:eastAsia="宋体" w:cs="Times New Roman"/>
        </w:rPr>
        <w:t>最终技术方案只填写实际执行或可靠模拟得到的结果，并给出环境、随机种子、重复次数和误差范围。当前尚未完成的数字统一标记为【待回填实测】，不得沿用基础论文的 43.5%/79.3% 作为本项目结果。若三天内无法完成全规模实验，提交可复现的小规模仿真、完整参数和失败分析，也比虚构结果更有可信度。</w:t>
      </w:r>
    </w:p>
    <w:p w14:paraId="54792C2E">
      <w:pPr>
        <w:spacing w:line="240" w:lineRule="auto" w:after="120"/>
      </w:pPr>
      <w:r>
        <w:rPr>
          <w:rFonts w:ascii="Times New Roman" w:hAnsi="Times New Roman" w:eastAsia="宋体" w:cs="Times New Roman"/>
        </w:rPr>
        <w:br w:type="page"/>
      </w:r>
    </w:p>
    <w:p w14:paraId="018C46CF">
      <w:pPr>
        <w:pStyle w:val="3"/>
        <w:spacing w:before="360" w:after="20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2"/>
        </w:rPr>
        <w:t>十二、系统级测试与评价方案</w:t>
      </w:r>
    </w:p>
    <w:p w14:paraId="31A90F28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12.1 对比方案</w:t>
      </w:r>
    </w:p>
    <w:p>
      <w:pPr>
        <w:keepNext/>
        <w:spacing w:before="160" w:after="120" w:line="240" w:lineRule="auto"/>
        <w:jc w:val="center"/>
      </w:pPr>
      <w:r>
        <w:rPr>
          <w:rFonts w:ascii="Times New Roman" w:hAnsi="Times New Roman" w:eastAsia="宋体" w:cs="Times New Roman"/>
          <w:b/>
          <w:color w:val="000000"/>
          <w:sz w:val="21"/>
        </w:rPr>
        <w:t>表 7  系统级对比方案（A–D）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237FF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933" w:type="dxa"/>
            <w:shd w:val="clear" w:color="auto" w:fill="315CBE"/>
            <w:vAlign w:val="center"/>
            <w:shd w:val="clear" w:color="auto" w:fill="D9D9D9"/>
          </w:tcPr>
          <w:p w14:paraId="128122EF"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方案</w:t>
            </w:r>
          </w:p>
        </w:tc>
        <w:tc>
          <w:tcPr>
            <w:tcW w:w="4933" w:type="dxa"/>
            <w:shd w:val="clear" w:color="auto" w:fill="315CBE"/>
            <w:vAlign w:val="center"/>
            <w:shd w:val="clear" w:color="auto" w:fill="D9D9D9"/>
          </w:tcPr>
          <w:p w14:paraId="74858FBD"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描述</w:t>
            </w:r>
          </w:p>
        </w:tc>
      </w:tr>
      <w:tr w14:paraId="085DB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vAlign w:val="center"/>
          </w:tcPr>
          <w:p w14:paraId="6BD717F5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A：单模型直出</w:t>
            </w:r>
          </w:p>
        </w:tc>
        <w:tc>
          <w:tcPr>
            <w:tcW w:w="4933" w:type="dxa"/>
            <w:vAlign w:val="center"/>
          </w:tcPr>
          <w:p w14:paraId="58968353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Qwen 直接生成研究计划，无 RAG、无多 Agent</w:t>
            </w:r>
          </w:p>
        </w:tc>
      </w:tr>
      <w:tr w14:paraId="69A2E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shd w:val="clear" w:color="auto" w:fill="F3F6FB"/>
            <w:vAlign w:val="center"/>
          </w:tcPr>
          <w:p w14:paraId="402BA930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B：单模型 + RAG</w:t>
            </w:r>
          </w:p>
        </w:tc>
        <w:tc>
          <w:tcPr>
            <w:tcW w:w="4933" w:type="dxa"/>
            <w:shd w:val="clear" w:color="auto" w:fill="F3F6FB"/>
            <w:vAlign w:val="center"/>
          </w:tcPr>
          <w:p w14:paraId="5CB3E42B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有证据检索，但无分工、评估与辩论</w:t>
            </w:r>
          </w:p>
        </w:tc>
      </w:tr>
      <w:tr w14:paraId="5E77C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vAlign w:val="center"/>
          </w:tcPr>
          <w:p w14:paraId="0B7711CF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C：多 Agent，无质量闸门</w:t>
            </w:r>
          </w:p>
        </w:tc>
        <w:tc>
          <w:tcPr>
            <w:tcW w:w="4933" w:type="dxa"/>
            <w:vAlign w:val="center"/>
          </w:tcPr>
          <w:p w14:paraId="74AF9650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七阶段协作，但关闭引用核验/人在回路</w:t>
            </w:r>
          </w:p>
        </w:tc>
      </w:tr>
      <w:tr w14:paraId="12AF9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shd w:val="clear" w:color="auto" w:fill="F3F6FB"/>
            <w:vAlign w:val="center"/>
          </w:tcPr>
          <w:p w14:paraId="43213DE1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D：完整系统</w:t>
            </w:r>
          </w:p>
        </w:tc>
        <w:tc>
          <w:tcPr>
            <w:tcW w:w="4933" w:type="dxa"/>
            <w:shd w:val="clear" w:color="auto" w:fill="F3F6FB"/>
            <w:vAlign w:val="center"/>
          </w:tcPr>
          <w:p w14:paraId="22A3D0E4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七 Agent + 四库 RAG + 引用核验 + 人在回路 + 辩论</w:t>
            </w:r>
          </w:p>
        </w:tc>
      </w:tr>
    </w:tbl>
    <w:p w14:paraId="4CC1FE52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12.2 指标</w:t>
      </w:r>
    </w:p>
    <w:p w14:paraId="09C439FD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证据质量：Recall@K、NDCG@K、来源标识完整率；</w:t>
      </w:r>
    </w:p>
    <w:p w14:paraId="3E07E7B4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引用质量：真实引用准确率、虚构引用拦截率、无法核验识别率；</w:t>
      </w:r>
    </w:p>
    <w:p w14:paraId="4E1092F2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计划质量：10 字段完整率、字段一致性、可证伪性、实验可执行性；</w:t>
      </w:r>
    </w:p>
    <w:p w14:paraId="120BF808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科学价值：由领域成员盲评创新性、自洽性和 Research Gap 有效性；</w:t>
      </w:r>
    </w:p>
    <w:p w14:paraId="709A76A3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人机协作：人工修改次数、采纳率、退回原因分布；</w:t>
      </w:r>
    </w:p>
    <w:p w14:paraId="084C5F61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工程性能：端到端时延、Agent 失败率、重试成功率、任务恢复成功率。</w:t>
      </w:r>
    </w:p>
    <w:p w14:paraId="3D9572DE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12.3 测试要求</w:t>
      </w:r>
    </w:p>
    <w:p w14:paraId="41CB5663">
      <w:pPr>
        <w:spacing w:line="240" w:lineRule="auto" w:after="120"/>
        <w:ind w:firstLine="480" w:firstLineChars="200"/>
        <w:jc w:val="both"/>
      </w:pPr>
      <w:r>
        <w:rPr>
          <w:rFonts w:ascii="Times New Roman" w:hAnsi="Times New Roman" w:eastAsia="宋体" w:cs="Times New Roman"/>
        </w:rPr>
        <w:t>每个 Agent 至少包含正常输入、空输入、无证据、外部接口失败、格式错误和引用虚构测试；管线包含并行聚合、暂停恢复、阶段异常和 10 字段组装测试。最终演示前固定一组离线证据和模型响应作为兜底，避免现场网络波动导致无法展示。</w:t>
      </w:r>
    </w:p>
    <w:p w14:paraId="74E1A4BF">
      <w:pPr>
        <w:spacing w:line="240" w:lineRule="auto" w:after="120"/>
      </w:pPr>
      <w:r>
        <w:rPr>
          <w:rFonts w:ascii="Times New Roman" w:hAnsi="Times New Roman" w:eastAsia="宋体" w:cs="Times New Roman"/>
        </w:rPr>
        <w:br w:type="page"/>
      </w:r>
    </w:p>
    <w:p w14:paraId="1A33DF94">
      <w:pPr>
        <w:pStyle w:val="3"/>
        <w:spacing w:before="360" w:after="20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2"/>
        </w:rPr>
        <w:t>十三、部署、复现与安全</w:t>
      </w:r>
    </w:p>
    <w:p w14:paraId="6447CDFF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13.1 部署结构</w:t>
      </w:r>
    </w:p>
    <w:p w14:paraId="413DB80E">
      <w:pPr>
        <w:spacing w:line="240" w:lineRule="auto" w:after="120"/>
        <w:ind w:firstLine="480" w:firstLineChars="200"/>
        <w:jc w:val="both"/>
      </w:pPr>
      <w:r>
        <w:rPr>
          <w:rFonts w:ascii="Times New Roman" w:hAnsi="Times New Roman" w:eastAsia="宋体" w:cs="Times New Roman"/>
        </w:rPr>
        <w:t xml:space="preserve">项目按 </w:t>
      </w:r>
      <w:r>
        <w:rPr>
          <w:rFonts w:ascii="Times New Roman" w:hAnsi="Times New Roman" w:eastAsia="宋体" w:cs="Times New Roman"/>
          <w:color w:val="315CBE"/>
        </w:rPr>
        <w:t>frontend / backend / ai-service / data</w:t>
      </w:r>
      <w:r>
        <w:rPr>
          <w:rFonts w:ascii="Times New Roman" w:hAnsi="Times New Roman" w:eastAsia="宋体" w:cs="Times New Roman"/>
        </w:rPr>
        <w:t xml:space="preserve"> 四个工程组织。开发环境可单机启动，MySQL、Chroma/Milvus 由 Docker Compose 编排。前端默认 5173，后端 8080，AI 服务 8081；对外只暴露后端接口。</w:t>
      </w:r>
    </w:p>
    <w:p w14:paraId="19BCA0F4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13.2 复现清单</w:t>
      </w:r>
    </w:p>
    <w:p w14:paraId="0FFE76EB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代码 commit、依赖锁定文件与启动说明；</w:t>
      </w:r>
    </w:p>
    <w:p w14:paraId="06D795A2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  <w:color w:val="315CBE"/>
        </w:rPr>
        <w:t>.env.example</w:t>
      </w:r>
      <w:r>
        <w:rPr>
          <w:rFonts w:ascii="Times New Roman" w:hAnsi="Times New Roman" w:eastAsia="宋体" w:cs="Times New Roman"/>
        </w:rPr>
        <w:t>，真实密钥不入仓库；</w:t>
      </w:r>
    </w:p>
    <w:p w14:paraId="0072424C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原始数据来源清单、清洗脚本和 JSONL Schema；</w:t>
      </w:r>
    </w:p>
    <w:p w14:paraId="40AA4B01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模型名、Embedding 模型、Prompt 版本与推理参数；</w:t>
      </w:r>
    </w:p>
    <w:p w14:paraId="2C8369F9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测试命令、测试报告、样例请求和预期输出；</w:t>
      </w:r>
    </w:p>
    <w:p w14:paraId="6429BFF9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百炼 API 调用凭证/截图及脱敏日志；</w:t>
      </w:r>
    </w:p>
    <w:p w14:paraId="604AD712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Docker Compose 和离线演示数据包。</w:t>
      </w:r>
    </w:p>
    <w:p w14:paraId="5A365AE3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13.3 安全与合规</w:t>
      </w:r>
    </w:p>
    <w:p w14:paraId="090B3B10">
      <w:pPr>
        <w:spacing w:line="240" w:lineRule="auto" w:after="120"/>
        <w:ind w:firstLine="480" w:firstLineChars="200"/>
        <w:jc w:val="both"/>
      </w:pPr>
      <w:r>
        <w:rPr>
          <w:rFonts w:ascii="Times New Roman" w:hAnsi="Times New Roman" w:eastAsia="宋体" w:cs="Times New Roman"/>
        </w:rPr>
        <w:t>只使用公开、获授权或团队自产数据；文献保存来源和许可信息；日志不记录完整 API Key；上传文件做类型和大小限制；模型输出不替代科研伦理和领域专家判断。引用无法核验时显式提示，禁止用“看似合理”的内容补全缺失证据。</w:t>
      </w:r>
    </w:p>
    <w:p w14:paraId="17375024">
      <w:pPr>
        <w:spacing w:line="240" w:lineRule="auto" w:after="120"/>
      </w:pPr>
      <w:r>
        <w:rPr>
          <w:rFonts w:ascii="Times New Roman" w:hAnsi="Times New Roman" w:eastAsia="宋体" w:cs="Times New Roman"/>
        </w:rPr>
        <w:br w:type="page"/>
      </w:r>
    </w:p>
    <w:p w14:paraId="37AC72AE">
      <w:pPr>
        <w:pStyle w:val="3"/>
        <w:spacing w:before="360" w:after="20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2"/>
        </w:rPr>
        <w:t>十四、创新点与应用潜力</w:t>
      </w:r>
    </w:p>
    <w:p w14:paraId="49C018FE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14.1 主要创新点</w:t>
      </w:r>
    </w:p>
    <w:p w14:paraId="5CC5A2FE">
      <w:pPr>
        <w:pStyle w:val="14"/>
        <w:spacing w:line="240" w:lineRule="auto" w:after="60"/>
      </w:pPr>
      <w:r>
        <w:rPr>
          <w:rFonts w:ascii="Times New Roman" w:hAnsi="Times New Roman" w:eastAsia="宋体" w:cs="Times New Roman"/>
        </w:rPr>
        <w:t>从“文本生成”转为“证据-空白-假设-实验”的科研闭环，每一步都有结构化输入输出；</w:t>
      </w:r>
    </w:p>
    <w:p w14:paraId="431E2458">
      <w:pPr>
        <w:pStyle w:val="14"/>
        <w:spacing w:line="240" w:lineRule="auto" w:after="60"/>
      </w:pPr>
      <w:r>
        <w:rPr>
          <w:rFonts w:ascii="Times New Roman" w:hAnsi="Times New Roman" w:eastAsia="宋体" w:cs="Times New Roman"/>
        </w:rPr>
        <w:t>七 Agent 串并联 DAG 与可插拔 Skills 结合，既保留专业分工，又支持新学科快速替换工具；</w:t>
      </w:r>
    </w:p>
    <w:p w14:paraId="6D1D7407">
      <w:pPr>
        <w:pStyle w:val="14"/>
        <w:spacing w:line="240" w:lineRule="auto" w:after="60"/>
      </w:pPr>
      <w:r>
        <w:rPr>
          <w:rFonts w:ascii="Times New Roman" w:hAnsi="Times New Roman" w:eastAsia="宋体" w:cs="Times New Roman"/>
        </w:rPr>
        <w:t>四库 RAG 将论文、方法、数据集和事实证据分离治理，最终通过来源 ID 汇成可追溯证据链；</w:t>
      </w:r>
    </w:p>
    <w:p w14:paraId="25B832FC">
      <w:pPr>
        <w:pStyle w:val="14"/>
        <w:spacing w:line="240" w:lineRule="auto" w:after="60"/>
      </w:pPr>
      <w:r>
        <w:rPr>
          <w:rFonts w:ascii="Times New Roman" w:hAnsi="Times New Roman" w:eastAsia="宋体" w:cs="Times New Roman"/>
        </w:rPr>
        <w:t xml:space="preserve">将 </w:t>
      </w:r>
      <w:r>
        <w:rPr>
          <w:rFonts w:ascii="Times New Roman" w:hAnsi="Times New Roman" w:eastAsia="宋体" w:cs="Times New Roman"/>
          <w:color w:val="315CBE"/>
        </w:rPr>
        <w:t>NOT_FOUND</w:t>
      </w:r>
      <w:r>
        <w:rPr>
          <w:rFonts w:ascii="Times New Roman" w:hAnsi="Times New Roman" w:eastAsia="宋体" w:cs="Times New Roman"/>
        </w:rPr>
        <w:t xml:space="preserve"> 与 </w:t>
      </w:r>
      <w:r>
        <w:rPr>
          <w:rFonts w:ascii="Times New Roman" w:hAnsi="Times New Roman" w:eastAsia="宋体" w:cs="Times New Roman"/>
          <w:color w:val="315CBE"/>
        </w:rPr>
        <w:t>UNVERIFIABLE</w:t>
      </w:r>
      <w:r>
        <w:rPr>
          <w:rFonts w:ascii="Times New Roman" w:hAnsi="Times New Roman" w:eastAsia="宋体" w:cs="Times New Roman"/>
        </w:rPr>
        <w:t xml:space="preserve"> 区分，避免把网络故障误判为虚构文献；</w:t>
      </w:r>
    </w:p>
    <w:p w14:paraId="6BDD241E">
      <w:pPr>
        <w:pStyle w:val="14"/>
        <w:spacing w:line="240" w:lineRule="auto" w:after="60"/>
      </w:pPr>
      <w:r>
        <w:rPr>
          <w:rFonts w:ascii="Times New Roman" w:hAnsi="Times New Roman" w:eastAsia="宋体" w:cs="Times New Roman"/>
        </w:rPr>
        <w:t>人在回路与双角色辩论共同承担科研质量控制，使系统更适合教学和团队研究。</w:t>
      </w:r>
    </w:p>
    <w:p w14:paraId="0C041085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14.2 应用场景</w:t>
      </w:r>
    </w:p>
    <w:p w14:paraId="7477D4B1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研究生开题与课程设计：从文献阅读到实验计划的结构化训练；</w:t>
      </w:r>
    </w:p>
    <w:p w14:paraId="0A7EA594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企业研发预研：快速比较方法、生成技术验证路线；</w:t>
      </w:r>
    </w:p>
    <w:p w14:paraId="794095C0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跨学科合作：把一领域的方法迁移到另一领域并给出证据；</w:t>
      </w:r>
    </w:p>
    <w:p w14:paraId="4D755FBA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科研管理：保存研究假设版本、审阅意见和验证结果；</w:t>
      </w:r>
    </w:p>
    <w:p w14:paraId="2F01F152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垂直扩展：在替换知识库和 Skills 后进入材料、生物、农业、社会科学等方向。</w:t>
      </w:r>
    </w:p>
    <w:p w14:paraId="2AB4EDAE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14.3 成果转化路径</w:t>
      </w:r>
    </w:p>
    <w:p w14:paraId="129536D6">
      <w:pPr>
        <w:spacing w:line="240" w:lineRule="auto" w:after="120"/>
        <w:ind w:firstLine="480" w:firstLineChars="200"/>
        <w:jc w:val="both"/>
      </w:pPr>
      <w:r>
        <w:rPr>
          <w:rFonts w:ascii="Times New Roman" w:hAnsi="Times New Roman" w:eastAsia="宋体" w:cs="Times New Roman"/>
        </w:rPr>
        <w:t>短期形成可复现原型、软件著作权和教学案例；中期围绕证据约束的多智能体编排、引用核验或 SSD 优化假设形成论文/专利；长期建设面向高校与研发团队的私有化科研助手平台。</w:t>
      </w:r>
    </w:p>
    <w:p w14:paraId="0850F512">
      <w:pPr>
        <w:spacing w:line="240" w:lineRule="auto" w:after="120"/>
      </w:pPr>
      <w:r>
        <w:rPr>
          <w:rFonts w:ascii="Times New Roman" w:hAnsi="Times New Roman" w:eastAsia="宋体" w:cs="Times New Roman"/>
        </w:rPr>
        <w:br w:type="page"/>
      </w:r>
    </w:p>
    <w:p w14:paraId="47276B09">
      <w:pPr>
        <w:pStyle w:val="3"/>
        <w:spacing w:before="360" w:after="20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2"/>
        </w:rPr>
        <w:t>十五、当前实现状态与三天冲刺计划</w:t>
      </w:r>
    </w:p>
    <w:p w14:paraId="22A810D2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15.1 当前状态（截至 2026-09-02，develop e6ab990）</w:t>
      </w:r>
    </w:p>
    <w:p>
      <w:pPr>
        <w:keepNext/>
        <w:spacing w:before="160" w:after="120" w:line="240" w:lineRule="auto"/>
        <w:jc w:val="center"/>
      </w:pPr>
      <w:r>
        <w:rPr>
          <w:rFonts w:ascii="Times New Roman" w:hAnsi="Times New Roman" w:eastAsia="宋体" w:cs="Times New Roman"/>
          <w:b/>
          <w:color w:val="000000"/>
          <w:sz w:val="21"/>
        </w:rPr>
        <w:t>表 8  当前实现状态（截至 2026-09-02）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4"/>
        <w:gridCol w:w="3155"/>
        <w:gridCol w:w="3763"/>
      </w:tblGrid>
      <w:tr w14:paraId="0044C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89" w:type="dxa"/>
            <w:shd w:val="clear" w:color="auto" w:fill="315CBE"/>
            <w:vAlign w:val="center"/>
            <w:shd w:val="clear" w:color="auto" w:fill="D9D9D9"/>
          </w:tcPr>
          <w:p w14:paraId="388BA548"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模块</w:t>
            </w:r>
          </w:p>
        </w:tc>
        <w:tc>
          <w:tcPr>
            <w:tcW w:w="3289" w:type="dxa"/>
            <w:shd w:val="clear" w:color="auto" w:fill="315CBE"/>
            <w:vAlign w:val="center"/>
            <w:shd w:val="clear" w:color="auto" w:fill="D9D9D9"/>
          </w:tcPr>
          <w:p w14:paraId="4C1D017B"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状态</w:t>
            </w:r>
          </w:p>
        </w:tc>
        <w:tc>
          <w:tcPr>
            <w:tcW w:w="3289" w:type="dxa"/>
            <w:shd w:val="clear" w:color="auto" w:fill="315CBE"/>
            <w:vAlign w:val="center"/>
            <w:shd w:val="clear" w:color="auto" w:fill="D9D9D9"/>
          </w:tcPr>
          <w:p w14:paraId="25AE36DA"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3164"/>
          </w:tcPr>
          <w:p>
            <w:r>
              <w:rPr>
                <w:rFonts w:ascii="Times New Roman" w:hAnsi="Times New Roman" w:eastAsia="宋体" w:cs="Times New Roman"/>
                <w:sz w:val="21"/>
              </w:rPr>
              <w:t>总体架构与 10 字段模型</w:t>
            </w:r>
          </w:p>
        </w:tc>
        <w:tc>
          <w:tcPr>
            <w:tcW w:type="dxa" w:w="3155"/>
          </w:tcPr>
          <w:p>
            <w:r>
              <w:rPr>
                <w:rFonts w:ascii="Times New Roman" w:hAnsi="Times New Roman" w:eastAsia="宋体" w:cs="Times New Roman"/>
                <w:sz w:val="21"/>
              </w:rPr>
              <w:t>已合入主仓库</w:t>
            </w:r>
          </w:p>
        </w:tc>
        <w:tc>
          <w:tcPr>
            <w:tcW w:type="dxa" w:w="3763"/>
          </w:tcPr>
          <w:p>
            <w:r>
              <w:rPr>
                <w:rFonts w:ascii="Times New Roman" w:hAnsi="Times New Roman" w:eastAsia="宋体" w:cs="Times New Roman"/>
                <w:sz w:val="21"/>
              </w:rPr>
              <w:t>PipelineEngine / PipelineContext / PipelineModels / ResearchPlan / ResearchPlanAssembler，含单元测试（PipelineEngineTest、ResearchPlanAssemblerTest 等）</w:t>
            </w:r>
          </w:p>
        </w:tc>
      </w:tr>
      <w:tr>
        <w:tc>
          <w:tcPr>
            <w:tcW w:type="dxa" w:w="3164"/>
          </w:tcPr>
          <w:p>
            <w:r>
              <w:rPr>
                <w:rFonts w:ascii="Times New Roman" w:hAnsi="Times New Roman" w:eastAsia="宋体" w:cs="Times New Roman"/>
                <w:sz w:val="21"/>
              </w:rPr>
              <w:t>DAG 编排与 SSE 运行时</w:t>
            </w:r>
          </w:p>
        </w:tc>
        <w:tc>
          <w:tcPr>
            <w:tcW w:type="dxa" w:w="3155"/>
          </w:tcPr>
          <w:p>
            <w:r>
              <w:rPr>
                <w:rFonts w:ascii="Times New Roman" w:hAnsi="Times New Roman" w:eastAsia="宋体" w:cs="Times New Roman"/>
                <w:sz w:val="21"/>
              </w:rPr>
              <w:t>已合入主仓库</w:t>
            </w:r>
          </w:p>
        </w:tc>
        <w:tc>
          <w:tcPr>
            <w:tcW w:type="dxa" w:w="3763"/>
          </w:tcPr>
          <w:p>
            <w:r>
              <w:rPr>
                <w:rFonts w:ascii="Times New Roman" w:hAnsi="Times New Roman" w:eastAsia="宋体" w:cs="Times New Roman"/>
                <w:sz w:val="21"/>
              </w:rPr>
              <w:t>异步 start + 人在回路暂停/恢复、SseEventPublisher、PipelineController（含 stream / resume / state 接口）</w:t>
            </w:r>
          </w:p>
        </w:tc>
      </w:tr>
      <w:tr>
        <w:tc>
          <w:tcPr>
            <w:tcW w:type="dxa" w:w="3164"/>
          </w:tcPr>
          <w:p>
            <w:r>
              <w:rPr>
                <w:rFonts w:ascii="Times New Roman" w:hAnsi="Times New Roman" w:eastAsia="宋体" w:cs="Times New Roman"/>
                <w:sz w:val="21"/>
              </w:rPr>
              <w:t>问题理解 Agent ①</w:t>
            </w:r>
          </w:p>
        </w:tc>
        <w:tc>
          <w:tcPr>
            <w:tcW w:type="dxa" w:w="3155"/>
          </w:tcPr>
          <w:p>
            <w:r>
              <w:rPr>
                <w:rFonts w:ascii="Times New Roman" w:hAnsi="Times New Roman" w:eastAsia="宋体" w:cs="Times New Roman"/>
                <w:sz w:val="21"/>
              </w:rPr>
              <w:t>类已入库</w:t>
            </w:r>
          </w:p>
        </w:tc>
        <w:tc>
          <w:tcPr>
            <w:tcW w:type="dxa" w:w="3763"/>
          </w:tcPr>
          <w:p>
            <w:r>
              <w:rPr>
                <w:rFonts w:ascii="Times New Roman" w:hAnsi="Times New Roman" w:eastAsia="宋体" w:cs="Times New Roman"/>
                <w:sz w:val="21"/>
              </w:rPr>
              <w:t>ProblemUnderstandingAgent 已建为可插拔骨架，待负责人接入 LLM 逻辑并补测试</w:t>
            </w:r>
          </w:p>
        </w:tc>
      </w:tr>
      <w:tr>
        <w:tc>
          <w:tcPr>
            <w:tcW w:type="dxa" w:w="3164"/>
          </w:tcPr>
          <w:p>
            <w:r>
              <w:rPr>
                <w:rFonts w:ascii="Times New Roman" w:hAnsi="Times New Roman" w:eastAsia="宋体" w:cs="Times New Roman"/>
                <w:sz w:val="21"/>
              </w:rPr>
              <w:t>文献检索 Agent ②</w:t>
            </w:r>
          </w:p>
        </w:tc>
        <w:tc>
          <w:tcPr>
            <w:tcW w:type="dxa" w:w="3155"/>
          </w:tcPr>
          <w:p>
            <w:r>
              <w:rPr>
                <w:rFonts w:ascii="Times New Roman" w:hAnsi="Times New Roman" w:eastAsia="宋体" w:cs="Times New Roman"/>
                <w:sz w:val="21"/>
              </w:rPr>
              <w:t>类已入库</w:t>
            </w:r>
          </w:p>
        </w:tc>
        <w:tc>
          <w:tcPr>
            <w:tcW w:type="dxa" w:w="3763"/>
          </w:tcPr>
          <w:p>
            <w:r>
              <w:rPr>
                <w:rFonts w:ascii="Times New Roman" w:hAnsi="Times New Roman" w:eastAsia="宋体" w:cs="Times New Roman"/>
                <w:sz w:val="21"/>
              </w:rPr>
              <w:t>LiteratureRetrievalAgent 已建为骨架，待与 RagSearchService 联调召回</w:t>
            </w:r>
          </w:p>
        </w:tc>
      </w:tr>
      <w:tr>
        <w:tc>
          <w:tcPr>
            <w:tcW w:type="dxa" w:w="3164"/>
          </w:tcPr>
          <w:p>
            <w:r>
              <w:rPr>
                <w:rFonts w:ascii="Times New Roman" w:hAnsi="Times New Roman" w:eastAsia="宋体" w:cs="Times New Roman"/>
                <w:sz w:val="21"/>
              </w:rPr>
              <w:t>知识发现 Agent ③</w:t>
            </w:r>
          </w:p>
        </w:tc>
        <w:tc>
          <w:tcPr>
            <w:tcW w:type="dxa" w:w="3155"/>
          </w:tcPr>
          <w:p>
            <w:r>
              <w:rPr>
                <w:rFonts w:ascii="Times New Roman" w:hAnsi="Times New Roman" w:eastAsia="宋体" w:cs="Times New Roman"/>
                <w:sz w:val="21"/>
              </w:rPr>
              <w:t>已接入并有单测</w:t>
            </w:r>
          </w:p>
        </w:tc>
        <w:tc>
          <w:tcPr>
            <w:tcW w:type="dxa" w:w="3763"/>
          </w:tcPr>
          <w:p>
            <w:r>
              <w:rPr>
                <w:rFonts w:ascii="Times New Roman" w:hAnsi="Times New Roman" w:eastAsia="宋体" w:cs="Times New Roman"/>
                <w:sz w:val="21"/>
              </w:rPr>
              <w:t>KnowledgeDiscoveryAgent + KnowledgeDiscoveryStage 包装接入（含 KnowledgeDiscoveryAgentTest）</w:t>
            </w:r>
          </w:p>
        </w:tc>
      </w:tr>
      <w:tr>
        <w:tc>
          <w:tcPr>
            <w:tcW w:type="dxa" w:w="3164"/>
          </w:tcPr>
          <w:p>
            <w:r>
              <w:rPr>
                <w:rFonts w:ascii="Times New Roman" w:hAnsi="Times New Roman" w:eastAsia="宋体" w:cs="Times New Roman"/>
                <w:sz w:val="21"/>
              </w:rPr>
              <w:t>假设生成 Agent ④</w:t>
            </w:r>
          </w:p>
        </w:tc>
        <w:tc>
          <w:tcPr>
            <w:tcW w:type="dxa" w:w="3155"/>
          </w:tcPr>
          <w:p>
            <w:r>
              <w:rPr>
                <w:rFonts w:ascii="Times New Roman" w:hAnsi="Times New Roman" w:eastAsia="宋体" w:cs="Times New Roman"/>
                <w:sz w:val="21"/>
              </w:rPr>
              <w:t>类已入库</w:t>
            </w:r>
          </w:p>
        </w:tc>
        <w:tc>
          <w:tcPr>
            <w:tcW w:type="dxa" w:w="3763"/>
          </w:tcPr>
          <w:p>
            <w:r>
              <w:rPr>
                <w:rFonts w:ascii="Times New Roman" w:hAnsi="Times New Roman" w:eastAsia="宋体" w:cs="Times New Roman"/>
                <w:sz w:val="21"/>
              </w:rPr>
              <w:t>HypothesisGenerationAgent 已建为骨架，待接入并补测试</w:t>
            </w:r>
          </w:p>
        </w:tc>
      </w:tr>
      <w:tr>
        <w:tc>
          <w:tcPr>
            <w:tcW w:type="dxa" w:w="3164"/>
          </w:tcPr>
          <w:p>
            <w:r>
              <w:rPr>
                <w:rFonts w:ascii="Times New Roman" w:hAnsi="Times New Roman" w:eastAsia="宋体" w:cs="Times New Roman"/>
                <w:sz w:val="21"/>
              </w:rPr>
              <w:t>科学评估 Agent ⑤</w:t>
            </w:r>
          </w:p>
        </w:tc>
        <w:tc>
          <w:tcPr>
            <w:tcW w:type="dxa" w:w="3155"/>
          </w:tcPr>
          <w:p>
            <w:r>
              <w:rPr>
                <w:rFonts w:ascii="Times New Roman" w:hAnsi="Times New Roman" w:eastAsia="宋体" w:cs="Times New Roman"/>
                <w:sz w:val="21"/>
              </w:rPr>
              <w:t>类已入库</w:t>
            </w:r>
          </w:p>
        </w:tc>
        <w:tc>
          <w:tcPr>
            <w:tcW w:type="dxa" w:w="3763"/>
          </w:tcPr>
          <w:p>
            <w:r>
              <w:rPr>
                <w:rFonts w:ascii="Times New Roman" w:hAnsi="Times New Roman" w:eastAsia="宋体" w:cs="Times New Roman"/>
                <w:sz w:val="21"/>
              </w:rPr>
              <w:t>HypothesisEvaluationAgent 已建为骨架，待接入幻觉检测并补测试</w:t>
            </w:r>
          </w:p>
        </w:tc>
      </w:tr>
      <w:tr>
        <w:tc>
          <w:tcPr>
            <w:tcW w:type="dxa" w:w="3164"/>
          </w:tcPr>
          <w:p>
            <w:r>
              <w:rPr>
                <w:rFonts w:ascii="Times New Roman" w:hAnsi="Times New Roman" w:eastAsia="宋体" w:cs="Times New Roman"/>
                <w:sz w:val="21"/>
              </w:rPr>
              <w:t>实验设计 Agent ⑥</w:t>
            </w:r>
          </w:p>
        </w:tc>
        <w:tc>
          <w:tcPr>
            <w:tcW w:type="dxa" w:w="3155"/>
          </w:tcPr>
          <w:p>
            <w:r>
              <w:rPr>
                <w:rFonts w:ascii="Times New Roman" w:hAnsi="Times New Roman" w:eastAsia="宋体" w:cs="Times New Roman"/>
                <w:sz w:val="21"/>
              </w:rPr>
              <w:t>已合入主仓库</w:t>
            </w:r>
          </w:p>
        </w:tc>
        <w:tc>
          <w:tcPr>
            <w:tcW w:type="dxa" w:w="3763"/>
          </w:tcPr>
          <w:p>
            <w:r>
              <w:rPr>
                <w:rFonts w:ascii="Times New Roman" w:hAnsi="Times New Roman" w:eastAsia="宋体" w:cs="Times New Roman"/>
                <w:sz w:val="21"/>
              </w:rPr>
              <w:t>实验设计模块（Evidence / Experiment / ExperimentStage）已随 PR #7 合入 develop，含测试</w:t>
            </w:r>
          </w:p>
        </w:tc>
      </w:tr>
      <w:tr>
        <w:tc>
          <w:tcPr>
            <w:tcW w:type="dxa" w:w="3164"/>
          </w:tcPr>
          <w:p>
            <w:r>
              <w:rPr>
                <w:rFonts w:ascii="Times New Roman" w:hAnsi="Times New Roman" w:eastAsia="宋体" w:cs="Times New Roman"/>
                <w:sz w:val="21"/>
              </w:rPr>
              <w:t>思辨辩论 Agent ⑦</w:t>
            </w:r>
          </w:p>
        </w:tc>
        <w:tc>
          <w:tcPr>
            <w:tcW w:type="dxa" w:w="3155"/>
          </w:tcPr>
          <w:p>
            <w:r>
              <w:rPr>
                <w:rFonts w:ascii="Times New Roman" w:hAnsi="Times New Roman" w:eastAsia="宋体" w:cs="Times New Roman"/>
                <w:sz w:val="21"/>
              </w:rPr>
              <w:t>类已入库</w:t>
            </w:r>
          </w:p>
        </w:tc>
        <w:tc>
          <w:tcPr>
            <w:tcW w:type="dxa" w:w="3763"/>
          </w:tcPr>
          <w:p>
            <w:r>
              <w:rPr>
                <w:rFonts w:ascii="Times New Roman" w:hAnsi="Times New Roman" w:eastAsia="宋体" w:cs="Times New Roman"/>
                <w:sz w:val="21"/>
              </w:rPr>
              <w:t>DebateAgent 已建为骨架，待接入双角色辩论逻辑并补测试</w:t>
            </w:r>
          </w:p>
        </w:tc>
      </w:tr>
      <w:tr>
        <w:tc>
          <w:tcPr>
            <w:tcW w:type="dxa" w:w="3164"/>
          </w:tcPr>
          <w:p>
            <w:r>
              <w:rPr>
                <w:rFonts w:ascii="Times New Roman" w:hAnsi="Times New Roman" w:eastAsia="宋体" w:cs="Times New Roman"/>
                <w:sz w:val="21"/>
              </w:rPr>
              <w:t>RAG 检索服务</w:t>
            </w:r>
          </w:p>
        </w:tc>
        <w:tc>
          <w:tcPr>
            <w:tcW w:type="dxa" w:w="3155"/>
          </w:tcPr>
          <w:p>
            <w:r>
              <w:rPr>
                <w:rFonts w:ascii="Times New Roman" w:hAnsi="Times New Roman" w:eastAsia="宋体" w:cs="Times New Roman"/>
                <w:sz w:val="21"/>
              </w:rPr>
              <w:t>已实现</w:t>
            </w:r>
          </w:p>
        </w:tc>
        <w:tc>
          <w:tcPr>
            <w:tcW w:type="dxa" w:w="3763"/>
          </w:tcPr>
          <w:p>
            <w:r>
              <w:rPr>
                <w:rFonts w:ascii="Times New Roman" w:hAnsi="Times New Roman" w:eastAsia="宋体" w:cs="Times New Roman"/>
                <w:sz w:val="21"/>
              </w:rPr>
              <w:t>RagSearchService：Chroma REST 检索并返回 PaperEvidence 契约（含测试）；Milvus 待真实连接；SSD 数据待灌入</w:t>
            </w:r>
          </w:p>
        </w:tc>
      </w:tr>
      <w:tr>
        <w:tc>
          <w:tcPr>
            <w:tcW w:type="dxa" w:w="3164"/>
          </w:tcPr>
          <w:p>
            <w:r>
              <w:rPr>
                <w:rFonts w:ascii="Times New Roman" w:hAnsi="Times New Roman" w:eastAsia="宋体" w:cs="Times New Roman"/>
                <w:sz w:val="21"/>
              </w:rPr>
              <w:t>百炼平台接入</w:t>
            </w:r>
          </w:p>
        </w:tc>
        <w:tc>
          <w:tcPr>
            <w:tcW w:type="dxa" w:w="3155"/>
          </w:tcPr>
          <w:p>
            <w:r>
              <w:rPr>
                <w:rFonts w:ascii="Times New Roman" w:hAnsi="Times New Roman" w:eastAsia="宋体" w:cs="Times New Roman"/>
                <w:sz w:val="21"/>
              </w:rPr>
              <w:t>已实现</w:t>
            </w:r>
          </w:p>
        </w:tc>
        <w:tc>
          <w:tcPr>
            <w:tcW w:type="dxa" w:w="3763"/>
          </w:tcPr>
          <w:p>
            <w:r>
              <w:rPr>
                <w:rFonts w:ascii="Times New Roman" w:hAnsi="Times New Roman" w:eastAsia="宋体" w:cs="Times New Roman"/>
                <w:sz w:val="21"/>
              </w:rPr>
              <w:t>BailianClient：OpenAI 兼容 API、模型分级、60s 超时重试 1 次（含测试）；embed() 供 RAG 使用</w:t>
            </w:r>
          </w:p>
        </w:tc>
      </w:tr>
      <w:tr>
        <w:tc>
          <w:tcPr>
            <w:tcW w:type="dxa" w:w="3164"/>
          </w:tcPr>
          <w:p>
            <w:r>
              <w:rPr>
                <w:rFonts w:ascii="Times New Roman" w:hAnsi="Times New Roman" w:eastAsia="宋体" w:cs="Times New Roman"/>
                <w:sz w:val="21"/>
              </w:rPr>
              <w:t>后端与前端</w:t>
            </w:r>
          </w:p>
        </w:tc>
        <w:tc>
          <w:tcPr>
            <w:tcW w:type="dxa" w:w="3155"/>
          </w:tcPr>
          <w:p>
            <w:r>
              <w:rPr>
                <w:rFonts w:ascii="Times New Roman" w:hAnsi="Times New Roman" w:eastAsia="宋体" w:cs="Times New Roman"/>
                <w:sz w:val="21"/>
              </w:rPr>
              <w:t>原型可用</w:t>
            </w:r>
          </w:p>
        </w:tc>
        <w:tc>
          <w:tcPr>
            <w:tcW w:type="dxa" w:w="3763"/>
          </w:tcPr>
          <w:p>
            <w:r>
              <w:rPr>
                <w:rFonts w:ascii="Times New Roman" w:hAnsi="Times New Roman" w:eastAsia="宋体" w:cs="Times New Roman"/>
                <w:sz w:val="21"/>
              </w:rPr>
              <w:t>backend REST/SSE 转发、前端 SSE 与人在回路按钮待联调</w:t>
            </w:r>
          </w:p>
        </w:tc>
      </w:tr>
      <w:tr>
        <w:tc>
          <w:tcPr>
            <w:tcW w:type="dxa" w:w="3164"/>
          </w:tcPr>
          <w:p>
            <w:r>
              <w:rPr>
                <w:rFonts w:ascii="Times New Roman" w:hAnsi="Times New Roman" w:eastAsia="宋体" w:cs="Times New Roman"/>
                <w:sz w:val="21"/>
              </w:rPr>
              <w:t>SSD 真实案例</w:t>
            </w:r>
          </w:p>
        </w:tc>
        <w:tc>
          <w:tcPr>
            <w:tcW w:type="dxa" w:w="3155"/>
          </w:tcPr>
          <w:p>
            <w:r>
              <w:rPr>
                <w:rFonts w:ascii="Times New Roman" w:hAnsi="Times New Roman" w:eastAsia="宋体" w:cs="Times New Roman"/>
                <w:sz w:val="21"/>
              </w:rPr>
              <w:t>论文已核验</w:t>
            </w:r>
          </w:p>
        </w:tc>
        <w:tc>
          <w:tcPr>
            <w:tcW w:type="dxa" w:w="3763"/>
          </w:tcPr>
          <w:p>
            <w:r>
              <w:rPr>
                <w:rFonts w:ascii="Times New Roman" w:hAnsi="Times New Roman" w:eastAsia="宋体" w:cs="Times New Roman"/>
                <w:sz w:val="21"/>
              </w:rPr>
              <w:t>两篇基础文献（HotStorage 2019 / IEEE TCE 2014）；端到端生成结果与实测结果待回填</w:t>
            </w:r>
          </w:p>
        </w:tc>
      </w:tr>
    </w:tbl>
    <w:p w14:paraId="6EB0D1EE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15.2 冲刺优先级</w:t>
      </w:r>
    </w:p>
    <w:p w14:paraId="07E327DF">
      <w:pPr>
        <w:spacing w:line="240" w:lineRule="auto" w:after="120"/>
        <w:ind w:firstLine="480" w:firstLineChars="200"/>
        <w:jc w:val="both"/>
      </w:pPr>
      <w:r>
        <w:rPr>
          <w:rFonts w:ascii="Times New Roman" w:hAnsi="Times New Roman" w:eastAsia="宋体" w:cs="Times New Roman"/>
          <w:b/>
        </w:rPr>
        <w:t>第 1 天：接口统一与最小闭环。</w:t>
      </w:r>
      <w:r>
        <w:rPr>
          <w:rFonts w:ascii="Times New Roman" w:hAnsi="Times New Roman" w:eastAsia="宋体" w:cs="Times New Roman"/>
        </w:rPr>
        <w:t xml:space="preserve"> 固化 </w:t>
      </w:r>
      <w:r>
        <w:rPr>
          <w:rFonts w:ascii="Times New Roman" w:hAnsi="Times New Roman" w:eastAsia="宋体" w:cs="Times New Roman"/>
          <w:color w:val="315CBE"/>
        </w:rPr>
        <w:t>PipelineContext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  <w:color w:val="315CBE"/>
        </w:rPr>
        <w:t>EvidenceItem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  <w:color w:val="315CBE"/>
        </w:rPr>
        <w:t>ResearchPlan</w:t>
      </w:r>
      <w:r>
        <w:rPr>
          <w:rFonts w:ascii="Times New Roman" w:hAnsi="Times New Roman" w:eastAsia="宋体" w:cs="Times New Roman"/>
        </w:rPr>
        <w:t xml:space="preserve"> 与 </w:t>
      </w:r>
      <w:r>
        <w:rPr>
          <w:rFonts w:ascii="Times New Roman" w:hAnsi="Times New Roman" w:eastAsia="宋体" w:cs="Times New Roman"/>
          <w:color w:val="315CBE"/>
        </w:rPr>
        <w:t>RagSearchService</w:t>
      </w:r>
      <w:r>
        <w:rPr>
          <w:rFonts w:ascii="Times New Roman" w:hAnsi="Times New Roman" w:eastAsia="宋体" w:cs="Times New Roman"/>
        </w:rPr>
        <w:t>；接入问题理解、知识发现、假设评估和实验设计；不再增加新框架。</w:t>
      </w:r>
    </w:p>
    <w:p w14:paraId="352DD4BB">
      <w:pPr>
        <w:spacing w:line="240" w:lineRule="auto" w:after="120"/>
        <w:ind w:firstLine="480" w:firstLineChars="200"/>
        <w:jc w:val="both"/>
      </w:pPr>
      <w:r>
        <w:rPr>
          <w:rFonts w:ascii="Times New Roman" w:hAnsi="Times New Roman" w:eastAsia="宋体" w:cs="Times New Roman"/>
          <w:b/>
        </w:rPr>
        <w:t>第 2 天：SSD 数据与端到端案例。</w:t>
      </w:r>
      <w:r>
        <w:rPr>
          <w:rFonts w:ascii="Times New Roman" w:hAnsi="Times New Roman" w:eastAsia="宋体" w:cs="Times New Roman"/>
        </w:rPr>
        <w:t xml:space="preserve"> 解析两篇真实 SSD 论文，补齐 DOI/URL；生成四库 JSONL；跑通一个问题到 10 字段报告的完整流程；记录失败和人工介入过程。</w:t>
      </w:r>
    </w:p>
    <w:p w14:paraId="4348C2AB">
      <w:pPr>
        <w:spacing w:line="240" w:lineRule="auto" w:after="120"/>
        <w:ind w:firstLine="480" w:firstLineChars="200"/>
        <w:jc w:val="both"/>
      </w:pPr>
      <w:r>
        <w:rPr>
          <w:rFonts w:ascii="Times New Roman" w:hAnsi="Times New Roman" w:eastAsia="宋体" w:cs="Times New Roman"/>
          <w:b/>
        </w:rPr>
        <w:t>第 3 天：测试、材料与演示。</w:t>
      </w:r>
      <w:r>
        <w:rPr>
          <w:rFonts w:ascii="Times New Roman" w:hAnsi="Times New Roman" w:eastAsia="宋体" w:cs="Times New Roman"/>
        </w:rPr>
        <w:t xml:space="preserve"> 修复阻断缺陷，完成核心测试；回填真实截图与运行数据；导出≤20页 PDF；按 8-10 分钟脚本录制演示视频，并准备离线兜底。</w:t>
      </w:r>
    </w:p>
    <w:p w14:paraId="3B7A430E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15.3 明确延后</w:t>
      </w:r>
    </w:p>
    <w:p w14:paraId="1DD48B91">
      <w:pPr>
        <w:spacing w:line="240" w:lineRule="auto" w:after="120"/>
        <w:ind w:firstLine="480" w:firstLineChars="200"/>
        <w:jc w:val="both"/>
      </w:pPr>
      <w:r>
        <w:rPr>
          <w:rFonts w:ascii="Times New Roman" w:hAnsi="Times New Roman" w:eastAsia="宋体" w:cs="Times New Roman"/>
        </w:rPr>
        <w:t>SFT 微调、复杂权限系统、全量生产 Milvus、跨多学科大规模评测和高级界面动效不属于三天内阻断项。只有在核心链路稳定后才进入后续版本。</w:t>
      </w:r>
    </w:p>
    <w:p w14:paraId="64C424BD">
      <w:pPr>
        <w:spacing w:line="240" w:lineRule="auto" w:after="120"/>
      </w:pPr>
      <w:r>
        <w:rPr>
          <w:rFonts w:ascii="Times New Roman" w:hAnsi="Times New Roman" w:eastAsia="宋体" w:cs="Times New Roman"/>
        </w:rPr>
        <w:br w:type="page"/>
      </w:r>
    </w:p>
    <w:p w14:paraId="1746B4F9">
      <w:pPr>
        <w:pStyle w:val="3"/>
        <w:spacing w:before="360" w:after="20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2"/>
        </w:rPr>
        <w:t>十六、结论、提交对照与待回填项</w:t>
      </w:r>
    </w:p>
    <w:p w14:paraId="312440F6">
      <w:pPr>
        <w:spacing w:line="240" w:lineRule="auto" w:after="120"/>
        <w:ind w:firstLine="480" w:firstLineChars="200"/>
        <w:jc w:val="both"/>
      </w:pPr>
      <w:r>
        <w:rPr>
          <w:rFonts w:ascii="Times New Roman" w:hAnsi="Times New Roman" w:eastAsia="宋体" w:cs="Times New Roman"/>
        </w:rPr>
        <w:t>本项目以“可验证”而非“会生成”为核心目标，通过七 Agent 协作、四库 RAG、结构化状态、真实引用核验和人在回路，将千问模型的推理能力约束在可追溯的科研证据链上。SSD 垃圾回收案例为系统提供了具体、可证伪、可实验的验证场景。现阶段的关键不是继续扩展功能，而是完成接口统一、真实数据入库和一个端到端案例，确保技术方案、源代码和演示视频展示的是同一套系统。</w:t>
      </w:r>
    </w:p>
    <w:p w14:paraId="6A7AB012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16.1 赛题材料对照</w:t>
      </w:r>
    </w:p>
    <w:p>
      <w:pPr>
        <w:keepNext/>
        <w:spacing w:before="160" w:after="120" w:line="240" w:lineRule="auto"/>
        <w:jc w:val="center"/>
      </w:pPr>
      <w:r>
        <w:rPr>
          <w:rFonts w:ascii="Times New Roman" w:hAnsi="Times New Roman" w:eastAsia="宋体" w:cs="Times New Roman"/>
          <w:b/>
          <w:color w:val="000000"/>
          <w:sz w:val="21"/>
        </w:rPr>
        <w:t>表 9  赛题提交材料对照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54A4D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933" w:type="dxa"/>
            <w:shd w:val="clear" w:color="auto" w:fill="315CBE"/>
            <w:vAlign w:val="center"/>
            <w:shd w:val="clear" w:color="auto" w:fill="D9D9D9"/>
          </w:tcPr>
          <w:p w14:paraId="6D12FD3B"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赛题要求</w:t>
            </w:r>
          </w:p>
        </w:tc>
        <w:tc>
          <w:tcPr>
            <w:tcW w:w="4933" w:type="dxa"/>
            <w:shd w:val="clear" w:color="auto" w:fill="315CBE"/>
            <w:vAlign w:val="center"/>
            <w:shd w:val="clear" w:color="auto" w:fill="D9D9D9"/>
          </w:tcPr>
          <w:p w14:paraId="2E242CF5"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本项目材料</w:t>
            </w:r>
          </w:p>
        </w:tc>
      </w:tr>
      <w:tr w14:paraId="16F00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vAlign w:val="center"/>
          </w:tcPr>
          <w:p w14:paraId="76E76720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PDF≤20页技术方案</w:t>
            </w:r>
          </w:p>
        </w:tc>
        <w:tc>
          <w:tcPr>
            <w:tcW w:w="4933" w:type="dxa"/>
            <w:vAlign w:val="center"/>
          </w:tcPr>
          <w:p w14:paraId="0264A2C6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本文档最终定稿版</w:t>
            </w:r>
          </w:p>
        </w:tc>
      </w:tr>
      <w:tr w14:paraId="2278B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shd w:val="clear" w:color="auto" w:fill="F3F6FB"/>
            <w:vAlign w:val="center"/>
          </w:tcPr>
          <w:p w14:paraId="48117E88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研究问题与解决方法</w:t>
            </w:r>
          </w:p>
        </w:tc>
        <w:tc>
          <w:tcPr>
            <w:tcW w:w="4933" w:type="dxa"/>
            <w:shd w:val="clear" w:color="auto" w:fill="F3F6FB"/>
            <w:vAlign w:val="center"/>
          </w:tcPr>
          <w:p w14:paraId="564DA993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第一、二、九至十一章</w:t>
            </w:r>
          </w:p>
        </w:tc>
      </w:tr>
      <w:tr w14:paraId="4628D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vAlign w:val="center"/>
          </w:tcPr>
          <w:p w14:paraId="50B17417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AI Scientist 架构讲解</w:t>
            </w:r>
          </w:p>
        </w:tc>
        <w:tc>
          <w:tcPr>
            <w:tcW w:w="4933" w:type="dxa"/>
            <w:vAlign w:val="center"/>
          </w:tcPr>
          <w:p w14:paraId="731D2AEF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第三至八章</w:t>
            </w:r>
          </w:p>
        </w:tc>
      </w:tr>
      <w:tr w14:paraId="211B0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shd w:val="clear" w:color="auto" w:fill="F3F6FB"/>
            <w:vAlign w:val="center"/>
          </w:tcPr>
          <w:p w14:paraId="281E61D6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真实案例</w:t>
            </w:r>
          </w:p>
        </w:tc>
        <w:tc>
          <w:tcPr>
            <w:tcW w:w="4933" w:type="dxa"/>
            <w:shd w:val="clear" w:color="auto" w:fill="F3F6FB"/>
            <w:vAlign w:val="center"/>
          </w:tcPr>
          <w:p w14:paraId="059824DA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SSD 案例及端到端运行记录</w:t>
            </w:r>
          </w:p>
        </w:tc>
      </w:tr>
      <w:tr w14:paraId="50088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vAlign w:val="center"/>
          </w:tcPr>
          <w:p w14:paraId="595E566C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核心源代码与上下文工程</w:t>
            </w:r>
          </w:p>
        </w:tc>
        <w:tc>
          <w:tcPr>
            <w:tcW w:w="4933" w:type="dxa"/>
            <w:vAlign w:val="center"/>
          </w:tcPr>
          <w:p w14:paraId="4DA42837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第五、八、十三章及 GitHub 仓库</w:t>
            </w:r>
          </w:p>
        </w:tc>
      </w:tr>
      <w:tr w14:paraId="19B8D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shd w:val="clear" w:color="auto" w:fill="F3F6FB"/>
            <w:vAlign w:val="center"/>
          </w:tcPr>
          <w:p w14:paraId="517499A6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百炼调用凭证/截图</w:t>
            </w:r>
          </w:p>
        </w:tc>
        <w:tc>
          <w:tcPr>
            <w:tcW w:w="4933" w:type="dxa"/>
            <w:shd w:val="clear" w:color="auto" w:fill="F3F6FB"/>
            <w:vAlign w:val="center"/>
          </w:tcPr>
          <w:p w14:paraId="1C55B7CD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【待补：脱敏截图与调用日志】</w:t>
            </w:r>
          </w:p>
        </w:tc>
      </w:tr>
      <w:tr w14:paraId="3F2FA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vAlign w:val="center"/>
          </w:tcPr>
          <w:p w14:paraId="466F19BF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可交互前端</w:t>
            </w:r>
          </w:p>
        </w:tc>
        <w:tc>
          <w:tcPr>
            <w:tcW w:w="4933" w:type="dxa"/>
            <w:vAlign w:val="center"/>
          </w:tcPr>
          <w:p w14:paraId="24E14293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【待补：任务页、管线页、结果页截图】</w:t>
            </w:r>
          </w:p>
        </w:tc>
      </w:tr>
      <w:tr w14:paraId="1A19B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shd w:val="clear" w:color="auto" w:fill="F3F6FB"/>
            <w:vAlign w:val="center"/>
          </w:tcPr>
          <w:p w14:paraId="625D8CC9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10分钟内演示视频</w:t>
            </w:r>
          </w:p>
        </w:tc>
        <w:tc>
          <w:tcPr>
            <w:tcW w:w="4933" w:type="dxa"/>
            <w:shd w:val="clear" w:color="auto" w:fill="F3F6FB"/>
            <w:vAlign w:val="center"/>
          </w:tcPr>
          <w:p w14:paraId="22501C23"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【待补：最终视频链接/文件名】</w:t>
            </w:r>
          </w:p>
        </w:tc>
      </w:tr>
    </w:tbl>
    <w:p w14:paraId="1456C787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16.2 最终稿必须回填</w:t>
      </w:r>
    </w:p>
    <w:p w14:paraId="4A06A0EE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GitHub 最终 commit 与代码统计；</w:t>
      </w:r>
    </w:p>
    <w:p w14:paraId="33389CE9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百炼 API 调用凭证、模型名和脱敏日志；</w:t>
      </w:r>
    </w:p>
    <w:p w14:paraId="555F70F8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Chroma/Milvus 真实连接截图；</w:t>
      </w:r>
    </w:p>
    <w:p w14:paraId="1F0DDD1C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SSD 四库数据规模与来源清单；</w:t>
      </w:r>
    </w:p>
    <w:p w14:paraId="5A9BF505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一次完整运行的 10 字段输出；</w:t>
      </w:r>
    </w:p>
    <w:p w14:paraId="44A426DA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系统测试结果和 SSD 小规模实验结果；</w:t>
      </w:r>
    </w:p>
    <w:p w14:paraId="42CB4A03">
      <w:pPr>
        <w:pStyle w:val="16"/>
        <w:spacing w:line="240" w:lineRule="auto" w:after="60"/>
      </w:pPr>
      <w:r>
        <w:rPr>
          <w:rFonts w:ascii="Times New Roman" w:hAnsi="Times New Roman" w:eastAsia="宋体" w:cs="Times New Roman"/>
        </w:rPr>
        <w:t>前端交互与人在回路截图。</w:t>
      </w:r>
    </w:p>
    <w:p w14:paraId="1BF33D54">
      <w:pPr>
        <w:pStyle w:val="4"/>
        <w:spacing w:before="200" w:after="120" w:line="240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8"/>
        </w:rPr>
        <w:t>参考资料</w:t>
      </w:r>
    </w:p>
    <w:p w14:paraId="3D50FA44">
      <w:pPr>
        <w:pStyle w:val="14"/>
        <w:spacing w:line="240" w:lineRule="auto" w:after="60"/>
      </w:pPr>
      <w:r>
        <w:rPr>
          <w:rFonts w:ascii="Times New Roman" w:hAnsi="Times New Roman" w:eastAsia="宋体" w:cs="Times New Roman"/>
        </w:rPr>
        <w:t>2026 年“挑战杯”揭榜挂帅专项赛题 XH-202619：《基于国产开源大模型的 AI Scientist 的研发与应用》。</w:t>
      </w:r>
    </w:p>
    <w:p w14:paraId="4A2E4C68">
      <w:pPr>
        <w:pStyle w:val="14"/>
        <w:spacing w:line="240" w:lineRule="auto" w:after="60"/>
      </w:pPr>
      <w:r>
        <w:rPr>
          <w:rFonts w:ascii="Times New Roman" w:hAnsi="Times New Roman" w:eastAsia="宋体" w:cs="Times New Roman"/>
        </w:rPr>
        <w:t>项目仓库：August13-B/ai-scientist，develop 分支 commit e6ab9906957a96cbad8b1b53cc75015bd692cccf，2026-09-02（含 DAG 编排、SSE 控制、RAG 检索与实验设计模块合并）。</w:t>
      </w:r>
    </w:p>
    <w:p w14:paraId="04DC04E4">
      <w:pPr>
        <w:pStyle w:val="14"/>
        <w:spacing w:line="240" w:lineRule="auto" w:after="60"/>
      </w:pPr>
      <w:r>
        <w:rPr>
          <w:rFonts w:ascii="Times New Roman" w:hAnsi="Times New Roman" w:eastAsia="宋体" w:cs="Times New Roman"/>
        </w:rPr>
        <w:t>Pan Yang et al. “Reducing Garbage Collection Overhead in SSD Based on Workload Prediction.” 11th USENIX Workshop on Hot Topics in Storage and File Systems, 2019.</w:t>
      </w:r>
    </w:p>
    <w:p w14:paraId="6C9FA979">
      <w:pPr>
        <w:pStyle w:val="14"/>
        <w:spacing w:line="240" w:lineRule="auto" w:after="60"/>
      </w:pPr>
      <w:r>
        <w:rPr>
          <w:rFonts w:ascii="Times New Roman" w:hAnsi="Times New Roman" w:eastAsia="宋体" w:cs="Times New Roman"/>
        </w:rPr>
        <w:t>Hua Yan and Qian Yao. “An Efficient File-aware Garbage Collection Algorithm for NAND Flash-based Consumer Electronics.” IEEE Transactions on Consumer Electronics, 60(4):623-627, 2014. DOI: 10.1109/TCE.2014.7027335.</w:t>
      </w:r>
    </w:p>
    <w:sectPr>
      <w:headerReference w:type="default" r:id="rId14"/>
      <w:footerReference w:type="default" r:id="rId15"/>
      <w:pgSz w:w="11906" w:h="16838"/>
      <w:pgMar w:top="964" w:right="1020" w:bottom="850" w:left="1020" w:header="720" w:footer="720" w:gutter="0"/>
      <w:cols w:space="720" w:num="1"/>
      <w:docGrid w:linePitch="360" w:charSpace="0"/>
      <w:pgNumType w:start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EA5C33">
    <w:pPr>
      <w:pStyle w:val="24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 w:cs="Times New Roman"/>
        <w:sz w:val="21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Times New Roman" w:hAnsi="Times New Roman" w:eastAsia="宋体" w:cs="Times New Roman"/>
        <w:sz w:val="18"/>
      </w:rPr>
      <w:t>基于国产开源大模型的 AI Scientist 的研发与应用 · XH-202619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6A3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uto"/>
    </w:pPr>
    <w:rPr>
      <w:rFonts w:ascii="Times New Roman" w:hAnsi="Times New Roman" w:eastAsia="宋体" w:cstheme="minorBidi"/>
      <w:b w:val="0"/>
      <w:color w:val="162033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 w:ascii="Times New Roman" w:hAnsi="Times New Roman" w:eastAsia="宋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 w:ascii="Times New Roman" w:hAnsi="Times New Roman" w:eastAsia="宋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315CBE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Times New Roman" w:hAnsi="Times New Roman" w:eastAsia="宋体"/>
      <w:b w:val="0"/>
      <w:sz w:val="24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Times New Roman" w:hAnsi="Times New Roman" w:eastAsia="宋体"/>
      <w:b w:val="0"/>
      <w:sz w:val="24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162033"/>
      <w:spacing w:val="15"/>
      <w:sz w:val="24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62033"/>
      <w:spacing w:val="5"/>
      <w:kern w:val="28"/>
      <w:sz w:val="5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Relationship Id="rId14" Type="http://schemas.openxmlformats.org/officeDocument/2006/relationships/header" Target="header1.xml"/><Relationship Id="rId1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1935</Words>
  <Characters>2209</Characters>
  <Lines>0</Lines>
  <Paragraphs>0</Paragraphs>
  <TotalTime>111</TotalTime>
  <ScaleCrop>false</ScaleCrop>
  <LinksUpToDate>false</LinksUpToDate>
  <CharactersWithSpaces>2323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-y</cp:lastModifiedBy>
  <dcterms:modified xsi:type="dcterms:W3CDTF">2026-09-01T13:56:12Z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eyJoZGlkIjoiZWE4ZGZjODBlMTFkZDJjNzQ5OGYwOTg2OGMyZjdlMjEiLCJ1c2VySWQiOiIxNDQ2NDY4NTU5In0=</vt:lpwstr>
  </property>
  <property fmtid="{D5CDD505-2E9C-101B-9397-08002B2CF9AE}" pid="3" name="KSOProductBuildVer">
    <vt:lpwstr>2052-12.1.0.28043</vt:lpwstr>
  </property>
  <property fmtid="{D5CDD505-2E9C-101B-9397-08002B2CF9AE}" pid="4" name="ICV">
    <vt:lpwstr>178817FAB1B044A7BD3C66BC01DD22C1_12</vt:lpwstr>
  </property>
</Properties>
</file>