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7D6FA8" w14:textId="77777777" w:rsidR="00A601DC" w:rsidRDefault="00A601DC" w:rsidP="00A601DC">
      <w:pPr>
        <w:spacing w:after="0" w:line="240" w:lineRule="auto"/>
        <w:jc w:val="center"/>
        <w:outlineLvl w:val="2"/>
        <w:rPr>
          <w:rFonts w:ascii="Times New Roman" w:eastAsia="Times New Roman" w:hAnsi="Times New Roman" w:cs="Times New Roman"/>
          <w:b/>
          <w:bCs/>
          <w:sz w:val="27"/>
          <w:szCs w:val="27"/>
        </w:rPr>
      </w:pPr>
      <w:r w:rsidRPr="00A601DC">
        <w:rPr>
          <w:rFonts w:ascii="Times New Roman" w:eastAsia="Times New Roman" w:hAnsi="Times New Roman" w:cs="Times New Roman"/>
          <w:b/>
          <w:bCs/>
          <w:sz w:val="27"/>
          <w:szCs w:val="27"/>
        </w:rPr>
        <w:t>Supplementary Materials for:</w:t>
      </w:r>
    </w:p>
    <w:p w14:paraId="6F313F91" w14:textId="77777777" w:rsidR="00A601DC" w:rsidRPr="00A601DC" w:rsidRDefault="00A601DC" w:rsidP="00A601D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A601DC">
        <w:rPr>
          <w:rFonts w:ascii="Times New Roman" w:eastAsia="Times New Roman" w:hAnsi="Times New Roman" w:cs="Times New Roman"/>
          <w:b/>
          <w:bCs/>
          <w:sz w:val="27"/>
          <w:szCs w:val="27"/>
        </w:rPr>
        <w:t>Satellite-Observed Poverty Resilience Along BRI Corridors in Tanzania: An Open-Source Geospatial Assessment of Infrastructure and Climate Interactions</w:t>
      </w:r>
    </w:p>
    <w:p w14:paraId="4F609F14" w14:textId="77777777" w:rsidR="00A601DC" w:rsidRPr="00A601DC" w:rsidRDefault="00A601DC" w:rsidP="00A601DC">
      <w:pPr>
        <w:spacing w:before="100" w:beforeAutospacing="1" w:after="100" w:afterAutospacing="1"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 xml:space="preserve">This comprehensive supplementary document details the complete methodologies, results, and data management frameworks used in this study. It is designed to ensure full </w:t>
      </w:r>
      <w:r w:rsidRPr="00A601DC">
        <w:rPr>
          <w:rFonts w:ascii="Times New Roman" w:eastAsia="Times New Roman" w:hAnsi="Times New Roman" w:cs="Times New Roman"/>
          <w:b/>
          <w:bCs/>
          <w:sz w:val="21"/>
          <w:szCs w:val="21"/>
        </w:rPr>
        <w:t>transparency, reproducibility, and credibility</w:t>
      </w:r>
      <w:r w:rsidRPr="00A601DC">
        <w:rPr>
          <w:rFonts w:ascii="Times New Roman" w:eastAsia="Times New Roman" w:hAnsi="Times New Roman" w:cs="Times New Roman"/>
          <w:sz w:val="21"/>
          <w:szCs w:val="21"/>
        </w:rPr>
        <w:t xml:space="preserve"> for submission to a high-impact journal.</w:t>
      </w:r>
    </w:p>
    <w:p w14:paraId="48C3906A" w14:textId="77777777" w:rsidR="00A601DC" w:rsidRPr="00A601DC" w:rsidRDefault="00A601DC" w:rsidP="00A601DC">
      <w:pPr>
        <w:spacing w:after="0" w:line="360" w:lineRule="auto"/>
        <w:jc w:val="both"/>
        <w:rPr>
          <w:rFonts w:ascii="Times New Roman" w:eastAsia="Times New Roman" w:hAnsi="Times New Roman" w:cs="Times New Roman"/>
          <w:sz w:val="24"/>
          <w:szCs w:val="24"/>
        </w:rPr>
      </w:pPr>
      <w:r w:rsidRPr="00A601DC">
        <w:rPr>
          <w:rFonts w:ascii="Times New Roman" w:eastAsia="Times New Roman" w:hAnsi="Times New Roman" w:cs="Times New Roman"/>
          <w:sz w:val="21"/>
          <w:szCs w:val="21"/>
        </w:rPr>
        <w:pict w14:anchorId="158F3373">
          <v:rect id="_x0000_i1025" style="width:0;height:1.5pt" o:hralign="center" o:hrstd="t" o:hr="t" fillcolor="#a0a0a0" stroked="f"/>
        </w:pict>
      </w:r>
    </w:p>
    <w:p w14:paraId="11881DA9" w14:textId="77777777" w:rsidR="00A601DC" w:rsidRPr="00A601DC" w:rsidRDefault="00A601DC" w:rsidP="00A601DC">
      <w:pPr>
        <w:spacing w:before="100" w:beforeAutospacing="1" w:after="100" w:afterAutospacing="1" w:line="240" w:lineRule="auto"/>
        <w:outlineLvl w:val="2"/>
        <w:rPr>
          <w:rFonts w:ascii="Times New Roman" w:eastAsia="Times New Roman" w:hAnsi="Times New Roman" w:cs="Times New Roman"/>
          <w:b/>
          <w:bCs/>
          <w:color w:val="00B050"/>
          <w:sz w:val="27"/>
          <w:szCs w:val="27"/>
        </w:rPr>
      </w:pPr>
      <w:r w:rsidRPr="00A601DC">
        <w:rPr>
          <w:rFonts w:ascii="Times New Roman" w:eastAsia="Times New Roman" w:hAnsi="Times New Roman" w:cs="Times New Roman"/>
          <w:b/>
          <w:bCs/>
          <w:color w:val="00B050"/>
          <w:sz w:val="27"/>
          <w:szCs w:val="27"/>
        </w:rPr>
        <w:t>S1: Google Earth Engine (GEE) Data Preparation &amp; Extraction</w:t>
      </w:r>
    </w:p>
    <w:p w14:paraId="2DE68622" w14:textId="77777777" w:rsidR="00A601DC" w:rsidRPr="00A601DC" w:rsidRDefault="00A601DC" w:rsidP="00A601DC">
      <w:pPr>
        <w:spacing w:before="100" w:beforeAutospacing="1" w:after="100" w:afterAutospacing="1"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This section outlines the precise, step-by-step process for acquiring and preparing foundational raster data using Google Earth Engine's (GEE) cloud-based platform. This streamlined workflow is crucial for generating a clean, multi-band dataset for subsequent analysis in Python.</w:t>
      </w:r>
    </w:p>
    <w:p w14:paraId="7FB4807E" w14:textId="77777777" w:rsidR="00A601DC" w:rsidRPr="00A601DC" w:rsidRDefault="00A601DC" w:rsidP="00A601DC">
      <w:pPr>
        <w:spacing w:before="100" w:beforeAutospacing="1" w:after="100" w:afterAutospacing="1" w:line="240" w:lineRule="auto"/>
        <w:outlineLvl w:val="3"/>
        <w:rPr>
          <w:rFonts w:ascii="Times New Roman" w:eastAsia="Times New Roman" w:hAnsi="Times New Roman" w:cs="Times New Roman"/>
          <w:b/>
          <w:bCs/>
          <w:sz w:val="24"/>
          <w:szCs w:val="24"/>
        </w:rPr>
      </w:pPr>
      <w:r w:rsidRPr="00A601DC">
        <w:rPr>
          <w:rFonts w:ascii="Times New Roman" w:eastAsia="Times New Roman" w:hAnsi="Times New Roman" w:cs="Times New Roman"/>
          <w:b/>
          <w:bCs/>
          <w:sz w:val="24"/>
          <w:szCs w:val="24"/>
        </w:rPr>
        <w:t>GEE Code Structure and Workflow</w:t>
      </w:r>
    </w:p>
    <w:p w14:paraId="4AB2602D" w14:textId="77777777" w:rsidR="00A601DC" w:rsidRPr="00A601DC" w:rsidRDefault="00A601DC" w:rsidP="00A601DC">
      <w:pPr>
        <w:spacing w:after="0"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The analysis relies on two primary JavaScript scripts executed within the GEE Code Editor: climate_resilience_index.js and tanzania_bri_dataset.js. These scripts follow a structured, server-side processing pipeline to ensure data consistency and efficiency.</w:t>
      </w:r>
    </w:p>
    <w:p w14:paraId="382088AC" w14:textId="77777777" w:rsidR="00A601DC" w:rsidRPr="00A601DC" w:rsidRDefault="00A601DC" w:rsidP="00A601DC">
      <w:pPr>
        <w:numPr>
          <w:ilvl w:val="0"/>
          <w:numId w:val="1"/>
        </w:numPr>
        <w:spacing w:after="0"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t>Define Area of Interest (AOI):</w:t>
      </w:r>
      <w:r w:rsidRPr="00A601DC">
        <w:rPr>
          <w:rFonts w:ascii="Times New Roman" w:eastAsia="Times New Roman" w:hAnsi="Times New Roman" w:cs="Times New Roman"/>
          <w:sz w:val="21"/>
          <w:szCs w:val="21"/>
        </w:rPr>
        <w:t xml:space="preserve"> All scripts begin by importing and defining the study area boundary, precisely clipping all subsequent layers to the Tanzania BRI Corridor. This ensures the analysis is geographically focused and computationally efficient.</w:t>
      </w:r>
    </w:p>
    <w:p w14:paraId="5327FEA8" w14:textId="77777777" w:rsidR="00A601DC" w:rsidRPr="00A601DC" w:rsidRDefault="00A601DC" w:rsidP="00A601DC">
      <w:pPr>
        <w:numPr>
          <w:ilvl w:val="0"/>
          <w:numId w:val="1"/>
        </w:numPr>
        <w:spacing w:after="0"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t>Image Collection and Filtering:</w:t>
      </w:r>
      <w:r w:rsidRPr="00A601DC">
        <w:rPr>
          <w:rFonts w:ascii="Times New Roman" w:eastAsia="Times New Roman" w:hAnsi="Times New Roman" w:cs="Times New Roman"/>
          <w:sz w:val="21"/>
          <w:szCs w:val="21"/>
        </w:rPr>
        <w:t xml:space="preserve"> The scripts access GEE's public data catalogs, such as ee.ImageCollection("COPERNICUS/S2_SR") for Sentinel-2. Filters are applied to select imagery based on a specific temporal range (filterDate('2017-01-01', '2024-12-31')) and to remove images with excessive cloud cover (filter(ee.Filter.lt('CLOUDY_PIXEL_PERCENTAGE', 10))).</w:t>
      </w:r>
    </w:p>
    <w:p w14:paraId="40615A82" w14:textId="77777777" w:rsidR="00A601DC" w:rsidRPr="00A601DC" w:rsidRDefault="00A601DC" w:rsidP="00A601DC">
      <w:pPr>
        <w:numPr>
          <w:ilvl w:val="0"/>
          <w:numId w:val="1"/>
        </w:numPr>
        <w:spacing w:after="0"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t>On-the-fly Variable Derivation:</w:t>
      </w:r>
      <w:r w:rsidRPr="00A601DC">
        <w:rPr>
          <w:rFonts w:ascii="Times New Roman" w:eastAsia="Times New Roman" w:hAnsi="Times New Roman" w:cs="Times New Roman"/>
          <w:sz w:val="21"/>
          <w:szCs w:val="21"/>
        </w:rPr>
        <w:t xml:space="preserve"> A core strength of the GEE workflow is the calculation of key variables directly on the platform's servers.</w:t>
      </w:r>
    </w:p>
    <w:p w14:paraId="71DA0125" w14:textId="77777777" w:rsidR="00A601DC" w:rsidRPr="00A601DC" w:rsidRDefault="00A601DC" w:rsidP="00A601DC">
      <w:pPr>
        <w:numPr>
          <w:ilvl w:val="1"/>
          <w:numId w:val="1"/>
        </w:numPr>
        <w:spacing w:after="0"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t>Normalized Difference Vegetation Index (NDVI):</w:t>
      </w:r>
      <w:r w:rsidRPr="00A601DC">
        <w:rPr>
          <w:rFonts w:ascii="Times New Roman" w:eastAsia="Times New Roman" w:hAnsi="Times New Roman" w:cs="Times New Roman"/>
          <w:sz w:val="21"/>
          <w:szCs w:val="21"/>
        </w:rPr>
        <w:t xml:space="preserve"> Calculated using the formula (NIR - Red) / (NIR + Red).</w:t>
      </w:r>
    </w:p>
    <w:p w14:paraId="536AD310" w14:textId="77777777" w:rsidR="00A601DC" w:rsidRPr="00A601DC" w:rsidRDefault="00A601DC" w:rsidP="00A601DC">
      <w:pPr>
        <w:numPr>
          <w:ilvl w:val="1"/>
          <w:numId w:val="1"/>
        </w:numPr>
        <w:spacing w:after="0"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t>Modified Normalized Difference Water Index (MNDWI):</w:t>
      </w:r>
      <w:r w:rsidRPr="00A601DC">
        <w:rPr>
          <w:rFonts w:ascii="Times New Roman" w:eastAsia="Times New Roman" w:hAnsi="Times New Roman" w:cs="Times New Roman"/>
          <w:sz w:val="21"/>
          <w:szCs w:val="21"/>
        </w:rPr>
        <w:t xml:space="preserve"> Derived as (Green - SWIR1) / (Green + SWIR1).</w:t>
      </w:r>
    </w:p>
    <w:p w14:paraId="442FF8EF" w14:textId="77777777" w:rsidR="00A601DC" w:rsidRPr="00A601DC" w:rsidRDefault="00A601DC" w:rsidP="00A601DC">
      <w:pPr>
        <w:numPr>
          <w:ilvl w:val="1"/>
          <w:numId w:val="1"/>
        </w:numPr>
        <w:spacing w:after="0"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t>Climate Resilience Index:</w:t>
      </w:r>
      <w:r w:rsidRPr="00A601DC">
        <w:rPr>
          <w:rFonts w:ascii="Times New Roman" w:eastAsia="Times New Roman" w:hAnsi="Times New Roman" w:cs="Times New Roman"/>
          <w:sz w:val="21"/>
          <w:szCs w:val="21"/>
        </w:rPr>
        <w:t xml:space="preserve"> A custom function is written to normalize WorldClim precipitation data to a 0-1 scale.</w:t>
      </w:r>
    </w:p>
    <w:p w14:paraId="7F6DC6C8" w14:textId="77777777" w:rsidR="00A601DC" w:rsidRPr="00A601DC" w:rsidRDefault="00A601DC" w:rsidP="00A601DC">
      <w:pPr>
        <w:numPr>
          <w:ilvl w:val="0"/>
          <w:numId w:val="1"/>
        </w:numPr>
        <w:spacing w:after="0"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lastRenderedPageBreak/>
        <w:t>Image Stacking and Alignment:</w:t>
      </w:r>
      <w:r w:rsidRPr="00A601DC">
        <w:rPr>
          <w:rFonts w:ascii="Times New Roman" w:eastAsia="Times New Roman" w:hAnsi="Times New Roman" w:cs="Times New Roman"/>
          <w:sz w:val="21"/>
          <w:szCs w:val="21"/>
        </w:rPr>
        <w:t xml:space="preserve"> All derived raster layers (NDVI, MNDWI, nighttime lights, rainfall, population density, and elevation) are combined into a single, perfectly aligned, multi-band image stack. The bands are explicitly renamed for clarity (e.g., 'NDVI', 'MNDWI', 'NTL').</w:t>
      </w:r>
    </w:p>
    <w:p w14:paraId="316FDE51" w14:textId="77777777" w:rsidR="00A601DC" w:rsidRPr="00A601DC" w:rsidRDefault="00A601DC" w:rsidP="00A601DC">
      <w:pPr>
        <w:numPr>
          <w:ilvl w:val="0"/>
          <w:numId w:val="1"/>
        </w:numPr>
        <w:spacing w:before="100" w:beforeAutospacing="1" w:after="100" w:afterAutospacing="1"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t>Data Export:</w:t>
      </w:r>
      <w:r w:rsidRPr="00A601DC">
        <w:rPr>
          <w:rFonts w:ascii="Times New Roman" w:eastAsia="Times New Roman" w:hAnsi="Times New Roman" w:cs="Times New Roman"/>
          <w:sz w:val="21"/>
          <w:szCs w:val="21"/>
        </w:rPr>
        <w:t xml:space="preserve"> The final multi-band image is exported to Google Drive as a </w:t>
      </w:r>
      <w:r w:rsidRPr="00A601DC">
        <w:rPr>
          <w:rFonts w:ascii="Times New Roman" w:eastAsia="Times New Roman" w:hAnsi="Times New Roman" w:cs="Times New Roman"/>
          <w:b/>
          <w:bCs/>
          <w:sz w:val="21"/>
          <w:szCs w:val="21"/>
        </w:rPr>
        <w:t>GeoTIFF</w:t>
      </w:r>
      <w:r w:rsidRPr="00A601DC">
        <w:rPr>
          <w:rFonts w:ascii="Times New Roman" w:eastAsia="Times New Roman" w:hAnsi="Times New Roman" w:cs="Times New Roman"/>
          <w:sz w:val="21"/>
          <w:szCs w:val="21"/>
        </w:rPr>
        <w:t xml:space="preserve"> file using the Export.image.toDrive() function, specifying the desired spatial resolution (e.g., 500m grid cells). This GeoTIFF file is the foundational data input for all subsequent Python-based analyses.</w:t>
      </w:r>
    </w:p>
    <w:p w14:paraId="2BB0A66A" w14:textId="77777777" w:rsidR="00A601DC" w:rsidRPr="00A601DC" w:rsidRDefault="00A601DC" w:rsidP="00A601DC">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pict w14:anchorId="31B59187">
          <v:rect id="_x0000_i1026" style="width:0;height:1.5pt" o:hralign="center" o:hrstd="t" o:hr="t" fillcolor="#a0a0a0" stroked="f"/>
        </w:pict>
      </w:r>
    </w:p>
    <w:p w14:paraId="32ECF3F2" w14:textId="77777777" w:rsidR="00A601DC" w:rsidRPr="00A601DC" w:rsidRDefault="00A601DC" w:rsidP="00A601DC">
      <w:pPr>
        <w:spacing w:before="100" w:beforeAutospacing="1" w:after="100" w:afterAutospacing="1" w:line="240" w:lineRule="auto"/>
        <w:outlineLvl w:val="2"/>
        <w:rPr>
          <w:rFonts w:ascii="Times New Roman" w:eastAsia="Times New Roman" w:hAnsi="Times New Roman" w:cs="Times New Roman"/>
          <w:b/>
          <w:bCs/>
          <w:color w:val="7030A0"/>
          <w:sz w:val="27"/>
          <w:szCs w:val="27"/>
        </w:rPr>
      </w:pPr>
      <w:r w:rsidRPr="00A601DC">
        <w:rPr>
          <w:rFonts w:ascii="Times New Roman" w:eastAsia="Times New Roman" w:hAnsi="Times New Roman" w:cs="Times New Roman"/>
          <w:b/>
          <w:bCs/>
          <w:color w:val="7030A0"/>
          <w:sz w:val="27"/>
          <w:szCs w:val="27"/>
        </w:rPr>
        <w:t>S2: Python Scripts for Modeling and Visualization</w:t>
      </w:r>
    </w:p>
    <w:p w14:paraId="475750AC" w14:textId="77777777" w:rsidR="00A601DC" w:rsidRPr="00A601DC" w:rsidRDefault="00A601DC" w:rsidP="00A601DC">
      <w:pPr>
        <w:spacing w:before="100" w:beforeAutospacing="1" w:after="100" w:afterAutospacing="1" w:line="240" w:lineRule="auto"/>
        <w:jc w:val="both"/>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This section details the Python scripts used for the core statistical analysis and geospatial visualization. The scripts are well-documented and leverage a structured project repository for reproducibility.</w:t>
      </w:r>
    </w:p>
    <w:p w14:paraId="7BBEB471" w14:textId="77777777" w:rsidR="00A601DC" w:rsidRPr="00A601DC" w:rsidRDefault="00A601DC" w:rsidP="00A601DC">
      <w:pPr>
        <w:spacing w:before="100" w:beforeAutospacing="1" w:after="100" w:afterAutospacing="1" w:line="240" w:lineRule="auto"/>
        <w:outlineLvl w:val="3"/>
        <w:rPr>
          <w:rFonts w:ascii="Times New Roman" w:eastAsia="Times New Roman" w:hAnsi="Times New Roman" w:cs="Times New Roman"/>
          <w:b/>
          <w:bCs/>
          <w:sz w:val="24"/>
          <w:szCs w:val="24"/>
        </w:rPr>
      </w:pPr>
      <w:r w:rsidRPr="00A601DC">
        <w:rPr>
          <w:rFonts w:ascii="Times New Roman" w:eastAsia="Times New Roman" w:hAnsi="Times New Roman" w:cs="Times New Roman"/>
          <w:b/>
          <w:bCs/>
          <w:sz w:val="24"/>
          <w:szCs w:val="24"/>
        </w:rPr>
        <w:t>Detailed Model Results and Analysis</w:t>
      </w:r>
    </w:p>
    <w:p w14:paraId="5E1D4AB6" w14:textId="77777777" w:rsidR="00A601DC" w:rsidRPr="00A601DC" w:rsidRDefault="00A601DC" w:rsidP="00A601DC">
      <w:pPr>
        <w:spacing w:before="100" w:beforeAutospacing="1" w:after="100" w:afterAutospacing="1"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All spatial models were implemented in Python, leveraging powerful libraries for spatial econometrics. The complete regression outputs are provided below.</w:t>
      </w:r>
    </w:p>
    <w:p w14:paraId="24C8051B" w14:textId="77777777" w:rsidR="00A601DC" w:rsidRPr="00A601DC" w:rsidRDefault="00A601DC" w:rsidP="00A601DC">
      <w:pPr>
        <w:numPr>
          <w:ilvl w:val="0"/>
          <w:numId w:val="2"/>
        </w:numPr>
        <w:spacing w:before="100" w:beforeAutospacing="1" w:after="100" w:afterAutospacing="1"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t>Spatial Durbin Model (SDM) Results</w:t>
      </w:r>
      <w:r w:rsidRPr="00A601DC">
        <w:rPr>
          <w:rFonts w:ascii="Times New Roman" w:eastAsia="Times New Roman" w:hAnsi="Times New Roman" w:cs="Times New Roman"/>
          <w:sz w:val="21"/>
          <w:szCs w:val="21"/>
        </w:rPr>
        <w:t xml:space="preserve"> The SDM was the primary model, accounting for both direct and spatially-lagged effects. It demonstrated an excellent fit (</w:t>
      </w:r>
      <w:r w:rsidRPr="00A601DC">
        <w:rPr>
          <w:rFonts w:ascii="Times New Roman" w:eastAsia="Times New Roman" w:hAnsi="Times New Roman" w:cs="Times New Roman"/>
          <w:b/>
          <w:bCs/>
          <w:sz w:val="21"/>
          <w:szCs w:val="21"/>
        </w:rPr>
        <w:t>Pseudo R-squared of 0.8822</w:t>
      </w:r>
      <w:r w:rsidRPr="00A601DC">
        <w:rPr>
          <w:rFonts w:ascii="Times New Roman" w:eastAsia="Times New Roman" w:hAnsi="Times New Roman" w:cs="Times New Roman"/>
          <w:sz w:val="21"/>
          <w:szCs w:val="21"/>
        </w:rPr>
        <w:t>) and a highly significant spatial lag variable (</w:t>
      </w:r>
      <w:r w:rsidRPr="00A601DC">
        <w:rPr>
          <w:rFonts w:ascii="Courier New" w:eastAsia="Times New Roman" w:hAnsi="Courier New" w:cs="Courier New"/>
          <w:sz w:val="21"/>
          <w:szCs w:val="21"/>
        </w:rPr>
        <w:t>W_Economic_Activity_NTL, p=0.00159</w:t>
      </w:r>
      <w:r w:rsidRPr="00A601DC">
        <w:rPr>
          <w:rFonts w:ascii="Times New Roman" w:eastAsia="Times New Roman" w:hAnsi="Times New Roman" w:cs="Times New Roman"/>
          <w:sz w:val="21"/>
          <w:szCs w:val="21"/>
        </w:rPr>
        <w:t>), confirming the presence of strong spatial spillovers in economic activity.</w:t>
      </w:r>
    </w:p>
    <w:tbl>
      <w:tblPr>
        <w:tblW w:w="9384" w:type="dxa"/>
        <w:tblCellSpacing w:w="15" w:type="dxa"/>
        <w:tblCellMar>
          <w:top w:w="15" w:type="dxa"/>
          <w:left w:w="15" w:type="dxa"/>
          <w:bottom w:w="15" w:type="dxa"/>
          <w:right w:w="15" w:type="dxa"/>
        </w:tblCellMar>
        <w:tblLook w:val="04A0" w:firstRow="1" w:lastRow="0" w:firstColumn="1" w:lastColumn="0" w:noHBand="0" w:noVBand="1"/>
      </w:tblPr>
      <w:tblGrid>
        <w:gridCol w:w="3769"/>
        <w:gridCol w:w="1487"/>
        <w:gridCol w:w="1313"/>
        <w:gridCol w:w="1330"/>
        <w:gridCol w:w="1485"/>
      </w:tblGrid>
      <w:tr w:rsidR="00A601DC" w:rsidRPr="00A601DC" w14:paraId="36A5AF88" w14:textId="77777777" w:rsidTr="00A601DC">
        <w:trPr>
          <w:trHeight w:val="285"/>
          <w:tblHeader/>
          <w:tblCellSpacing w:w="15" w:type="dxa"/>
        </w:trPr>
        <w:tc>
          <w:tcPr>
            <w:tcW w:w="0" w:type="auto"/>
            <w:tcBorders>
              <w:top w:val="single" w:sz="4" w:space="0" w:color="auto"/>
              <w:bottom w:val="single" w:sz="4" w:space="0" w:color="auto"/>
            </w:tcBorders>
            <w:vAlign w:val="center"/>
            <w:hideMark/>
          </w:tcPr>
          <w:p w14:paraId="2878A03F"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Variable</w:t>
            </w:r>
          </w:p>
        </w:tc>
        <w:tc>
          <w:tcPr>
            <w:tcW w:w="0" w:type="auto"/>
            <w:tcBorders>
              <w:top w:val="single" w:sz="4" w:space="0" w:color="auto"/>
              <w:bottom w:val="single" w:sz="4" w:space="0" w:color="auto"/>
            </w:tcBorders>
            <w:vAlign w:val="center"/>
            <w:hideMark/>
          </w:tcPr>
          <w:p w14:paraId="36A856A5"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Coefficient</w:t>
            </w:r>
          </w:p>
        </w:tc>
        <w:tc>
          <w:tcPr>
            <w:tcW w:w="0" w:type="auto"/>
            <w:tcBorders>
              <w:top w:val="single" w:sz="4" w:space="0" w:color="auto"/>
              <w:bottom w:val="single" w:sz="4" w:space="0" w:color="auto"/>
            </w:tcBorders>
            <w:vAlign w:val="center"/>
            <w:hideMark/>
          </w:tcPr>
          <w:p w14:paraId="7310D5E6"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Std. Error</w:t>
            </w:r>
          </w:p>
        </w:tc>
        <w:tc>
          <w:tcPr>
            <w:tcW w:w="0" w:type="auto"/>
            <w:tcBorders>
              <w:top w:val="single" w:sz="4" w:space="0" w:color="auto"/>
              <w:bottom w:val="single" w:sz="4" w:space="0" w:color="auto"/>
            </w:tcBorders>
            <w:vAlign w:val="center"/>
            <w:hideMark/>
          </w:tcPr>
          <w:p w14:paraId="67EAD037"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z-Statistic</w:t>
            </w:r>
          </w:p>
        </w:tc>
        <w:tc>
          <w:tcPr>
            <w:tcW w:w="0" w:type="auto"/>
            <w:tcBorders>
              <w:top w:val="single" w:sz="4" w:space="0" w:color="auto"/>
              <w:bottom w:val="single" w:sz="4" w:space="0" w:color="auto"/>
            </w:tcBorders>
            <w:vAlign w:val="center"/>
            <w:hideMark/>
          </w:tcPr>
          <w:p w14:paraId="3642AAF8"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Probability</w:t>
            </w:r>
          </w:p>
        </w:tc>
      </w:tr>
      <w:tr w:rsidR="00A601DC" w:rsidRPr="00A601DC" w14:paraId="3AC41E67" w14:textId="77777777" w:rsidTr="00A601DC">
        <w:trPr>
          <w:trHeight w:val="298"/>
          <w:tblCellSpacing w:w="15" w:type="dxa"/>
        </w:trPr>
        <w:tc>
          <w:tcPr>
            <w:tcW w:w="0" w:type="auto"/>
            <w:vAlign w:val="center"/>
            <w:hideMark/>
          </w:tcPr>
          <w:p w14:paraId="0D4BBA2B"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CONSTANT</w:t>
            </w:r>
          </w:p>
        </w:tc>
        <w:tc>
          <w:tcPr>
            <w:tcW w:w="0" w:type="auto"/>
            <w:vAlign w:val="center"/>
            <w:hideMark/>
          </w:tcPr>
          <w:p w14:paraId="2D31BB38"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0.50329</w:t>
            </w:r>
          </w:p>
        </w:tc>
        <w:tc>
          <w:tcPr>
            <w:tcW w:w="0" w:type="auto"/>
            <w:vAlign w:val="center"/>
            <w:hideMark/>
          </w:tcPr>
          <w:p w14:paraId="67E824A4"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0.17017</w:t>
            </w:r>
          </w:p>
        </w:tc>
        <w:tc>
          <w:tcPr>
            <w:tcW w:w="0" w:type="auto"/>
            <w:vAlign w:val="center"/>
            <w:hideMark/>
          </w:tcPr>
          <w:p w14:paraId="4FD2847D"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2.95760</w:t>
            </w:r>
          </w:p>
        </w:tc>
        <w:tc>
          <w:tcPr>
            <w:tcW w:w="0" w:type="auto"/>
            <w:vAlign w:val="center"/>
            <w:hideMark/>
          </w:tcPr>
          <w:p w14:paraId="5A31923D"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t>0.00310</w:t>
            </w:r>
          </w:p>
        </w:tc>
      </w:tr>
      <w:tr w:rsidR="00A601DC" w:rsidRPr="00A601DC" w14:paraId="06FAA853" w14:textId="77777777" w:rsidTr="00A601DC">
        <w:trPr>
          <w:trHeight w:val="298"/>
          <w:tblCellSpacing w:w="15" w:type="dxa"/>
        </w:trPr>
        <w:tc>
          <w:tcPr>
            <w:tcW w:w="0" w:type="auto"/>
            <w:vAlign w:val="center"/>
            <w:hideMark/>
          </w:tcPr>
          <w:p w14:paraId="10CF3302"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NDVI</w:t>
            </w:r>
          </w:p>
        </w:tc>
        <w:tc>
          <w:tcPr>
            <w:tcW w:w="0" w:type="auto"/>
            <w:vAlign w:val="center"/>
            <w:hideMark/>
          </w:tcPr>
          <w:p w14:paraId="77E4822E"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-1.34078</w:t>
            </w:r>
          </w:p>
        </w:tc>
        <w:tc>
          <w:tcPr>
            <w:tcW w:w="0" w:type="auto"/>
            <w:vAlign w:val="center"/>
            <w:hideMark/>
          </w:tcPr>
          <w:p w14:paraId="1463103B"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0.34694</w:t>
            </w:r>
          </w:p>
        </w:tc>
        <w:tc>
          <w:tcPr>
            <w:tcW w:w="0" w:type="auto"/>
            <w:vAlign w:val="center"/>
            <w:hideMark/>
          </w:tcPr>
          <w:p w14:paraId="3772621A"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-3.86465</w:t>
            </w:r>
          </w:p>
        </w:tc>
        <w:tc>
          <w:tcPr>
            <w:tcW w:w="0" w:type="auto"/>
            <w:vAlign w:val="center"/>
            <w:hideMark/>
          </w:tcPr>
          <w:p w14:paraId="3A2A61E7"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t>0.00011</w:t>
            </w:r>
          </w:p>
        </w:tc>
      </w:tr>
      <w:tr w:rsidR="00A601DC" w:rsidRPr="00A601DC" w14:paraId="3E81B58D" w14:textId="77777777" w:rsidTr="00A601DC">
        <w:trPr>
          <w:trHeight w:val="285"/>
          <w:tblCellSpacing w:w="15" w:type="dxa"/>
        </w:trPr>
        <w:tc>
          <w:tcPr>
            <w:tcW w:w="0" w:type="auto"/>
            <w:vAlign w:val="center"/>
            <w:hideMark/>
          </w:tcPr>
          <w:p w14:paraId="59181D9E"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MNDWI</w:t>
            </w:r>
          </w:p>
        </w:tc>
        <w:tc>
          <w:tcPr>
            <w:tcW w:w="0" w:type="auto"/>
            <w:vAlign w:val="center"/>
            <w:hideMark/>
          </w:tcPr>
          <w:p w14:paraId="0D350959"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0.18428</w:t>
            </w:r>
          </w:p>
        </w:tc>
        <w:tc>
          <w:tcPr>
            <w:tcW w:w="0" w:type="auto"/>
            <w:vAlign w:val="center"/>
            <w:hideMark/>
          </w:tcPr>
          <w:p w14:paraId="46B451BB"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0.31684</w:t>
            </w:r>
          </w:p>
        </w:tc>
        <w:tc>
          <w:tcPr>
            <w:tcW w:w="0" w:type="auto"/>
            <w:vAlign w:val="center"/>
            <w:hideMark/>
          </w:tcPr>
          <w:p w14:paraId="0EB047D5"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0.58163</w:t>
            </w:r>
          </w:p>
        </w:tc>
        <w:tc>
          <w:tcPr>
            <w:tcW w:w="0" w:type="auto"/>
            <w:vAlign w:val="center"/>
            <w:hideMark/>
          </w:tcPr>
          <w:p w14:paraId="1BC06224"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0.56081</w:t>
            </w:r>
          </w:p>
        </w:tc>
      </w:tr>
      <w:tr w:rsidR="00A601DC" w:rsidRPr="00A601DC" w14:paraId="4E94DE4A" w14:textId="77777777" w:rsidTr="00A601DC">
        <w:trPr>
          <w:trHeight w:val="298"/>
          <w:tblCellSpacing w:w="15" w:type="dxa"/>
        </w:trPr>
        <w:tc>
          <w:tcPr>
            <w:tcW w:w="0" w:type="auto"/>
            <w:vAlign w:val="center"/>
            <w:hideMark/>
          </w:tcPr>
          <w:p w14:paraId="111EBE17"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Resilience</w:t>
            </w:r>
          </w:p>
        </w:tc>
        <w:tc>
          <w:tcPr>
            <w:tcW w:w="0" w:type="auto"/>
            <w:vAlign w:val="center"/>
            <w:hideMark/>
          </w:tcPr>
          <w:p w14:paraId="636F1FFE"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0.00002</w:t>
            </w:r>
          </w:p>
        </w:tc>
        <w:tc>
          <w:tcPr>
            <w:tcW w:w="0" w:type="auto"/>
            <w:vAlign w:val="center"/>
            <w:hideMark/>
          </w:tcPr>
          <w:p w14:paraId="392B307C"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0.00005</w:t>
            </w:r>
          </w:p>
        </w:tc>
        <w:tc>
          <w:tcPr>
            <w:tcW w:w="0" w:type="auto"/>
            <w:vAlign w:val="center"/>
            <w:hideMark/>
          </w:tcPr>
          <w:p w14:paraId="48EFDD63"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0.45924</w:t>
            </w:r>
          </w:p>
        </w:tc>
        <w:tc>
          <w:tcPr>
            <w:tcW w:w="0" w:type="auto"/>
            <w:vAlign w:val="center"/>
            <w:hideMark/>
          </w:tcPr>
          <w:p w14:paraId="350CFEB9"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0.64606</w:t>
            </w:r>
          </w:p>
        </w:tc>
      </w:tr>
      <w:tr w:rsidR="00A601DC" w:rsidRPr="00A601DC" w14:paraId="439E853B" w14:textId="77777777" w:rsidTr="00A601DC">
        <w:trPr>
          <w:trHeight w:val="298"/>
          <w:tblCellSpacing w:w="15" w:type="dxa"/>
        </w:trPr>
        <w:tc>
          <w:tcPr>
            <w:tcW w:w="0" w:type="auto"/>
            <w:vAlign w:val="center"/>
            <w:hideMark/>
          </w:tcPr>
          <w:p w14:paraId="4020A9FB"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Pop_Density</w:t>
            </w:r>
          </w:p>
        </w:tc>
        <w:tc>
          <w:tcPr>
            <w:tcW w:w="0" w:type="auto"/>
            <w:vAlign w:val="center"/>
            <w:hideMark/>
          </w:tcPr>
          <w:p w14:paraId="4025C7A4"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-0.13882</w:t>
            </w:r>
          </w:p>
        </w:tc>
        <w:tc>
          <w:tcPr>
            <w:tcW w:w="0" w:type="auto"/>
            <w:vAlign w:val="center"/>
            <w:hideMark/>
          </w:tcPr>
          <w:p w14:paraId="0468C708"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0.03893</w:t>
            </w:r>
          </w:p>
        </w:tc>
        <w:tc>
          <w:tcPr>
            <w:tcW w:w="0" w:type="auto"/>
            <w:vAlign w:val="center"/>
            <w:hideMark/>
          </w:tcPr>
          <w:p w14:paraId="42A83953"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-3.56597</w:t>
            </w:r>
          </w:p>
        </w:tc>
        <w:tc>
          <w:tcPr>
            <w:tcW w:w="0" w:type="auto"/>
            <w:vAlign w:val="center"/>
            <w:hideMark/>
          </w:tcPr>
          <w:p w14:paraId="4AAC0091"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t>0.00036</w:t>
            </w:r>
          </w:p>
        </w:tc>
      </w:tr>
      <w:tr w:rsidR="00A601DC" w:rsidRPr="00A601DC" w14:paraId="6305A9A0" w14:textId="77777777" w:rsidTr="00A601DC">
        <w:trPr>
          <w:trHeight w:val="298"/>
          <w:tblCellSpacing w:w="15" w:type="dxa"/>
        </w:trPr>
        <w:tc>
          <w:tcPr>
            <w:tcW w:w="0" w:type="auto"/>
            <w:vAlign w:val="center"/>
            <w:hideMark/>
          </w:tcPr>
          <w:p w14:paraId="3369F802"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Rainfall</w:t>
            </w:r>
          </w:p>
        </w:tc>
        <w:tc>
          <w:tcPr>
            <w:tcW w:w="0" w:type="auto"/>
            <w:vAlign w:val="center"/>
            <w:hideMark/>
          </w:tcPr>
          <w:p w14:paraId="035C3AD3"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0.07079</w:t>
            </w:r>
          </w:p>
        </w:tc>
        <w:tc>
          <w:tcPr>
            <w:tcW w:w="0" w:type="auto"/>
            <w:vAlign w:val="center"/>
            <w:hideMark/>
          </w:tcPr>
          <w:p w14:paraId="044958D1"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0.00155</w:t>
            </w:r>
          </w:p>
        </w:tc>
        <w:tc>
          <w:tcPr>
            <w:tcW w:w="0" w:type="auto"/>
            <w:vAlign w:val="center"/>
            <w:hideMark/>
          </w:tcPr>
          <w:p w14:paraId="0CE10B31"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45.67518</w:t>
            </w:r>
          </w:p>
        </w:tc>
        <w:tc>
          <w:tcPr>
            <w:tcW w:w="0" w:type="auto"/>
            <w:vAlign w:val="center"/>
            <w:hideMark/>
          </w:tcPr>
          <w:p w14:paraId="3077124C"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t>0.00000</w:t>
            </w:r>
          </w:p>
        </w:tc>
      </w:tr>
      <w:tr w:rsidR="00A601DC" w:rsidRPr="00A601DC" w14:paraId="6382CF0A" w14:textId="77777777" w:rsidTr="00A601DC">
        <w:trPr>
          <w:trHeight w:val="298"/>
          <w:tblCellSpacing w:w="15" w:type="dxa"/>
        </w:trPr>
        <w:tc>
          <w:tcPr>
            <w:tcW w:w="0" w:type="auto"/>
            <w:vAlign w:val="center"/>
            <w:hideMark/>
          </w:tcPr>
          <w:p w14:paraId="6B494BEB"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NTL_NDVI_Interaction</w:t>
            </w:r>
          </w:p>
        </w:tc>
        <w:tc>
          <w:tcPr>
            <w:tcW w:w="0" w:type="auto"/>
            <w:vAlign w:val="center"/>
            <w:hideMark/>
          </w:tcPr>
          <w:p w14:paraId="75F26CAE"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6.44236</w:t>
            </w:r>
          </w:p>
        </w:tc>
        <w:tc>
          <w:tcPr>
            <w:tcW w:w="0" w:type="auto"/>
            <w:vAlign w:val="center"/>
            <w:hideMark/>
          </w:tcPr>
          <w:p w14:paraId="70404838"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0.09081</w:t>
            </w:r>
          </w:p>
        </w:tc>
        <w:tc>
          <w:tcPr>
            <w:tcW w:w="0" w:type="auto"/>
            <w:vAlign w:val="center"/>
            <w:hideMark/>
          </w:tcPr>
          <w:p w14:paraId="6D1F73AB"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70.94562</w:t>
            </w:r>
          </w:p>
        </w:tc>
        <w:tc>
          <w:tcPr>
            <w:tcW w:w="0" w:type="auto"/>
            <w:vAlign w:val="center"/>
            <w:hideMark/>
          </w:tcPr>
          <w:p w14:paraId="6AA5538A"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t>0.00000</w:t>
            </w:r>
          </w:p>
        </w:tc>
      </w:tr>
      <w:tr w:rsidR="00A601DC" w:rsidRPr="00A601DC" w14:paraId="2BCEB0AC" w14:textId="77777777" w:rsidTr="00A601DC">
        <w:trPr>
          <w:trHeight w:val="285"/>
          <w:tblCellSpacing w:w="15" w:type="dxa"/>
        </w:trPr>
        <w:tc>
          <w:tcPr>
            <w:tcW w:w="0" w:type="auto"/>
            <w:tcBorders>
              <w:bottom w:val="single" w:sz="4" w:space="0" w:color="auto"/>
            </w:tcBorders>
            <w:vAlign w:val="center"/>
            <w:hideMark/>
          </w:tcPr>
          <w:p w14:paraId="2C4DA0C7"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W_Economic_Activity_NTL</w:t>
            </w:r>
          </w:p>
        </w:tc>
        <w:tc>
          <w:tcPr>
            <w:tcW w:w="0" w:type="auto"/>
            <w:tcBorders>
              <w:bottom w:val="single" w:sz="4" w:space="0" w:color="auto"/>
            </w:tcBorders>
            <w:vAlign w:val="center"/>
            <w:hideMark/>
          </w:tcPr>
          <w:p w14:paraId="391DCC95"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0.04664</w:t>
            </w:r>
          </w:p>
        </w:tc>
        <w:tc>
          <w:tcPr>
            <w:tcW w:w="0" w:type="auto"/>
            <w:tcBorders>
              <w:bottom w:val="single" w:sz="4" w:space="0" w:color="auto"/>
            </w:tcBorders>
            <w:vAlign w:val="center"/>
            <w:hideMark/>
          </w:tcPr>
          <w:p w14:paraId="473E453F"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0.01477</w:t>
            </w:r>
          </w:p>
        </w:tc>
        <w:tc>
          <w:tcPr>
            <w:tcW w:w="0" w:type="auto"/>
            <w:tcBorders>
              <w:bottom w:val="single" w:sz="4" w:space="0" w:color="auto"/>
            </w:tcBorders>
            <w:vAlign w:val="center"/>
            <w:hideMark/>
          </w:tcPr>
          <w:p w14:paraId="3AF368EA"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3.15702</w:t>
            </w:r>
          </w:p>
        </w:tc>
        <w:tc>
          <w:tcPr>
            <w:tcW w:w="0" w:type="auto"/>
            <w:tcBorders>
              <w:bottom w:val="single" w:sz="4" w:space="0" w:color="auto"/>
            </w:tcBorders>
            <w:vAlign w:val="center"/>
            <w:hideMark/>
          </w:tcPr>
          <w:p w14:paraId="270CA97C" w14:textId="77777777" w:rsidR="00A601DC" w:rsidRPr="00A601DC" w:rsidRDefault="00A601DC" w:rsidP="001346B4">
            <w:pPr>
              <w:spacing w:after="0" w:line="360" w:lineRule="auto"/>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t>0.00159</w:t>
            </w:r>
          </w:p>
        </w:tc>
      </w:tr>
    </w:tbl>
    <w:p w14:paraId="335C79EC" w14:textId="6261D752" w:rsidR="00A601DC" w:rsidRPr="00A601DC" w:rsidRDefault="00A601DC" w:rsidP="00A601DC">
      <w:pPr>
        <w:numPr>
          <w:ilvl w:val="0"/>
          <w:numId w:val="3"/>
        </w:numPr>
        <w:spacing w:before="100" w:beforeAutospacing="1" w:after="100" w:afterAutospacing="1"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lastRenderedPageBreak/>
        <w:t>Spatial Autoregressive (SAR) Model Results</w:t>
      </w:r>
      <w:r w:rsidR="007D3F41">
        <w:rPr>
          <w:rFonts w:ascii="Times New Roman" w:eastAsia="Times New Roman" w:hAnsi="Times New Roman" w:cs="Times New Roman"/>
          <w:b/>
          <w:bCs/>
          <w:sz w:val="21"/>
          <w:szCs w:val="21"/>
        </w:rPr>
        <w:t>.</w:t>
      </w:r>
      <w:r w:rsidRPr="00A601DC">
        <w:rPr>
          <w:rFonts w:ascii="Times New Roman" w:eastAsia="Times New Roman" w:hAnsi="Times New Roman" w:cs="Times New Roman"/>
          <w:sz w:val="21"/>
          <w:szCs w:val="21"/>
        </w:rPr>
        <w:t xml:space="preserve"> T</w:t>
      </w:r>
      <w:bookmarkStart w:id="0" w:name="_GoBack"/>
      <w:bookmarkEnd w:id="0"/>
      <w:r w:rsidRPr="00A601DC">
        <w:rPr>
          <w:rFonts w:ascii="Times New Roman" w:eastAsia="Times New Roman" w:hAnsi="Times New Roman" w:cs="Times New Roman"/>
          <w:sz w:val="21"/>
          <w:szCs w:val="21"/>
        </w:rPr>
        <w:t>he SAR model was run for comparative purposes, revealing a significant spatial autoregressive coefficient (</w:t>
      </w:r>
      <w:r w:rsidRPr="00A601DC">
        <w:rPr>
          <w:rFonts w:ascii="Courier New" w:eastAsia="Times New Roman" w:hAnsi="Courier New" w:cs="Courier New"/>
          <w:sz w:val="21"/>
          <w:szCs w:val="21"/>
        </w:rPr>
        <w:t>Rho (ρ) = 0.25876</w:t>
      </w:r>
      <w:r w:rsidRPr="00A601DC">
        <w:rPr>
          <w:rFonts w:ascii="Times New Roman" w:eastAsia="Times New Roman" w:hAnsi="Times New Roman" w:cs="Times New Roman"/>
          <w:sz w:val="21"/>
          <w:szCs w:val="21"/>
        </w:rPr>
        <w:t>). This confirmed that spatial dependence was a key feature of the dataset.</w:t>
      </w:r>
    </w:p>
    <w:tbl>
      <w:tblPr>
        <w:tblW w:w="9786" w:type="dxa"/>
        <w:tblCellSpacing w:w="15" w:type="dxa"/>
        <w:tblCellMar>
          <w:top w:w="15" w:type="dxa"/>
          <w:left w:w="15" w:type="dxa"/>
          <w:bottom w:w="15" w:type="dxa"/>
          <w:right w:w="15" w:type="dxa"/>
        </w:tblCellMar>
        <w:tblLook w:val="04A0" w:firstRow="1" w:lastRow="0" w:firstColumn="1" w:lastColumn="0" w:noHBand="0" w:noVBand="1"/>
      </w:tblPr>
      <w:tblGrid>
        <w:gridCol w:w="2341"/>
        <w:gridCol w:w="1974"/>
        <w:gridCol w:w="1741"/>
        <w:gridCol w:w="1764"/>
        <w:gridCol w:w="1966"/>
      </w:tblGrid>
      <w:tr w:rsidR="00A601DC" w:rsidRPr="00A601DC" w14:paraId="4B54FEB9" w14:textId="77777777" w:rsidTr="00A601DC">
        <w:trPr>
          <w:trHeight w:val="284"/>
          <w:tblHeader/>
          <w:tblCellSpacing w:w="15" w:type="dxa"/>
        </w:trPr>
        <w:tc>
          <w:tcPr>
            <w:tcW w:w="0" w:type="auto"/>
            <w:tcBorders>
              <w:top w:val="single" w:sz="4" w:space="0" w:color="auto"/>
              <w:bottom w:val="single" w:sz="4" w:space="0" w:color="auto"/>
            </w:tcBorders>
            <w:vAlign w:val="center"/>
            <w:hideMark/>
          </w:tcPr>
          <w:p w14:paraId="7DBE187D"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Variable</w:t>
            </w:r>
          </w:p>
        </w:tc>
        <w:tc>
          <w:tcPr>
            <w:tcW w:w="0" w:type="auto"/>
            <w:tcBorders>
              <w:top w:val="single" w:sz="4" w:space="0" w:color="auto"/>
              <w:bottom w:val="single" w:sz="4" w:space="0" w:color="auto"/>
            </w:tcBorders>
            <w:vAlign w:val="center"/>
            <w:hideMark/>
          </w:tcPr>
          <w:p w14:paraId="00BE77BD"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Coefficient</w:t>
            </w:r>
          </w:p>
        </w:tc>
        <w:tc>
          <w:tcPr>
            <w:tcW w:w="0" w:type="auto"/>
            <w:tcBorders>
              <w:top w:val="single" w:sz="4" w:space="0" w:color="auto"/>
              <w:bottom w:val="single" w:sz="4" w:space="0" w:color="auto"/>
            </w:tcBorders>
            <w:vAlign w:val="center"/>
            <w:hideMark/>
          </w:tcPr>
          <w:p w14:paraId="260438BF"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Std. Error</w:t>
            </w:r>
          </w:p>
        </w:tc>
        <w:tc>
          <w:tcPr>
            <w:tcW w:w="0" w:type="auto"/>
            <w:tcBorders>
              <w:top w:val="single" w:sz="4" w:space="0" w:color="auto"/>
              <w:bottom w:val="single" w:sz="4" w:space="0" w:color="auto"/>
            </w:tcBorders>
            <w:vAlign w:val="center"/>
            <w:hideMark/>
          </w:tcPr>
          <w:p w14:paraId="0B01BBE0"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z-Statistic</w:t>
            </w:r>
          </w:p>
        </w:tc>
        <w:tc>
          <w:tcPr>
            <w:tcW w:w="0" w:type="auto"/>
            <w:tcBorders>
              <w:top w:val="single" w:sz="4" w:space="0" w:color="auto"/>
              <w:bottom w:val="single" w:sz="4" w:space="0" w:color="auto"/>
            </w:tcBorders>
            <w:vAlign w:val="center"/>
            <w:hideMark/>
          </w:tcPr>
          <w:p w14:paraId="5C91401A"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Probability</w:t>
            </w:r>
          </w:p>
        </w:tc>
      </w:tr>
      <w:tr w:rsidR="00A601DC" w:rsidRPr="00A601DC" w14:paraId="242C63A3" w14:textId="77777777" w:rsidTr="00A601DC">
        <w:trPr>
          <w:trHeight w:val="296"/>
          <w:tblCellSpacing w:w="15" w:type="dxa"/>
        </w:trPr>
        <w:tc>
          <w:tcPr>
            <w:tcW w:w="0" w:type="auto"/>
            <w:vAlign w:val="center"/>
            <w:hideMark/>
          </w:tcPr>
          <w:p w14:paraId="16BCD620"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CONSTANT</w:t>
            </w:r>
          </w:p>
        </w:tc>
        <w:tc>
          <w:tcPr>
            <w:tcW w:w="0" w:type="auto"/>
            <w:vAlign w:val="center"/>
            <w:hideMark/>
          </w:tcPr>
          <w:p w14:paraId="656F5813"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0.52125</w:t>
            </w:r>
          </w:p>
        </w:tc>
        <w:tc>
          <w:tcPr>
            <w:tcW w:w="0" w:type="auto"/>
            <w:vAlign w:val="center"/>
            <w:hideMark/>
          </w:tcPr>
          <w:p w14:paraId="7B92B18E"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0.18120</w:t>
            </w:r>
          </w:p>
        </w:tc>
        <w:tc>
          <w:tcPr>
            <w:tcW w:w="0" w:type="auto"/>
            <w:vAlign w:val="center"/>
            <w:hideMark/>
          </w:tcPr>
          <w:p w14:paraId="45B2A0ED"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2.87625</w:t>
            </w:r>
          </w:p>
        </w:tc>
        <w:tc>
          <w:tcPr>
            <w:tcW w:w="0" w:type="auto"/>
            <w:vAlign w:val="center"/>
            <w:hideMark/>
          </w:tcPr>
          <w:p w14:paraId="70D4862D"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b/>
                <w:bCs/>
                <w:sz w:val="24"/>
                <w:szCs w:val="24"/>
              </w:rPr>
              <w:t>0.00403</w:t>
            </w:r>
          </w:p>
        </w:tc>
      </w:tr>
      <w:tr w:rsidR="00A601DC" w:rsidRPr="00A601DC" w14:paraId="56F7DFA2" w14:textId="77777777" w:rsidTr="00A601DC">
        <w:trPr>
          <w:trHeight w:val="296"/>
          <w:tblCellSpacing w:w="15" w:type="dxa"/>
        </w:trPr>
        <w:tc>
          <w:tcPr>
            <w:tcW w:w="0" w:type="auto"/>
            <w:vAlign w:val="center"/>
            <w:hideMark/>
          </w:tcPr>
          <w:p w14:paraId="55F71E49"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NDVI</w:t>
            </w:r>
          </w:p>
        </w:tc>
        <w:tc>
          <w:tcPr>
            <w:tcW w:w="0" w:type="auto"/>
            <w:vAlign w:val="center"/>
            <w:hideMark/>
          </w:tcPr>
          <w:p w14:paraId="0451A799"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-1.29871</w:t>
            </w:r>
          </w:p>
        </w:tc>
        <w:tc>
          <w:tcPr>
            <w:tcW w:w="0" w:type="auto"/>
            <w:vAlign w:val="center"/>
            <w:hideMark/>
          </w:tcPr>
          <w:p w14:paraId="4B973A39"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0.36011</w:t>
            </w:r>
          </w:p>
        </w:tc>
        <w:tc>
          <w:tcPr>
            <w:tcW w:w="0" w:type="auto"/>
            <w:vAlign w:val="center"/>
            <w:hideMark/>
          </w:tcPr>
          <w:p w14:paraId="03A18BE8"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-3.60645</w:t>
            </w:r>
          </w:p>
        </w:tc>
        <w:tc>
          <w:tcPr>
            <w:tcW w:w="0" w:type="auto"/>
            <w:vAlign w:val="center"/>
            <w:hideMark/>
          </w:tcPr>
          <w:p w14:paraId="6780E5AC"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b/>
                <w:bCs/>
                <w:sz w:val="24"/>
                <w:szCs w:val="24"/>
              </w:rPr>
              <w:t>0.00031</w:t>
            </w:r>
          </w:p>
        </w:tc>
      </w:tr>
      <w:tr w:rsidR="00A601DC" w:rsidRPr="00A601DC" w14:paraId="3CB446DA" w14:textId="77777777" w:rsidTr="00A601DC">
        <w:trPr>
          <w:trHeight w:val="284"/>
          <w:tblCellSpacing w:w="15" w:type="dxa"/>
        </w:trPr>
        <w:tc>
          <w:tcPr>
            <w:tcW w:w="0" w:type="auto"/>
            <w:vAlign w:val="center"/>
            <w:hideMark/>
          </w:tcPr>
          <w:p w14:paraId="7E4B361F"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Rainfall</w:t>
            </w:r>
          </w:p>
        </w:tc>
        <w:tc>
          <w:tcPr>
            <w:tcW w:w="0" w:type="auto"/>
            <w:vAlign w:val="center"/>
            <w:hideMark/>
          </w:tcPr>
          <w:p w14:paraId="26682F29"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0.06899</w:t>
            </w:r>
          </w:p>
        </w:tc>
        <w:tc>
          <w:tcPr>
            <w:tcW w:w="0" w:type="auto"/>
            <w:vAlign w:val="center"/>
            <w:hideMark/>
          </w:tcPr>
          <w:p w14:paraId="05E600F4"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0.00160</w:t>
            </w:r>
          </w:p>
        </w:tc>
        <w:tc>
          <w:tcPr>
            <w:tcW w:w="0" w:type="auto"/>
            <w:vAlign w:val="center"/>
            <w:hideMark/>
          </w:tcPr>
          <w:p w14:paraId="63BF47F0"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43.11875</w:t>
            </w:r>
          </w:p>
        </w:tc>
        <w:tc>
          <w:tcPr>
            <w:tcW w:w="0" w:type="auto"/>
            <w:vAlign w:val="center"/>
            <w:hideMark/>
          </w:tcPr>
          <w:p w14:paraId="3C379DFA"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b/>
                <w:bCs/>
                <w:sz w:val="24"/>
                <w:szCs w:val="24"/>
              </w:rPr>
              <w:t>0.00000</w:t>
            </w:r>
          </w:p>
        </w:tc>
      </w:tr>
      <w:tr w:rsidR="00A601DC" w:rsidRPr="00A601DC" w14:paraId="3C566A64" w14:textId="77777777" w:rsidTr="00A601DC">
        <w:trPr>
          <w:trHeight w:val="296"/>
          <w:tblCellSpacing w:w="15" w:type="dxa"/>
        </w:trPr>
        <w:tc>
          <w:tcPr>
            <w:tcW w:w="0" w:type="auto"/>
            <w:vAlign w:val="center"/>
            <w:hideMark/>
          </w:tcPr>
          <w:p w14:paraId="6B0EFA86"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Pop_Density</w:t>
            </w:r>
          </w:p>
        </w:tc>
        <w:tc>
          <w:tcPr>
            <w:tcW w:w="0" w:type="auto"/>
            <w:vAlign w:val="center"/>
            <w:hideMark/>
          </w:tcPr>
          <w:p w14:paraId="38ADE502"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-0.12543</w:t>
            </w:r>
          </w:p>
        </w:tc>
        <w:tc>
          <w:tcPr>
            <w:tcW w:w="0" w:type="auto"/>
            <w:vAlign w:val="center"/>
            <w:hideMark/>
          </w:tcPr>
          <w:p w14:paraId="02376129"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0.04021</w:t>
            </w:r>
          </w:p>
        </w:tc>
        <w:tc>
          <w:tcPr>
            <w:tcW w:w="0" w:type="auto"/>
            <w:vAlign w:val="center"/>
            <w:hideMark/>
          </w:tcPr>
          <w:p w14:paraId="219716CC"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-3.11927</w:t>
            </w:r>
          </w:p>
        </w:tc>
        <w:tc>
          <w:tcPr>
            <w:tcW w:w="0" w:type="auto"/>
            <w:vAlign w:val="center"/>
            <w:hideMark/>
          </w:tcPr>
          <w:p w14:paraId="3C524CBB"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b/>
                <w:bCs/>
                <w:sz w:val="24"/>
                <w:szCs w:val="24"/>
              </w:rPr>
              <w:t>0.00182</w:t>
            </w:r>
          </w:p>
        </w:tc>
      </w:tr>
      <w:tr w:rsidR="00A601DC" w:rsidRPr="00A601DC" w14:paraId="5FE5DABF" w14:textId="77777777" w:rsidTr="00A601DC">
        <w:trPr>
          <w:trHeight w:val="284"/>
          <w:tblCellSpacing w:w="15" w:type="dxa"/>
        </w:trPr>
        <w:tc>
          <w:tcPr>
            <w:tcW w:w="0" w:type="auto"/>
            <w:tcBorders>
              <w:bottom w:val="single" w:sz="4" w:space="0" w:color="auto"/>
            </w:tcBorders>
            <w:vAlign w:val="center"/>
            <w:hideMark/>
          </w:tcPr>
          <w:p w14:paraId="5A3C4A9B"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Rho</w:t>
            </w:r>
          </w:p>
        </w:tc>
        <w:tc>
          <w:tcPr>
            <w:tcW w:w="0" w:type="auto"/>
            <w:tcBorders>
              <w:bottom w:val="single" w:sz="4" w:space="0" w:color="auto"/>
            </w:tcBorders>
            <w:vAlign w:val="center"/>
            <w:hideMark/>
          </w:tcPr>
          <w:p w14:paraId="5606F2B3"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0.25876</w:t>
            </w:r>
          </w:p>
        </w:tc>
        <w:tc>
          <w:tcPr>
            <w:tcW w:w="0" w:type="auto"/>
            <w:tcBorders>
              <w:bottom w:val="single" w:sz="4" w:space="0" w:color="auto"/>
            </w:tcBorders>
            <w:vAlign w:val="center"/>
            <w:hideMark/>
          </w:tcPr>
          <w:p w14:paraId="6399A76C"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0.01924</w:t>
            </w:r>
          </w:p>
        </w:tc>
        <w:tc>
          <w:tcPr>
            <w:tcW w:w="0" w:type="auto"/>
            <w:tcBorders>
              <w:bottom w:val="single" w:sz="4" w:space="0" w:color="auto"/>
            </w:tcBorders>
            <w:vAlign w:val="center"/>
            <w:hideMark/>
          </w:tcPr>
          <w:p w14:paraId="18B8D7BE"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t>13.44802</w:t>
            </w:r>
          </w:p>
        </w:tc>
        <w:tc>
          <w:tcPr>
            <w:tcW w:w="0" w:type="auto"/>
            <w:tcBorders>
              <w:bottom w:val="single" w:sz="4" w:space="0" w:color="auto"/>
            </w:tcBorders>
            <w:vAlign w:val="center"/>
            <w:hideMark/>
          </w:tcPr>
          <w:p w14:paraId="06395105" w14:textId="77777777" w:rsidR="00A601DC" w:rsidRPr="00A601DC" w:rsidRDefault="00A601DC" w:rsidP="001346B4">
            <w:pPr>
              <w:spacing w:after="0" w:line="360" w:lineRule="auto"/>
              <w:rPr>
                <w:rFonts w:ascii="Times New Roman" w:eastAsia="Times New Roman" w:hAnsi="Times New Roman" w:cs="Times New Roman"/>
                <w:sz w:val="24"/>
                <w:szCs w:val="24"/>
              </w:rPr>
            </w:pPr>
            <w:r w:rsidRPr="00A601DC">
              <w:rPr>
                <w:rFonts w:ascii="Times New Roman" w:eastAsia="Times New Roman" w:hAnsi="Times New Roman" w:cs="Times New Roman"/>
                <w:b/>
                <w:bCs/>
                <w:sz w:val="24"/>
                <w:szCs w:val="24"/>
              </w:rPr>
              <w:t>0.00000</w:t>
            </w:r>
          </w:p>
        </w:tc>
      </w:tr>
    </w:tbl>
    <w:p w14:paraId="1005B87E" w14:textId="77777777" w:rsidR="00A601DC" w:rsidRPr="00A601DC" w:rsidRDefault="00A601DC" w:rsidP="001346B4">
      <w:pPr>
        <w:numPr>
          <w:ilvl w:val="0"/>
          <w:numId w:val="4"/>
        </w:numPr>
        <w:spacing w:before="100" w:beforeAutospacing="1" w:after="100" w:afterAutospacing="1"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t>Geographically Weighted Regression (GWR) Analysis</w:t>
      </w:r>
      <w:r w:rsidRPr="00A601DC">
        <w:rPr>
          <w:rFonts w:ascii="Times New Roman" w:eastAsia="Times New Roman" w:hAnsi="Times New Roman" w:cs="Times New Roman"/>
          <w:sz w:val="21"/>
          <w:szCs w:val="21"/>
        </w:rPr>
        <w:t xml:space="preserve"> GWR was used to explore spatial non-stationarity, revealing that the relationships between variables are not uniform across the study area. The model produced a unique set of coefficients for each grid cell, which were visualized in the main article to show how the impact of variables like NDVI and Rainfall varied geographically. The </w:t>
      </w:r>
      <w:r w:rsidRPr="00A601DC">
        <w:rPr>
          <w:rFonts w:ascii="Times New Roman" w:eastAsia="Times New Roman" w:hAnsi="Times New Roman" w:cs="Times New Roman"/>
          <w:b/>
          <w:bCs/>
          <w:sz w:val="21"/>
          <w:szCs w:val="21"/>
        </w:rPr>
        <w:t>marginal effects plot</w:t>
      </w:r>
      <w:r w:rsidRPr="00A601DC">
        <w:rPr>
          <w:rFonts w:ascii="Times New Roman" w:eastAsia="Times New Roman" w:hAnsi="Times New Roman" w:cs="Times New Roman"/>
          <w:sz w:val="21"/>
          <w:szCs w:val="21"/>
        </w:rPr>
        <w:t xml:space="preserve"> further demonstrated a key finding: the poverty-reducing effect of road density becomes statistically insignificant below an </w:t>
      </w:r>
      <w:r w:rsidRPr="00A601DC">
        <w:rPr>
          <w:rFonts w:ascii="Times New Roman" w:eastAsia="Times New Roman" w:hAnsi="Times New Roman" w:cs="Times New Roman"/>
          <w:b/>
          <w:bCs/>
          <w:sz w:val="21"/>
          <w:szCs w:val="21"/>
        </w:rPr>
        <w:t>NDVI threshold of -0.8σ</w:t>
      </w:r>
      <w:r w:rsidRPr="00A601DC">
        <w:rPr>
          <w:rFonts w:ascii="Times New Roman" w:eastAsia="Times New Roman" w:hAnsi="Times New Roman" w:cs="Times New Roman"/>
          <w:sz w:val="21"/>
          <w:szCs w:val="21"/>
        </w:rPr>
        <w:t>.</w:t>
      </w:r>
    </w:p>
    <w:p w14:paraId="46836ADA" w14:textId="77777777" w:rsidR="00A601DC" w:rsidRPr="00A601DC" w:rsidRDefault="00A601DC" w:rsidP="001346B4">
      <w:pPr>
        <w:spacing w:before="100" w:beforeAutospacing="1" w:after="100" w:afterAutospacing="1" w:line="360" w:lineRule="auto"/>
        <w:jc w:val="both"/>
        <w:outlineLvl w:val="3"/>
        <w:rPr>
          <w:rFonts w:ascii="Times New Roman" w:eastAsia="Times New Roman" w:hAnsi="Times New Roman" w:cs="Times New Roman"/>
          <w:b/>
          <w:bCs/>
          <w:sz w:val="21"/>
          <w:szCs w:val="21"/>
        </w:rPr>
      </w:pPr>
      <w:r w:rsidRPr="00A601DC">
        <w:rPr>
          <w:rFonts w:ascii="Times New Roman" w:eastAsia="Times New Roman" w:hAnsi="Times New Roman" w:cs="Times New Roman"/>
          <w:b/>
          <w:bCs/>
          <w:sz w:val="21"/>
          <w:szCs w:val="21"/>
        </w:rPr>
        <w:t>Script Descriptions</w:t>
      </w:r>
    </w:p>
    <w:p w14:paraId="3AA70610" w14:textId="77777777" w:rsidR="00A601DC" w:rsidRPr="00A601DC" w:rsidRDefault="00A601DC" w:rsidP="001346B4">
      <w:pPr>
        <w:numPr>
          <w:ilvl w:val="0"/>
          <w:numId w:val="5"/>
        </w:numPr>
        <w:spacing w:before="100" w:beforeAutospacing="1" w:after="100" w:afterAutospacing="1"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 xml:space="preserve">spatial_analysis_workflow.py: This is the core analytical script, performing the </w:t>
      </w:r>
      <w:r w:rsidRPr="00A601DC">
        <w:rPr>
          <w:rFonts w:ascii="Times New Roman" w:eastAsia="Times New Roman" w:hAnsi="Times New Roman" w:cs="Times New Roman"/>
          <w:b/>
          <w:bCs/>
          <w:sz w:val="21"/>
          <w:szCs w:val="21"/>
        </w:rPr>
        <w:t>Spatial Durbin Error Model (SDEM)</w:t>
      </w:r>
      <w:r w:rsidRPr="00A601DC">
        <w:rPr>
          <w:rFonts w:ascii="Times New Roman" w:eastAsia="Times New Roman" w:hAnsi="Times New Roman" w:cs="Times New Roman"/>
          <w:sz w:val="21"/>
          <w:szCs w:val="21"/>
        </w:rPr>
        <w:t xml:space="preserve"> and generating the primary regression results.</w:t>
      </w:r>
    </w:p>
    <w:p w14:paraId="34A057A0" w14:textId="77777777" w:rsidR="00A601DC" w:rsidRPr="00A601DC" w:rsidRDefault="00A601DC" w:rsidP="001346B4">
      <w:pPr>
        <w:numPr>
          <w:ilvl w:val="0"/>
          <w:numId w:val="5"/>
        </w:numPr>
        <w:spacing w:before="100" w:beforeAutospacing="1" w:after="100" w:afterAutospacing="1"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visualization_system.py: This script generates a multi-panel figure synthesizing poverty, infrastructure, climate, and resilience data, providing a comprehensive visual overview.</w:t>
      </w:r>
    </w:p>
    <w:p w14:paraId="064E575E" w14:textId="77777777" w:rsidR="00A601DC" w:rsidRPr="00A601DC" w:rsidRDefault="00A601DC" w:rsidP="001346B4">
      <w:pPr>
        <w:numPr>
          <w:ilvl w:val="0"/>
          <w:numId w:val="5"/>
        </w:numPr>
        <w:spacing w:before="100" w:beforeAutospacing="1" w:after="100" w:afterAutospacing="1"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prioritization_framework.py: This standalone script creates the final Spatial Prioritization Framework map, a key policy-oriented visualization that identifies strategic investment zones.</w:t>
      </w:r>
    </w:p>
    <w:p w14:paraId="067A5425" w14:textId="77777777" w:rsidR="00A601DC" w:rsidRPr="00A601DC" w:rsidRDefault="00A601DC" w:rsidP="00A601DC">
      <w:pPr>
        <w:spacing w:after="0" w:line="240" w:lineRule="auto"/>
        <w:rPr>
          <w:rFonts w:ascii="Times New Roman" w:eastAsia="Times New Roman" w:hAnsi="Times New Roman" w:cs="Times New Roman"/>
          <w:sz w:val="24"/>
          <w:szCs w:val="24"/>
        </w:rPr>
      </w:pPr>
      <w:r w:rsidRPr="00A601DC">
        <w:rPr>
          <w:rFonts w:ascii="Times New Roman" w:eastAsia="Times New Roman" w:hAnsi="Times New Roman" w:cs="Times New Roman"/>
          <w:sz w:val="24"/>
          <w:szCs w:val="24"/>
        </w:rPr>
        <w:pict w14:anchorId="1D9CBE37">
          <v:rect id="_x0000_i1027" style="width:0;height:1.5pt" o:hralign="center" o:hrstd="t" o:hr="t" fillcolor="#a0a0a0" stroked="f"/>
        </w:pict>
      </w:r>
    </w:p>
    <w:p w14:paraId="1DFABC40" w14:textId="77777777" w:rsidR="00A601DC" w:rsidRPr="00A601DC" w:rsidRDefault="00A601DC" w:rsidP="00A601DC">
      <w:pPr>
        <w:spacing w:before="100" w:beforeAutospacing="1" w:after="100" w:afterAutospacing="1" w:line="240" w:lineRule="auto"/>
        <w:outlineLvl w:val="2"/>
        <w:rPr>
          <w:rFonts w:ascii="Times New Roman" w:eastAsia="Times New Roman" w:hAnsi="Times New Roman" w:cs="Times New Roman"/>
          <w:b/>
          <w:bCs/>
          <w:color w:val="C00000"/>
          <w:sz w:val="27"/>
          <w:szCs w:val="27"/>
        </w:rPr>
      </w:pPr>
      <w:r w:rsidRPr="00A601DC">
        <w:rPr>
          <w:rFonts w:ascii="Times New Roman" w:eastAsia="Times New Roman" w:hAnsi="Times New Roman" w:cs="Times New Roman"/>
          <w:b/>
          <w:bCs/>
          <w:color w:val="C00000"/>
          <w:sz w:val="27"/>
          <w:szCs w:val="27"/>
        </w:rPr>
        <w:t>S3: Data and Software Dependencies</w:t>
      </w:r>
    </w:p>
    <w:p w14:paraId="3714AE8E" w14:textId="77777777" w:rsidR="00A601DC" w:rsidRPr="00A601DC" w:rsidRDefault="00A601DC" w:rsidP="001346B4">
      <w:pPr>
        <w:spacing w:before="100" w:beforeAutospacing="1" w:after="100" w:afterAutospacing="1"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This section contains all the necessary information and a synthetic dataset to ensure the reproducibility of the Python scripts provided in S2.</w:t>
      </w:r>
    </w:p>
    <w:p w14:paraId="2F79461E" w14:textId="77777777" w:rsidR="00A601DC" w:rsidRPr="00A601DC" w:rsidRDefault="00A601DC" w:rsidP="001346B4">
      <w:pPr>
        <w:numPr>
          <w:ilvl w:val="0"/>
          <w:numId w:val="6"/>
        </w:numPr>
        <w:spacing w:before="100" w:beforeAutospacing="1" w:after="100" w:afterAutospacing="1"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t>requirements.txt: This file lists all Python library dependencies and their specific versions, ensuring a consistent software environment.</w:t>
      </w:r>
    </w:p>
    <w:p w14:paraId="5A83C024" w14:textId="77777777" w:rsidR="00A601DC" w:rsidRPr="00A601DC" w:rsidRDefault="00A601DC" w:rsidP="001346B4">
      <w:pPr>
        <w:numPr>
          <w:ilvl w:val="0"/>
          <w:numId w:val="6"/>
        </w:numPr>
        <w:spacing w:before="100" w:beforeAutospacing="1" w:after="100" w:afterAutospacing="1"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sz w:val="21"/>
          <w:szCs w:val="21"/>
        </w:rPr>
        <w:lastRenderedPageBreak/>
        <w:t>synthetic_data.zip: This compressed file contains a synthetic, anonymized sample of the processed data, sufficient to execute and test the entire modeling and visualization workflow without needing to download large-scale raw datasets.</w:t>
      </w:r>
    </w:p>
    <w:p w14:paraId="0B6F1DB7" w14:textId="77777777" w:rsidR="00A601DC" w:rsidRPr="00A601DC" w:rsidRDefault="00A601DC" w:rsidP="001346B4">
      <w:pPr>
        <w:numPr>
          <w:ilvl w:val="0"/>
          <w:numId w:val="6"/>
        </w:numPr>
        <w:spacing w:before="100" w:beforeAutospacing="1" w:after="100" w:afterAutospacing="1" w:line="360" w:lineRule="auto"/>
        <w:jc w:val="both"/>
        <w:rPr>
          <w:rFonts w:ascii="Times New Roman" w:eastAsia="Times New Roman" w:hAnsi="Times New Roman" w:cs="Times New Roman"/>
          <w:sz w:val="21"/>
          <w:szCs w:val="21"/>
        </w:rPr>
      </w:pPr>
      <w:r w:rsidRPr="00A601DC">
        <w:rPr>
          <w:rFonts w:ascii="Times New Roman" w:eastAsia="Times New Roman" w:hAnsi="Times New Roman" w:cs="Times New Roman"/>
          <w:b/>
          <w:bCs/>
          <w:sz w:val="21"/>
          <w:szCs w:val="21"/>
        </w:rPr>
        <w:t>Repository:</w:t>
      </w:r>
      <w:r w:rsidRPr="00A601DC">
        <w:rPr>
          <w:rFonts w:ascii="Times New Roman" w:eastAsia="Times New Roman" w:hAnsi="Times New Roman" w:cs="Times New Roman"/>
          <w:sz w:val="21"/>
          <w:szCs w:val="21"/>
        </w:rPr>
        <w:t xml:space="preserve"> The complete set of supplementary materials, including all code and data, will be made publicly available at the following link upon publication to ensure maximum transparency and reproducibility: https://github.com/AugustKizito/tanzania-bri-poverty-analysis.git</w:t>
      </w:r>
    </w:p>
    <w:p w14:paraId="40D3B9E4" w14:textId="77777777" w:rsidR="00364C67" w:rsidRPr="001346B4" w:rsidRDefault="00364C67" w:rsidP="001346B4">
      <w:pPr>
        <w:spacing w:line="360" w:lineRule="auto"/>
        <w:jc w:val="both"/>
        <w:rPr>
          <w:rFonts w:ascii="Times New Roman" w:hAnsi="Times New Roman" w:cs="Times New Roman"/>
          <w:sz w:val="21"/>
          <w:szCs w:val="21"/>
        </w:rPr>
      </w:pPr>
    </w:p>
    <w:sectPr w:rsidR="00364C67" w:rsidRPr="001346B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11A1FD" w14:textId="77777777" w:rsidR="005E3312" w:rsidRDefault="005E3312" w:rsidP="001346B4">
      <w:pPr>
        <w:spacing w:after="0" w:line="240" w:lineRule="auto"/>
      </w:pPr>
      <w:r>
        <w:separator/>
      </w:r>
    </w:p>
  </w:endnote>
  <w:endnote w:type="continuationSeparator" w:id="0">
    <w:p w14:paraId="19D52048" w14:textId="77777777" w:rsidR="005E3312" w:rsidRDefault="005E3312" w:rsidP="00134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29734827"/>
      <w:docPartObj>
        <w:docPartGallery w:val="Page Numbers (Bottom of Page)"/>
        <w:docPartUnique/>
      </w:docPartObj>
    </w:sdtPr>
    <w:sdtEndPr>
      <w:rPr>
        <w:noProof/>
      </w:rPr>
    </w:sdtEndPr>
    <w:sdtContent>
      <w:p w14:paraId="2E505652" w14:textId="77777777" w:rsidR="001346B4" w:rsidRDefault="001346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0C5484" w14:textId="77777777" w:rsidR="001346B4" w:rsidRDefault="001346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5AB446" w14:textId="77777777" w:rsidR="005E3312" w:rsidRDefault="005E3312" w:rsidP="001346B4">
      <w:pPr>
        <w:spacing w:after="0" w:line="240" w:lineRule="auto"/>
      </w:pPr>
      <w:r>
        <w:separator/>
      </w:r>
    </w:p>
  </w:footnote>
  <w:footnote w:type="continuationSeparator" w:id="0">
    <w:p w14:paraId="250C5C0D" w14:textId="77777777" w:rsidR="005E3312" w:rsidRDefault="005E3312" w:rsidP="001346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C38DE"/>
    <w:multiLevelType w:val="multilevel"/>
    <w:tmpl w:val="BE46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3464A"/>
    <w:multiLevelType w:val="multilevel"/>
    <w:tmpl w:val="71D6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F4FE5"/>
    <w:multiLevelType w:val="multilevel"/>
    <w:tmpl w:val="7D92AB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02641D"/>
    <w:multiLevelType w:val="multilevel"/>
    <w:tmpl w:val="E6222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995C6A"/>
    <w:multiLevelType w:val="multilevel"/>
    <w:tmpl w:val="38F43E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B0612D"/>
    <w:multiLevelType w:val="multilevel"/>
    <w:tmpl w:val="9348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1DC"/>
    <w:rsid w:val="001346B4"/>
    <w:rsid w:val="00364C67"/>
    <w:rsid w:val="005E3312"/>
    <w:rsid w:val="007D3F41"/>
    <w:rsid w:val="009407CC"/>
    <w:rsid w:val="00A601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4A792"/>
  <w15:chartTrackingRefBased/>
  <w15:docId w15:val="{5133B720-C51E-4D86-A375-C62F54D93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46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46B4"/>
  </w:style>
  <w:style w:type="paragraph" w:styleId="Footer">
    <w:name w:val="footer"/>
    <w:basedOn w:val="Normal"/>
    <w:link w:val="FooterChar"/>
    <w:uiPriority w:val="99"/>
    <w:unhideWhenUsed/>
    <w:rsid w:val="001346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46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7861785">
      <w:bodyDiv w:val="1"/>
      <w:marLeft w:val="0"/>
      <w:marRight w:val="0"/>
      <w:marTop w:val="0"/>
      <w:marBottom w:val="0"/>
      <w:divBdr>
        <w:top w:val="none" w:sz="0" w:space="0" w:color="auto"/>
        <w:left w:val="none" w:sz="0" w:space="0" w:color="auto"/>
        <w:bottom w:val="none" w:sz="0" w:space="0" w:color="auto"/>
        <w:right w:val="none" w:sz="0" w:space="0" w:color="auto"/>
      </w:divBdr>
      <w:divsChild>
        <w:div w:id="1903786442">
          <w:marLeft w:val="0"/>
          <w:marRight w:val="0"/>
          <w:marTop w:val="0"/>
          <w:marBottom w:val="0"/>
          <w:divBdr>
            <w:top w:val="none" w:sz="0" w:space="0" w:color="auto"/>
            <w:left w:val="none" w:sz="0" w:space="0" w:color="auto"/>
            <w:bottom w:val="none" w:sz="0" w:space="0" w:color="auto"/>
            <w:right w:val="none" w:sz="0" w:space="0" w:color="auto"/>
          </w:divBdr>
          <w:divsChild>
            <w:div w:id="1355112107">
              <w:marLeft w:val="0"/>
              <w:marRight w:val="0"/>
              <w:marTop w:val="0"/>
              <w:marBottom w:val="0"/>
              <w:divBdr>
                <w:top w:val="none" w:sz="0" w:space="0" w:color="auto"/>
                <w:left w:val="none" w:sz="0" w:space="0" w:color="auto"/>
                <w:bottom w:val="none" w:sz="0" w:space="0" w:color="auto"/>
                <w:right w:val="none" w:sz="0" w:space="0" w:color="auto"/>
              </w:divBdr>
              <w:divsChild>
                <w:div w:id="1870993775">
                  <w:marLeft w:val="0"/>
                  <w:marRight w:val="0"/>
                  <w:marTop w:val="0"/>
                  <w:marBottom w:val="0"/>
                  <w:divBdr>
                    <w:top w:val="none" w:sz="0" w:space="0" w:color="auto"/>
                    <w:left w:val="none" w:sz="0" w:space="0" w:color="auto"/>
                    <w:bottom w:val="none" w:sz="0" w:space="0" w:color="auto"/>
                    <w:right w:val="none" w:sz="0" w:space="0" w:color="auto"/>
                  </w:divBdr>
                  <w:divsChild>
                    <w:div w:id="44068857">
                      <w:marLeft w:val="0"/>
                      <w:marRight w:val="0"/>
                      <w:marTop w:val="0"/>
                      <w:marBottom w:val="0"/>
                      <w:divBdr>
                        <w:top w:val="none" w:sz="0" w:space="0" w:color="auto"/>
                        <w:left w:val="none" w:sz="0" w:space="0" w:color="auto"/>
                        <w:bottom w:val="none" w:sz="0" w:space="0" w:color="auto"/>
                        <w:right w:val="none" w:sz="0" w:space="0" w:color="auto"/>
                      </w:divBdr>
                    </w:div>
                    <w:div w:id="155696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612168">
          <w:marLeft w:val="0"/>
          <w:marRight w:val="0"/>
          <w:marTop w:val="0"/>
          <w:marBottom w:val="0"/>
          <w:divBdr>
            <w:top w:val="none" w:sz="0" w:space="0" w:color="auto"/>
            <w:left w:val="none" w:sz="0" w:space="0" w:color="auto"/>
            <w:bottom w:val="none" w:sz="0" w:space="0" w:color="auto"/>
            <w:right w:val="none" w:sz="0" w:space="0" w:color="auto"/>
          </w:divBdr>
          <w:divsChild>
            <w:div w:id="112291003">
              <w:marLeft w:val="0"/>
              <w:marRight w:val="0"/>
              <w:marTop w:val="0"/>
              <w:marBottom w:val="0"/>
              <w:divBdr>
                <w:top w:val="none" w:sz="0" w:space="0" w:color="auto"/>
                <w:left w:val="none" w:sz="0" w:space="0" w:color="auto"/>
                <w:bottom w:val="none" w:sz="0" w:space="0" w:color="auto"/>
                <w:right w:val="none" w:sz="0" w:space="0" w:color="auto"/>
              </w:divBdr>
              <w:divsChild>
                <w:div w:id="99112646">
                  <w:marLeft w:val="0"/>
                  <w:marRight w:val="0"/>
                  <w:marTop w:val="0"/>
                  <w:marBottom w:val="0"/>
                  <w:divBdr>
                    <w:top w:val="none" w:sz="0" w:space="0" w:color="auto"/>
                    <w:left w:val="none" w:sz="0" w:space="0" w:color="auto"/>
                    <w:bottom w:val="none" w:sz="0" w:space="0" w:color="auto"/>
                    <w:right w:val="none" w:sz="0" w:space="0" w:color="auto"/>
                  </w:divBdr>
                  <w:divsChild>
                    <w:div w:id="1758668795">
                      <w:marLeft w:val="0"/>
                      <w:marRight w:val="0"/>
                      <w:marTop w:val="0"/>
                      <w:marBottom w:val="0"/>
                      <w:divBdr>
                        <w:top w:val="none" w:sz="0" w:space="0" w:color="auto"/>
                        <w:left w:val="none" w:sz="0" w:space="0" w:color="auto"/>
                        <w:bottom w:val="none" w:sz="0" w:space="0" w:color="auto"/>
                        <w:right w:val="none" w:sz="0" w:space="0" w:color="auto"/>
                      </w:divBdr>
                    </w:div>
                    <w:div w:id="173670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Kiwummulo</dc:creator>
  <cp:keywords/>
  <dc:description/>
  <cp:lastModifiedBy>Kiwummulo</cp:lastModifiedBy>
  <cp:revision>2</cp:revision>
  <cp:lastPrinted>2025-09-08T11:47:00Z</cp:lastPrinted>
  <dcterms:created xsi:type="dcterms:W3CDTF">2025-09-08T11:17:00Z</dcterms:created>
  <dcterms:modified xsi:type="dcterms:W3CDTF">2025-09-08T11:48:00Z</dcterms:modified>
</cp:coreProperties>
</file>