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Pr>
            <w:rStyle w:val="IndexLink"/>
          </w:rPr>
          <w:tab/>
          <w:t>2</w:t>
        </w:r>
        <w:r>
          <w:rPr>
            <w:webHidden/>
          </w:rPr>
          <w:fldChar w:fldCharType="end"/>
        </w:r>
      </w:hyperlink>
    </w:p>
    <w:p w14:paraId="739FFE60" w14:textId="77777777" w:rsidR="00117604" w:rsidRDefault="00F4248B">
      <w:pPr>
        <w:pStyle w:val="Contents1"/>
        <w:rPr>
          <w:rFonts w:eastAsiaTheme="minorEastAsia"/>
        </w:rPr>
      </w:pPr>
      <w:hyperlink w:anchor="_Toc461369150">
        <w:r>
          <w:rPr>
            <w:rStyle w:val="IndexLink"/>
            <w:rFonts w:ascii="Courier New" w:hAnsi="Courier New" w:cs="Courier New"/>
            <w:webHidden/>
          </w:rPr>
          <w:t>Installation:</w:t>
        </w:r>
        <w:r>
          <w:rPr>
            <w:webHidden/>
          </w:rPr>
          <w:fldChar w:fldCharType="begin"/>
        </w:r>
        <w:r>
          <w:rPr>
            <w:webHidden/>
          </w:rPr>
          <w:instrText>PAGEREF _Toc461369150 \h</w:instrText>
        </w:r>
        <w:r>
          <w:rPr>
            <w:webHidden/>
          </w:rPr>
        </w:r>
        <w:r>
          <w:rPr>
            <w:webHidden/>
          </w:rPr>
          <w:fldChar w:fldCharType="separate"/>
        </w:r>
        <w:r>
          <w:rPr>
            <w:rStyle w:val="IndexLink"/>
          </w:rPr>
          <w:tab/>
          <w:t>3</w:t>
        </w:r>
        <w:r>
          <w:rPr>
            <w:webHidden/>
          </w:rPr>
          <w:fldChar w:fldCharType="end"/>
        </w:r>
      </w:hyperlink>
    </w:p>
    <w:p w14:paraId="5BEE9226" w14:textId="77777777" w:rsidR="00117604" w:rsidRDefault="00F4248B">
      <w:pPr>
        <w:pStyle w:val="Contents1"/>
        <w:rPr>
          <w:rFonts w:eastAsiaTheme="minorEastAsia"/>
        </w:rPr>
      </w:pPr>
      <w:hyperlink w:anchor="_Toc461369151">
        <w:r>
          <w:rPr>
            <w:rStyle w:val="IndexLink"/>
            <w:rFonts w:ascii="Courier New" w:hAnsi="Courier New" w:cs="Courier New"/>
            <w:webHidden/>
          </w:rPr>
          <w:t>Input:</w:t>
        </w:r>
        <w:r>
          <w:rPr>
            <w:webHidden/>
          </w:rPr>
          <w:fldChar w:fldCharType="begin"/>
        </w:r>
        <w:r>
          <w:rPr>
            <w:webHidden/>
          </w:rPr>
          <w:instrText>PAGEREF _Toc461369151 \h</w:instrText>
        </w:r>
        <w:r>
          <w:rPr>
            <w:webHidden/>
          </w:rPr>
        </w:r>
        <w:r>
          <w:rPr>
            <w:webHidden/>
          </w:rPr>
          <w:fldChar w:fldCharType="separate"/>
        </w:r>
        <w:r>
          <w:rPr>
            <w:rStyle w:val="IndexLink"/>
          </w:rPr>
          <w:tab/>
          <w:t>4</w:t>
        </w:r>
        <w:r>
          <w:rPr>
            <w:webHidden/>
          </w:rPr>
          <w:fldChar w:fldCharType="end"/>
        </w:r>
      </w:hyperlink>
    </w:p>
    <w:p w14:paraId="6A699D95" w14:textId="77777777" w:rsidR="00117604" w:rsidRDefault="00F4248B">
      <w:pPr>
        <w:pStyle w:val="Contents1"/>
        <w:rPr>
          <w:rFonts w:eastAsiaTheme="minorEastAsia"/>
        </w:rPr>
      </w:pPr>
      <w:hyperlink w:anchor="_Toc461369152">
        <w:r>
          <w:rPr>
            <w:rStyle w:val="IndexLink"/>
            <w:rFonts w:ascii="Courier New" w:hAnsi="Courier New" w:cs="Courier New"/>
            <w:webHidden/>
          </w:rPr>
          <w:t>DPMJET:</w:t>
        </w:r>
        <w:r>
          <w:rPr>
            <w:webHidden/>
          </w:rPr>
          <w:fldChar w:fldCharType="begin"/>
        </w:r>
        <w:r>
          <w:rPr>
            <w:webHidden/>
          </w:rPr>
          <w:instrText>PAGEREF _Toc461369152 \h</w:instrText>
        </w:r>
        <w:r>
          <w:rPr>
            <w:webHidden/>
          </w:rPr>
        </w:r>
        <w:r>
          <w:rPr>
            <w:webHidden/>
          </w:rPr>
          <w:fldChar w:fldCharType="separate"/>
        </w:r>
        <w:r>
          <w:rPr>
            <w:rStyle w:val="IndexLink"/>
          </w:rPr>
          <w:tab/>
          <w:t>9</w:t>
        </w:r>
        <w:r>
          <w:rPr>
            <w:webHidden/>
          </w:rPr>
          <w:fldChar w:fldCharType="end"/>
        </w:r>
      </w:hyperlink>
    </w:p>
    <w:p w14:paraId="70CF5EE7" w14:textId="77777777" w:rsidR="00117604" w:rsidRDefault="00F4248B">
      <w:pPr>
        <w:pStyle w:val="Contents1"/>
        <w:rPr>
          <w:rFonts w:eastAsiaTheme="minorEastAsia"/>
        </w:rPr>
      </w:pPr>
      <w:hyperlink w:anchor="_Toc461369153">
        <w:r>
          <w:rPr>
            <w:rStyle w:val="IndexLink"/>
            <w:rFonts w:ascii="Courier New" w:hAnsi="Courier New" w:cs="Courier New"/>
            <w:webHidden/>
          </w:rPr>
          <w:t>Output</w:t>
        </w:r>
        <w:r>
          <w:rPr>
            <w:webHidden/>
          </w:rPr>
          <w:fldChar w:fldCharType="begin"/>
        </w:r>
        <w:r>
          <w:rPr>
            <w:webHidden/>
          </w:rPr>
          <w:instrText>PAGEREF _Toc461369153 \h</w:instrText>
        </w:r>
        <w:r>
          <w:rPr>
            <w:webHidden/>
          </w:rPr>
        </w:r>
        <w:r>
          <w:rPr>
            <w:webHidden/>
          </w:rPr>
          <w:fldChar w:fldCharType="separate"/>
        </w:r>
        <w:r>
          <w:rPr>
            <w:rStyle w:val="IndexLink"/>
          </w:rPr>
          <w:tab/>
          <w:t>11</w:t>
        </w:r>
        <w:r>
          <w:rPr>
            <w:webHidden/>
          </w:rPr>
          <w:fldChar w:fldCharType="end"/>
        </w:r>
      </w:hyperlink>
    </w:p>
    <w:p w14:paraId="5E78B4D5" w14:textId="77777777" w:rsidR="00117604" w:rsidRDefault="00F4248B">
      <w:pPr>
        <w:pStyle w:val="Contents1"/>
        <w:rPr>
          <w:rFonts w:eastAsiaTheme="minorEastAsia"/>
        </w:rPr>
      </w:pPr>
      <w:hyperlink w:anchor="_Toc461369154">
        <w:r>
          <w:rPr>
            <w:rStyle w:val="IndexLink"/>
            <w:rFonts w:ascii="Courier New" w:hAnsi="Courier New" w:cs="Courier New"/>
            <w:webHidden/>
          </w:rPr>
          <w:t>Class Diagram</w:t>
        </w:r>
        <w:r>
          <w:rPr>
            <w:webHidden/>
          </w:rPr>
          <w:fldChar w:fldCharType="begin"/>
        </w:r>
        <w:r>
          <w:rPr>
            <w:webHidden/>
          </w:rPr>
          <w:instrText>PAGEREF _Toc461369154 \h</w:instrText>
        </w:r>
        <w:r>
          <w:rPr>
            <w:webHidden/>
          </w:rPr>
        </w:r>
        <w:r>
          <w:rPr>
            <w:webHidden/>
          </w:rPr>
          <w:fldChar w:fldCharType="separate"/>
        </w:r>
        <w:r>
          <w:rPr>
            <w:rStyle w:val="IndexLink"/>
          </w:rPr>
          <w:tab/>
          <w:t>13</w:t>
        </w:r>
        <w:r>
          <w:rPr>
            <w:webHidden/>
          </w:rPr>
          <w:fldChar w:fldCharType="end"/>
        </w:r>
      </w:hyperlink>
    </w:p>
    <w:p w14:paraId="57BE4564" w14:textId="77777777" w:rsidR="00117604" w:rsidRDefault="00F4248B">
      <w:pPr>
        <w:pStyle w:val="Contents1"/>
      </w:pPr>
      <w:hyperlink w:anchor="_Toc461369155">
        <w:r>
          <w:rPr>
            <w:rStyle w:val="IndexLink"/>
            <w:rFonts w:ascii="Courier New" w:hAnsi="Courier New" w:cs="Courier New"/>
            <w:webHidden/>
          </w:rPr>
          <w:t>File Descriptions</w:t>
        </w:r>
        <w:r>
          <w:rPr>
            <w:webHidden/>
          </w:rPr>
          <w:fldChar w:fldCharType="begin"/>
        </w:r>
        <w:r>
          <w:rPr>
            <w:webHidden/>
          </w:rPr>
          <w:instrText>PAGEREF _Toc461369155 \h</w:instrText>
        </w:r>
        <w:r>
          <w:rPr>
            <w:webHidden/>
          </w:rPr>
        </w:r>
        <w:r>
          <w:rPr>
            <w:webHidden/>
          </w:rPr>
          <w:fldChar w:fldCharType="separate"/>
        </w:r>
        <w:r>
          <w:rPr>
            <w:rStyle w:val="IndexLink"/>
          </w:rPr>
          <w:tab/>
          <w:t>14</w:t>
        </w:r>
        <w:r>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0E5595F0" w14:textId="77777777" w:rsidR="00F4248B" w:rsidRDefault="00F4248B">
      <w:pPr>
        <w:rPr>
          <w:rFonts w:ascii="Courier New" w:hAnsi="Courier New" w:cs="Courier New"/>
        </w:rPr>
      </w:pPr>
      <w:r>
        <w:rPr>
          <w:rFonts w:ascii="Courier New" w:hAnsi="Courier New" w:cs="Courier New"/>
        </w:rPr>
        <w:t>v278:  Added two new optional parameters:</w:t>
      </w:r>
    </w:p>
    <w:p w14:paraId="0465D02A" w14:textId="77777777" w:rsidR="00F4248B" w:rsidRDefault="00F4248B">
      <w:pPr>
        <w:rPr>
          <w:rFonts w:ascii="Courier New" w:hAnsi="Courier New" w:cs="Courier New"/>
        </w:rPr>
      </w:pPr>
      <w:r>
        <w:rPr>
          <w:rFonts w:ascii="Courier New" w:hAnsi="Courier New" w:cs="Courier New"/>
        </w:rPr>
        <w:t>IMPULSE_</w:t>
      </w:r>
      <w:proofErr w:type="gramStart"/>
      <w:r>
        <w:rPr>
          <w:rFonts w:ascii="Courier New" w:hAnsi="Courier New" w:cs="Courier New"/>
        </w:rPr>
        <w:t>VM  Normally</w:t>
      </w:r>
      <w:proofErr w:type="gramEnd"/>
      <w:r>
        <w:rPr>
          <w:rFonts w:ascii="Courier New" w:hAnsi="Courier New" w:cs="Courier New"/>
        </w:rPr>
        <w:t xml:space="preserve"> 0, but can be set to 1 to perform an impulse approximation calculation (i.e. ignoring nuclear effects)</w:t>
      </w:r>
    </w:p>
    <w:p w14:paraId="50EF82AB" w14:textId="77777777" w:rsidR="00F4248B" w:rsidRDefault="00F4248B">
      <w:pPr>
        <w:rPr>
          <w:rFonts w:ascii="Courier New" w:hAnsi="Courier New" w:cs="Courier New"/>
        </w:rPr>
      </w:pPr>
      <w:r>
        <w:rPr>
          <w:rFonts w:ascii="Courier New" w:hAnsi="Courier New" w:cs="Courier New"/>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1" w:name="Installation"/>
      <w:bookmarkStart w:id="2" w:name="_Toc461369150"/>
      <w:r>
        <w:rPr>
          <w:rFonts w:ascii="Courier New" w:hAnsi="Courier New" w:cs="Courier New"/>
          <w:sz w:val="32"/>
        </w:rPr>
        <w:lastRenderedPageBreak/>
        <w:t>Installation</w:t>
      </w:r>
      <w:bookmarkEnd w:id="1"/>
      <w:bookmarkEnd w:id="2"/>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w:t>
      </w:r>
      <w:proofErr w:type="gramStart"/>
      <w:r>
        <w:rPr>
          <w:rFonts w:ascii="Courier New" w:hAnsi="Courier New" w:cs="Courier New"/>
        </w:rPr>
        <w:t>support</w:t>
      </w:r>
      <w:proofErr w:type="gramEnd"/>
      <w:r>
        <w:rPr>
          <w:rFonts w:ascii="Courier New" w:hAnsi="Courier New" w:cs="Courier New"/>
        </w:rPr>
        <w:t xml:space="preserve">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3" w:name="Input"/>
      <w:bookmarkStart w:id="4" w:name="_Toc461369151"/>
      <w:r>
        <w:rPr>
          <w:rFonts w:ascii="Courier New" w:hAnsi="Courier New" w:cs="Courier New"/>
          <w:sz w:val="32"/>
          <w:szCs w:val="28"/>
        </w:rPr>
        <w:t>Input</w:t>
      </w:r>
      <w:bookmarkEnd w:id="3"/>
      <w:bookmarkEnd w:id="4"/>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xml:space="preserve"># Charge of beam two </w:t>
      </w:r>
      <w:proofErr w:type="gramStart"/>
      <w:r>
        <w:rPr>
          <w:rFonts w:ascii="Courier New" w:hAnsi="Courier New" w:cs="Courier New"/>
        </w:rPr>
        <w:t>projectile</w:t>
      </w:r>
      <w:proofErr w:type="gramEnd"/>
      <w:r>
        <w:rPr>
          <w:rFonts w:ascii="Courier New" w:hAnsi="Courier New" w:cs="Courier New"/>
        </w:rPr>
        <w:t>.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xml:space="preserve"># Atomic number of beam two </w:t>
      </w:r>
      <w:proofErr w:type="gramStart"/>
      <w:r>
        <w:rPr>
          <w:rFonts w:ascii="Courier New" w:hAnsi="Courier New" w:cs="Courier New"/>
        </w:rPr>
        <w:t>projectile</w:t>
      </w:r>
      <w:proofErr w:type="gramEnd"/>
      <w:r>
        <w:rPr>
          <w:rFonts w:ascii="Courier New" w:hAnsi="Courier New" w:cs="Courier New"/>
        </w:rPr>
        <w:t>.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xml:space="preserve"># Lorentz boost for beam two </w:t>
      </w:r>
      <w:proofErr w:type="gramStart"/>
      <w:r>
        <w:rPr>
          <w:rFonts w:ascii="Courier New" w:hAnsi="Courier New" w:cs="Courier New"/>
        </w:rPr>
        <w:t>projectile</w:t>
      </w:r>
      <w:proofErr w:type="gramEnd"/>
      <w:r>
        <w:rPr>
          <w:rFonts w:ascii="Courier New" w:hAnsi="Courier New" w:cs="Courier New"/>
        </w:rPr>
        <w:t>(pz&lt;0).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bookmarkStart w:id="5" w:name="_GoBack"/>
      <w:bookmarkEnd w:id="5"/>
    </w:p>
    <w:p w14:paraId="379B380D" w14:textId="77777777" w:rsidR="00117604" w:rsidRDefault="00117604">
      <w:pPr>
        <w:pStyle w:val="PlainText"/>
        <w:ind w:left="2880" w:hanging="2880"/>
        <w:rPr>
          <w:rFonts w:ascii="Courier New" w:hAnsi="Courier New" w:cs="Courier New"/>
        </w:rPr>
      </w:pP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lastRenderedPageBreak/>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lastRenderedPageBreak/>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6" w:name="_Toc461369152"/>
      <w:bookmarkEnd w:id="6"/>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7" w:name="DPMJET"/>
      <w:bookmarkEnd w:id="7"/>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8" w:name="FloatingTrap"/>
      <w:r>
        <w:rPr>
          <w:rFonts w:ascii="Courier New" w:hAnsi="Courier New" w:cs="Courier New"/>
        </w:rPr>
        <w:t>Unfortunately</w:t>
      </w:r>
      <w:bookmarkEnd w:id="8"/>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9" w:name="_Toc461369153"/>
      <w:bookmarkEnd w:id="9"/>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0" w:name="Output"/>
      <w:bookmarkEnd w:id="10"/>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1" w:name="_Toc461369154"/>
      <w:bookmarkEnd w:id="11"/>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2" w:name="_Toc461369155"/>
      <w:bookmarkEnd w:id="12"/>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gramStart"/>
      <w:r>
        <w:rPr>
          <w:rFonts w:ascii="Courier New" w:hAnsi="Courier New" w:cs="Courier New"/>
        </w:rPr>
        <w:t>starlight.root</w:t>
      </w:r>
      <w:proofErr w:type="gramEnd"/>
      <w:r>
        <w:rPr>
          <w:rFonts w:ascii="Courier New" w:hAnsi="Courier New" w:cs="Courier New"/>
        </w:rPr>
        <w:t xml:space="preserve">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w:t>
      </w:r>
      <w:proofErr w:type="gramStart"/>
      <w:r>
        <w:rPr>
          <w:rFonts w:ascii="Courier New" w:hAnsi="Courier New" w:cs="Courier New"/>
        </w:rPr>
        <w:t>starlight.root</w:t>
      </w:r>
      <w:proofErr w:type="gramEnd"/>
      <w:r>
        <w:rPr>
          <w:rFonts w:ascii="Courier New" w:hAnsi="Courier New" w:cs="Courier New"/>
        </w:rPr>
        <w:t xml:space="preserve">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gramStart"/>
      <w:r>
        <w:rPr>
          <w:rFonts w:ascii="Courier New" w:hAnsi="Courier New" w:cs="Courier New"/>
        </w:rPr>
        <w:t>starlight.root</w:t>
      </w:r>
      <w:proofErr w:type="gramEnd"/>
      <w:r>
        <w:rPr>
          <w:rFonts w:ascii="Courier New" w:hAnsi="Courier New" w:cs="Courier New"/>
        </w:rPr>
        <w:t xml:space="preserve">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3" w:name="beam_cpp"/>
      <w:bookmarkEnd w:id="13"/>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4" w:name="beambeamsystem_cpp"/>
      <w:bookmarkEnd w:id="14"/>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5" w:name="bessel_cpp"/>
      <w:bookmarkEnd w:id="15"/>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16" w:name="eventchannel_cpp"/>
      <w:bookmarkEnd w:id="16"/>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17" w:name="eventfilewriter_cpp"/>
      <w:bookmarkEnd w:id="17"/>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18" w:name="filewriter_cpp"/>
      <w:bookmarkEnd w:id="18"/>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19" w:name="gammaaluminosity_cpp"/>
      <w:bookmarkEnd w:id="19"/>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0" w:name="gammaavm_cpp"/>
      <w:bookmarkEnd w:id="20"/>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1" w:name="gammagammaleptonpair_cpp"/>
      <w:bookmarkEnd w:id="21"/>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2" w:name="gammagammasingle_cpp"/>
      <w:bookmarkEnd w:id="22"/>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3" w:name="incoherentPhotonNucleusLuminosity_cpp"/>
      <w:bookmarkEnd w:id="23"/>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4" w:name="incoherentVMCrossSection_cpp"/>
      <w:bookmarkEnd w:id="24"/>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5" w:name="inputParameters_cpp"/>
      <w:bookmarkEnd w:id="25"/>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26" w:name="inputParser_cpp"/>
      <w:bookmarkEnd w:id="26"/>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27" w:name="lorentzvector_cpp"/>
      <w:bookmarkEnd w:id="27"/>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28" w:name="main_cpp"/>
      <w:bookmarkEnd w:id="28"/>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29" w:name="narrowResonanceCrossSection_cpp"/>
      <w:bookmarkEnd w:id="29"/>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0" w:name="nBodyPhaseSpaceGen_cpp"/>
      <w:bookmarkEnd w:id="30"/>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1" w:name="nucleus_cpp"/>
      <w:bookmarkEnd w:id="31"/>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2" w:name="photonNucleusCrossSection_cpp"/>
      <w:bookmarkEnd w:id="32"/>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3" w:name="pythiadecayer_cpp"/>
      <w:bookmarkEnd w:id="33"/>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4" w:name="randomgenerator_cpp"/>
      <w:bookmarkEnd w:id="34"/>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5" w:name="readinluminosity_cpp"/>
      <w:bookmarkEnd w:id="35"/>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36" w:name="spectrum_cpp"/>
      <w:bookmarkStart w:id="37" w:name="reportingUtils_cpp"/>
      <w:bookmarkEnd w:id="36"/>
      <w:bookmarkEnd w:id="37"/>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38" w:name="sprectrumprotonnucleus_cpp"/>
      <w:bookmarkEnd w:id="38"/>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39" w:name="starlight_cpp"/>
      <w:bookmarkEnd w:id="39"/>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0" w:name="starlightdpmjet_cpp"/>
      <w:bookmarkEnd w:id="40"/>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1" w:name="starlightparticle_cpp"/>
      <w:bookmarkEnd w:id="41"/>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2" w:name="starlightparticlecodes_cpp"/>
      <w:bookmarkEnd w:id="42"/>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3" w:name="starlightpythia_cpp"/>
      <w:bookmarkEnd w:id="43"/>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4" w:name="starlightStandalone_cpp"/>
      <w:bookmarkEnd w:id="44"/>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5" w:name="twophotonluminosity_cpp"/>
      <w:bookmarkEnd w:id="45"/>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46" w:name="upcevent_cpp"/>
      <w:bookmarkEnd w:id="46"/>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47" w:name="vector_cpp"/>
      <w:bookmarkEnd w:id="47"/>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48" w:name="wideResonanceCrossSection_cpp"/>
      <w:bookmarkEnd w:id="48"/>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49" w:name="beam_h"/>
      <w:r>
        <w:rPr>
          <w:rFonts w:ascii="Courier New" w:hAnsi="Courier New" w:cs="Courier New"/>
        </w:rPr>
        <w:tab/>
      </w:r>
      <w:r>
        <w:rPr>
          <w:rFonts w:ascii="Courier New" w:hAnsi="Courier New" w:cs="Courier New"/>
          <w:sz w:val="21"/>
          <w:szCs w:val="21"/>
        </w:rPr>
        <w:t>beam.h</w:t>
      </w:r>
      <w:bookmarkEnd w:id="49"/>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0" w:name="beambeamsystem_h"/>
      <w:r>
        <w:rPr>
          <w:rFonts w:ascii="Courier New" w:hAnsi="Courier New" w:cs="Courier New"/>
          <w:sz w:val="21"/>
          <w:szCs w:val="21"/>
        </w:rPr>
        <w:t>beambeamsystem.h</w:t>
      </w:r>
      <w:bookmarkEnd w:id="50"/>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1" w:name="bessel_h"/>
      <w:r>
        <w:rPr>
          <w:rFonts w:ascii="Courier New" w:hAnsi="Courier New" w:cs="Courier New"/>
          <w:sz w:val="21"/>
          <w:szCs w:val="21"/>
        </w:rPr>
        <w:t>bessel.h</w:t>
      </w:r>
      <w:bookmarkEnd w:id="51"/>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2" w:name="eventchannel_h"/>
      <w:bookmarkEnd w:id="52"/>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3" w:name="eventfilewriter_h"/>
      <w:bookmarkEnd w:id="53"/>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4" w:name="filewriter_h"/>
      <w:bookmarkEnd w:id="54"/>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5" w:name="gammaaluminosity_h"/>
      <w:bookmarkEnd w:id="55"/>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F4248B">
      <w:pPr>
        <w:pStyle w:val="PlainText"/>
        <w:ind w:left="2160" w:firstLine="720"/>
        <w:rPr>
          <w:rFonts w:ascii="Courier New" w:hAnsi="Courier New" w:cs="Courier New"/>
          <w:sz w:val="20"/>
        </w:rPr>
      </w:pPr>
      <w:hyperlink w:anchor="gammaaluminosity_cpp">
        <w:r>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gammaavm_h"/>
      <w:bookmarkEnd w:id="56"/>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gammagammaleptonpair_h"/>
      <w:bookmarkEnd w:id="57"/>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gammagammasingle_h"/>
      <w:bookmarkEnd w:id="58"/>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incoherentPhotonNucleusLuminosity_h"/>
      <w:bookmarkEnd w:id="59"/>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incoherentVMCrossSection_h"/>
      <w:bookmarkEnd w:id="60"/>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inputParameters_h"/>
      <w:bookmarkEnd w:id="61"/>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inputParser_h"/>
      <w:r>
        <w:rPr>
          <w:rFonts w:ascii="Courier New" w:hAnsi="Courier New" w:cs="Courier New"/>
        </w:rPr>
        <w:t>inputParser.h</w:t>
      </w:r>
    </w:p>
    <w:bookmarkEnd w:id="62"/>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lorentzvector_h"/>
      <w:bookmarkEnd w:id="63"/>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narrowResonanceCrossSection_h"/>
      <w:bookmarkEnd w:id="64"/>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nBodyPhaseSpaceGen_h"/>
      <w:bookmarkEnd w:id="65"/>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nucleus_h"/>
      <w:bookmarkEnd w:id="66"/>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photonNucleusCrossSection_h"/>
      <w:bookmarkEnd w:id="67"/>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pythiadecayer_h"/>
      <w:r>
        <w:rPr>
          <w:rFonts w:ascii="Courier New" w:hAnsi="Courier New" w:cs="Courier New"/>
        </w:rPr>
        <w:t>pythiadecayer.h</w:t>
      </w:r>
    </w:p>
    <w:bookmarkEnd w:id="68"/>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PythiaStarlight_h"/>
      <w:bookmarkEnd w:id="69"/>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randomgenerator_h"/>
      <w:bookmarkEnd w:id="70"/>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readinluminosity_h"/>
      <w:bookmarkEnd w:id="71"/>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reportingUtils_h"/>
      <w:r>
        <w:rPr>
          <w:rFonts w:ascii="Courier New" w:hAnsi="Courier New" w:cs="Courier New"/>
        </w:rPr>
        <w:t>reportingUtils.h</w:t>
      </w:r>
    </w:p>
    <w:bookmarkEnd w:id="72"/>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spectrum_h"/>
      <w:bookmarkEnd w:id="73"/>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sprectrumprotonnucleus_h"/>
      <w:bookmarkEnd w:id="74"/>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starlight_h"/>
      <w:bookmarkEnd w:id="75"/>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starlightconstants_h"/>
      <w:r>
        <w:rPr>
          <w:rFonts w:ascii="Courier New" w:hAnsi="Courier New" w:cs="Courier New"/>
        </w:rPr>
        <w:t>starlightconstants.h</w:t>
      </w:r>
    </w:p>
    <w:bookmarkEnd w:id="76"/>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tarlightdpmjet_h"/>
      <w:r>
        <w:rPr>
          <w:rFonts w:ascii="Courier New" w:hAnsi="Courier New" w:cs="Courier New"/>
        </w:rPr>
        <w:t>starlightdpmjet.h</w:t>
      </w:r>
    </w:p>
    <w:bookmarkEnd w:id="77"/>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tarlightlimits_h"/>
      <w:bookmarkEnd w:id="78"/>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particle_h"/>
      <w:r>
        <w:rPr>
          <w:rFonts w:ascii="Courier New" w:hAnsi="Courier New" w:cs="Courier New"/>
        </w:rPr>
        <w:t>starlightparticle.h</w:t>
      </w:r>
    </w:p>
    <w:bookmarkEnd w:id="79"/>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particlecodes_h"/>
      <w:bookmarkEnd w:id="80"/>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pythia_h"/>
      <w:bookmarkEnd w:id="81"/>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Standalone_h"/>
      <w:r>
        <w:rPr>
          <w:rFonts w:ascii="Courier New" w:hAnsi="Courier New" w:cs="Courier New"/>
        </w:rPr>
        <w:t>starlightStandalone.h</w:t>
      </w:r>
    </w:p>
    <w:bookmarkEnd w:id="82"/>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twophotonluminosity_h"/>
      <w:r>
        <w:rPr>
          <w:rFonts w:ascii="Courier New" w:hAnsi="Courier New" w:cs="Courier New"/>
        </w:rPr>
        <w:t>twophotonluminosity.h</w:t>
      </w:r>
    </w:p>
    <w:bookmarkEnd w:id="83"/>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upcevent_h"/>
      <w:bookmarkEnd w:id="84"/>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vector_h"/>
      <w:r>
        <w:rPr>
          <w:rFonts w:ascii="Courier New" w:hAnsi="Courier New" w:cs="Courier New"/>
        </w:rPr>
        <w:t>vector3.h</w:t>
      </w:r>
    </w:p>
    <w:bookmarkEnd w:id="85"/>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wideResonanceCrossSection_h"/>
      <w:bookmarkEnd w:id="86"/>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CF744" w14:textId="77777777" w:rsidR="0005761B" w:rsidRDefault="0005761B">
      <w:pPr>
        <w:spacing w:after="0" w:line="240" w:lineRule="auto"/>
      </w:pPr>
      <w:r>
        <w:separator/>
      </w:r>
    </w:p>
  </w:endnote>
  <w:endnote w:type="continuationSeparator" w:id="0">
    <w:p w14:paraId="339ECFB0" w14:textId="77777777" w:rsidR="0005761B" w:rsidRDefault="0005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2307"/>
      <w:docPartObj>
        <w:docPartGallery w:val="Page Numbers (Bottom of Page)"/>
        <w:docPartUnique/>
      </w:docPartObj>
    </w:sdtPr>
    <w:sdtContent>
      <w:p w14:paraId="443F8667" w14:textId="77777777" w:rsidR="00F4248B" w:rsidRDefault="00F4248B">
        <w:pPr>
          <w:pStyle w:val="Footer"/>
          <w:jc w:val="center"/>
        </w:pPr>
        <w:r>
          <w:fldChar w:fldCharType="begin"/>
        </w:r>
        <w:r>
          <w:instrText>PAGE</w:instrText>
        </w:r>
        <w:r>
          <w:fldChar w:fldCharType="separate"/>
        </w:r>
        <w:r w:rsidR="000E7892">
          <w:rPr>
            <w:noProof/>
          </w:rPr>
          <w:t>7</w:t>
        </w:r>
        <w:r>
          <w:fldChar w:fldCharType="end"/>
        </w:r>
      </w:p>
    </w:sdtContent>
  </w:sdt>
  <w:p w14:paraId="5413EBDE" w14:textId="77777777" w:rsidR="00F4248B" w:rsidRDefault="00F424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B49F1" w14:textId="77777777" w:rsidR="0005761B" w:rsidRDefault="0005761B">
      <w:pPr>
        <w:spacing w:after="0" w:line="240" w:lineRule="auto"/>
      </w:pPr>
      <w:r>
        <w:separator/>
      </w:r>
    </w:p>
  </w:footnote>
  <w:footnote w:type="continuationSeparator" w:id="0">
    <w:p w14:paraId="7D42CB83" w14:textId="77777777" w:rsidR="0005761B" w:rsidRDefault="000576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04"/>
    <w:rsid w:val="0005761B"/>
    <w:rsid w:val="000E7892"/>
    <w:rsid w:val="00117604"/>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rlight.hepforge.org/svn/trunk" TargetMode="External"/><Relationship Id="rId8" Type="http://schemas.openxmlformats.org/officeDocument/2006/relationships/hyperlink" Target="https://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9A9B-4C55-7D4D-8DBB-E4540952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40</Pages>
  <Words>9675</Words>
  <Characters>55153</Characters>
  <Application>Microsoft Macintosh Word</Application>
  <DocSecurity>0</DocSecurity>
  <Lines>459</Lines>
  <Paragraphs>129</Paragraphs>
  <ScaleCrop>false</ScaleCrop>
  <LinksUpToDate>false</LinksUpToDate>
  <CharactersWithSpaces>64699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34</cp:revision>
  <cp:lastPrinted>2016-09-11T19:59:00Z</cp:lastPrinted>
  <dcterms:created xsi:type="dcterms:W3CDTF">2015-09-21T12:58:00Z</dcterms:created>
  <dcterms:modified xsi:type="dcterms:W3CDTF">2017-07-13T00:09:00Z</dcterms:modified>
  <dc:language>en-US</dc:language>
</cp:coreProperties>
</file>