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Title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Acceptable Use Policy</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ID</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POL-AUP-001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Owner</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Chief Information Security Officer (CISO)</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Approved By</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Executive Leadership Team (approval pending, following Legal and HR review)</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Pending (DD/MM/YYYY to be entered 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Effective Date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Upon approval and staff acknowledgment (see Appendix A)</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Next Review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12 months from approval date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Applicable Regulations</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ISO/IEC 27001:2022, HIPAA, PCI DSS v4.0, GDPR / UK GDPR, NIST CSF 2.0, UAE NESA</w:t>
            </w:r>
          </w:p>
        </w:tc>
      </w:tr>
    </w:tbl>
    <w:p>
      <w:pPr>
        <w:spacing w:after="200"/>
      </w:pPr>
    </w:p>
    <w:p>
      <w:pPr>
        <w:pStyle w:val="Heading1"/>
        <w:keepNext/>
      </w:pPr>
      <w:r>
        <w:rPr>
          <w:rFonts w:ascii="Arial" w:cs="Arial" w:eastAsia="Arial" w:hAnsi="Arial"/>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w:t>
            </w:r>
          </w:p>
        </w:tc>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44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Changes</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 (draft)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12/10/2026</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Augustine Ozor, GRC Analyst</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Initial draft, created after HR Director Aisha Patel escalated misuse incidents to Michael Chen. Replaces the generic IT agreement signed in 2019.</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Pending</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Executive Leadership Team</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Approval, Legal and HR review, and publication.</w:t>
            </w:r>
          </w:p>
        </w:tc>
      </w:tr>
    </w:tbl>
    <w:p>
      <w:pPr>
        <w:spacing w:after="160"/>
      </w:pPr>
    </w:p>
    <w:p>
      <w:r>
        <w:br w:type="page"/>
      </w:r>
    </w:p>
    <w:p>
      <w:pPr>
        <w:pStyle w:val="Heading1"/>
        <w:keepNext/>
      </w:pPr>
      <w:r>
        <w:rPr>
          <w:rFonts w:ascii="Arial" w:cs="Arial" w:eastAsia="Arial" w:hAnsi="Arial"/>
        </w:rPr>
        <w:t xml:space="preserve">1. Purpose</w:t>
      </w:r>
    </w:p>
    <w:p>
      <w:pPr>
        <w:spacing w:after="120"/>
      </w:pPr>
      <w:r>
        <w:rPr>
          <w:rFonts w:ascii="Arial" w:cs="Arial" w:eastAsia="Arial" w:hAnsi="Arial"/>
          <w:sz w:val="20"/>
          <w:szCs w:val="20"/>
        </w:rPr>
        <w:t xml:space="preserve">This Acceptable Use Policy (the "Policy") sets out how NexusGuard Technologies Ltd. ("NexusGuard") technology, information and services may and may not be used. It protects NexusGuard, its clients and its people from the risks created by misuse, including data loss, regulatory breach, malware, legal liability and damage to client trust.</w:t>
      </w:r>
    </w:p>
    <w:p>
      <w:pPr>
        <w:spacing w:after="120"/>
      </w:pPr>
      <w:r>
        <w:rPr>
          <w:rFonts w:ascii="Arial" w:cs="Arial" w:eastAsia="Arial" w:hAnsi="Arial"/>
          <w:sz w:val="20"/>
          <w:szCs w:val="20"/>
        </w:rPr>
        <w:t xml:space="preserve">NexusGuard handles confidential client information, including protected health information and payment data. The generic IT agreement that staff signed in 2019 does not address cloud services, personal devices or remote work. This Policy replaces it and gives NexusGuard a clear, enforceable basis for setting expectations and for taking disciplinary action where those expectations are not met.</w:t>
      </w:r>
    </w:p>
    <w:p>
      <w:pPr>
        <w:spacing w:after="120"/>
      </w:pPr>
      <w:r>
        <w:rPr>
          <w:rFonts w:ascii="Arial" w:cs="Arial" w:eastAsia="Arial" w:hAnsi="Arial"/>
          <w:sz w:val="20"/>
          <w:szCs w:val="20"/>
        </w:rPr>
        <w:t xml:space="preserve">This Policy shall:</w:t>
      </w:r>
    </w:p>
    <w:p>
      <w:pPr>
        <w:pStyle w:val="ListParagraph"/>
        <w:numPr>
          <w:ilvl w:val="0"/>
          <w:numId w:val="2"/>
        </w:numPr>
        <w:spacing w:after="60"/>
      </w:pPr>
      <w:r>
        <w:rPr>
          <w:rFonts w:ascii="Arial" w:cs="Arial" w:eastAsia="Arial" w:hAnsi="Arial"/>
          <w:sz w:val="20"/>
          <w:szCs w:val="20"/>
        </w:rPr>
        <w:t xml:space="preserve">define acceptable use of company-owned devices, personal devices, internet, social media, email, and cloud and SaaS services;</w:t>
      </w:r>
    </w:p>
    <w:p>
      <w:pPr>
        <w:pStyle w:val="ListParagraph"/>
        <w:numPr>
          <w:ilvl w:val="0"/>
          <w:numId w:val="2"/>
        </w:numPr>
        <w:spacing w:after="60"/>
      </w:pPr>
      <w:r>
        <w:rPr>
          <w:rFonts w:ascii="Arial" w:cs="Arial" w:eastAsia="Arial" w:hAnsi="Arial"/>
          <w:sz w:val="20"/>
          <w:szCs w:val="20"/>
        </w:rPr>
        <w:t xml:space="preserve">prohibit specific activities, including cryptocurrency mining, forwarding sensitive data to personal accounts, illegal content and unauthorized software;</w:t>
      </w:r>
    </w:p>
    <w:p>
      <w:pPr>
        <w:pStyle w:val="ListParagraph"/>
        <w:numPr>
          <w:ilvl w:val="0"/>
          <w:numId w:val="2"/>
        </w:numPr>
        <w:spacing w:after="60"/>
      </w:pPr>
      <w:r>
        <w:rPr>
          <w:rFonts w:ascii="Arial" w:cs="Arial" w:eastAsia="Arial" w:hAnsi="Arial"/>
          <w:sz w:val="20"/>
          <w:szCs w:val="20"/>
        </w:rPr>
        <w:t xml:space="preserve">set security requirements for remote work and home networks;</w:t>
      </w:r>
    </w:p>
    <w:p>
      <w:pPr>
        <w:pStyle w:val="ListParagraph"/>
        <w:numPr>
          <w:ilvl w:val="0"/>
          <w:numId w:val="2"/>
        </w:numPr>
        <w:spacing w:after="60"/>
      </w:pPr>
      <w:r>
        <w:rPr>
          <w:rFonts w:ascii="Arial" w:cs="Arial" w:eastAsia="Arial" w:hAnsi="Arial"/>
          <w:sz w:val="20"/>
          <w:szCs w:val="20"/>
        </w:rPr>
        <w:t xml:space="preserve">inform users that their use of NexusGuard systems is monitored and may be audited; and</w:t>
      </w:r>
    </w:p>
    <w:p>
      <w:pPr>
        <w:pStyle w:val="ListParagraph"/>
        <w:numPr>
          <w:ilvl w:val="0"/>
          <w:numId w:val="2"/>
        </w:numPr>
        <w:spacing w:after="60"/>
      </w:pPr>
      <w:r>
        <w:rPr>
          <w:rFonts w:ascii="Arial" w:cs="Arial" w:eastAsia="Arial" w:hAnsi="Arial"/>
          <w:sz w:val="20"/>
          <w:szCs w:val="20"/>
        </w:rPr>
        <w:t xml:space="preserve">state the tiered consequences of violations, from a warning to termination.</w:t>
      </w:r>
    </w:p>
    <w:p>
      <w:pPr>
        <w:pStyle w:val="Heading1"/>
        <w:keepNext/>
      </w:pPr>
      <w:r>
        <w:rPr>
          <w:rFonts w:ascii="Arial" w:cs="Arial" w:eastAsia="Arial" w:hAnsi="Arial"/>
        </w:rPr>
        <w:t xml:space="preserve">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Dimension</w:t>
            </w:r>
          </w:p>
        </w:tc>
        <w:tc>
          <w:tcPr>
            <w:tcW w:type="dxa" w:w="71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Coverage</w:t>
            </w:r>
          </w:p>
        </w:tc>
      </w:tr>
      <w:tr>
        <w:trPr>
          <w:cantSplit/>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Who</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employees (permanent, fixed-term and part-time), contractors, consultants, temporary staff, interns, directors with system access, and third parties using NexusGuard systems or data, together referred to as "users". This includes </w:t>
            </w:r>
            <w:r>
              <w:rPr>
                <w:rFonts w:ascii="Arial" w:cs="Arial" w:eastAsia="Arial" w:hAnsi="Arial"/>
                <w:b/>
                <w:bCs/>
                <w:sz w:val="20"/>
                <w:szCs w:val="20"/>
              </w:rPr>
              <w:t xml:space="preserve">PayStream Analytics</w:t>
            </w:r>
            <w:r>
              <w:rPr>
                <w:rFonts w:ascii="Arial" w:cs="Arial" w:eastAsia="Arial" w:hAnsi="Arial"/>
                <w:b w:val="false"/>
                <w:bCs w:val="false"/>
                <w:sz w:val="20"/>
                <w:szCs w:val="20"/>
              </w:rPr>
              <w:t xml:space="preserve"> personnel.</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Where</w:t>
            </w:r>
          </w:p>
        </w:tc>
        <w:tc>
          <w:tcPr>
            <w:tcW w:type="dxa" w:w="71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Dubai headquarters, London and New York offices, data centers, home and remote locations, and anywhere users work while traveling.</w:t>
            </w:r>
          </w:p>
        </w:tc>
      </w:tr>
      <w:tr>
        <w:trPr>
          <w:cantSplit/>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Devices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Company-owned laptops, phones, tablets and other equipment, and personally owned devices that access NexusGuard information or networks (BYOD).</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Services</w:t>
            </w:r>
          </w:p>
        </w:tc>
        <w:tc>
          <w:tcPr>
            <w:tcW w:type="dxa" w:w="71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Email, messaging, internet access, social media, cloud and SaaS services, collaboration tools, AI tools, and networks and systems operated by or for NexusGuard.</w:t>
            </w:r>
          </w:p>
        </w:tc>
      </w:tr>
      <w:tr>
        <w:trPr>
          <w:cantSplit/>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Information</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NexusGuard and client information in any form, including PHI, personal data, cardholder data and intellectual property.</w:t>
            </w:r>
          </w:p>
        </w:tc>
      </w:tr>
    </w:tbl>
    <w:p>
      <w:pPr>
        <w:spacing w:after="160"/>
      </w:pPr>
    </w:p>
    <w:p>
      <w:pPr>
        <w:spacing w:after="120"/>
      </w:pPr>
      <w:r>
        <w:rPr>
          <w:rFonts w:ascii="Arial" w:cs="Arial" w:eastAsia="Arial" w:hAnsi="Arial"/>
          <w:sz w:val="20"/>
          <w:szCs w:val="20"/>
        </w:rPr>
        <w:t xml:space="preserve">This Policy applies at all times when users access NexusGuard systems or information, whether during or outside working hours. Where local law requires a different approach, Legal shall confirm the local position in writing, and the more protective requirement shall apply.</w:t>
      </w:r>
    </w:p>
    <w:p>
      <w:pPr>
        <w:pStyle w:val="Heading1"/>
        <w:keepNext/>
      </w:pPr>
      <w:r>
        <w:rPr>
          <w:rFonts w:ascii="Arial" w:cs="Arial" w:eastAsia="Arial" w:hAnsi="Arial"/>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Term</w:t>
            </w:r>
          </w:p>
        </w:tc>
        <w:tc>
          <w:tcPr>
            <w:tcW w:type="dxa" w:w="70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Definition</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Company-owned device</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Any laptop, phone, tablet, storage device or other equipment purchased, leased or issued by NexusGuard.</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Personal device (BYOD)</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 device owned by the user, or by a family member or other person, that is used to access NexusGuard information, applications or networks.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Managed container</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 separate, encrypted work area on a personal device, controlled by NexusGuard, that holds work applications and data apart from personal content.</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Sensitive information</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Information classified Confidential or Restricted under the Data Classification Scheme, including PHI, cardholder data, personal data, client data, source code and credentials.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Personal account</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Any email, cloud storage, messaging or other account not provisioned and controlled by NexusGuard (for example Gmail, personal Dropbox or personal WhatsApp).</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Shadow IT</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Any software, cloud service, SaaS tool, AI tool or device used for NexusGuard work without approval from IT and Security.</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Cryptocurrency mining</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Using computing resources to validate blockchain transactions or generate cryptocurrency, including software that does so without the owner's knowledge (cryptojacking).</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Gross misconduct</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Serious or deliberate breach of this Policy that damages or could seriously damage NexusGuard, its clients or others, and that may justify dismissal without notice where local law permits.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shall / should / may</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shall</w:t>
            </w:r>
            <w:r>
              <w:rPr>
                <w:rFonts w:ascii="Arial" w:cs="Arial" w:eastAsia="Arial" w:hAnsi="Arial"/>
                <w:b w:val="false"/>
                <w:bCs w:val="false"/>
                <w:sz w:val="20"/>
                <w:szCs w:val="20"/>
              </w:rPr>
              <w:t xml:space="preserve"> denotes a mandatory requirement; </w:t>
            </w:r>
            <w:r>
              <w:rPr>
                <w:rFonts w:ascii="Arial" w:cs="Arial" w:eastAsia="Arial" w:hAnsi="Arial"/>
                <w:b/>
                <w:bCs/>
                <w:sz w:val="20"/>
                <w:szCs w:val="20"/>
              </w:rPr>
              <w:t xml:space="preserve">should</w:t>
            </w:r>
            <w:r>
              <w:rPr>
                <w:rFonts w:ascii="Arial" w:cs="Arial" w:eastAsia="Arial" w:hAnsi="Arial"/>
                <w:b w:val="false"/>
                <w:bCs w:val="false"/>
                <w:sz w:val="20"/>
                <w:szCs w:val="20"/>
              </w:rPr>
              <w:t xml:space="preserve"> a recommendation; </w:t>
            </w:r>
            <w:r>
              <w:rPr>
                <w:rFonts w:ascii="Arial" w:cs="Arial" w:eastAsia="Arial" w:hAnsi="Arial"/>
                <w:b/>
                <w:bCs/>
                <w:sz w:val="20"/>
                <w:szCs w:val="20"/>
              </w:rPr>
              <w:t xml:space="preserve">may</w:t>
            </w:r>
            <w:r>
              <w:rPr>
                <w:rFonts w:ascii="Arial" w:cs="Arial" w:eastAsia="Arial" w:hAnsi="Arial"/>
                <w:b w:val="false"/>
                <w:bCs w:val="false"/>
                <w:sz w:val="20"/>
                <w:szCs w:val="20"/>
              </w:rPr>
              <w:t xml:space="preserve"> an optional action.</w:t>
            </w:r>
          </w:p>
        </w:tc>
      </w:tr>
    </w:tbl>
    <w:p>
      <w:pPr>
        <w:spacing w:after="160"/>
      </w:pPr>
    </w:p>
    <w:p>
      <w:pPr>
        <w:pStyle w:val="Heading1"/>
        <w:keepNext/>
      </w:pPr>
      <w:r>
        <w:rPr>
          <w:rFonts w:ascii="Arial" w:cs="Arial" w:eastAsia="Arial" w:hAnsi="Arial"/>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Role</w:t>
            </w:r>
          </w:p>
        </w:tc>
        <w:tc>
          <w:tcPr>
            <w:tcW w:type="dxa" w:w="70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Responsibilities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Executive Leadership Team</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approve this Policy, support its enforcement and ensure that sanctions are applied consistently.</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CISO (Policy Owner)</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own and maintain this Policy, set the technical controls that support it, and report significant violations to the Executive Leadership Team.</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HR Director and HR Department</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include this Policy in employment terms, obtain and retain signed acknowledgments, lead investigations and disciplinary action with Legal, and apply sanctions consistently.</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Legal and Compliance</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confirm that this Policy, the monitoring notice and sanctions are lawful and enforceable in each jurisdiction, and advise on investigations and referrals.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Data Protection Officer</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advise on privacy aspects of monitoring, including notices, impact assessments and employee access requests.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IT Department</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operate approved devices, MDM, web filtering and the Approved Software and Services Register, and remove unapproved software and services.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Security Operations</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monitor for violations, preserve evidence, and support investigations under written authorization.</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Line Managers</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make sure team members know and follow this Policy, approve work-related requests, and report suspected violations to HR and Security.</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All users</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read, acknowledge and follow this Policy, protect devices and credentials, and report incidents and suspected violations immediately.</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Contractors and third parties</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comply with this Policy as a condition of access. Breach may lead to contract termination.</w:t>
            </w:r>
          </w:p>
        </w:tc>
      </w:tr>
    </w:tbl>
    <w:p>
      <w:pPr>
        <w:spacing w:after="160"/>
      </w:pPr>
    </w:p>
    <w:p>
      <w:pPr>
        <w:pStyle w:val="Heading1"/>
        <w:keepNext/>
      </w:pPr>
      <w:r>
        <w:rPr>
          <w:rFonts w:ascii="Arial" w:cs="Arial" w:eastAsia="Arial" w:hAnsi="Arial"/>
        </w:rPr>
        <w:t xml:space="preserve">5. Policy Statements</w:t>
      </w:r>
    </w:p>
    <w:p>
      <w:pPr>
        <w:pStyle w:val="Heading2"/>
        <w:keepNext/>
      </w:pPr>
      <w:r>
        <w:rPr>
          <w:rFonts w:ascii="Arial" w:cs="Arial" w:eastAsia="Arial" w:hAnsi="Arial"/>
        </w:rPr>
        <w:t xml:space="preserve">5.1 General Principles</w:t>
      </w:r>
    </w:p>
    <w:p>
      <w:pPr>
        <w:tabs>
          <w:tab w:val="left" w:pos="720"/>
        </w:tabs>
        <w:spacing w:after="100"/>
        <w:ind w:left="720" w:hanging="720"/>
      </w:pPr>
      <w:r>
        <w:rPr>
          <w:rFonts w:ascii="Arial" w:cs="Arial" w:eastAsia="Arial" w:hAnsi="Arial"/>
          <w:b/>
          <w:bCs/>
          <w:color w:val="1B4F72"/>
          <w:sz w:val="20"/>
          <w:szCs w:val="20"/>
        </w:rPr>
        <w:t xml:space="preserve">5.1.1</w:t>
      </w:r>
      <w:r>
        <w:rPr>
          <w:rFonts w:ascii="Arial" w:cs="Arial" w:eastAsia="Arial" w:hAnsi="Arial"/>
        </w:rPr>
        <w:t xml:space="preserve">	</w:t>
      </w:r>
      <w:r>
        <w:rPr>
          <w:rFonts w:ascii="Arial" w:cs="Arial" w:eastAsia="Arial" w:hAnsi="Arial"/>
          <w:sz w:val="20"/>
          <w:szCs w:val="20"/>
        </w:rPr>
        <w:t xml:space="preserve">NexusGuard systems and information shall be used for legitimate business purposes. Limited, occasional personal use is permitted only where it is lawful, does not interfere with work, does not use significant resources, does not breach this Policy, and does not put information at risk.</w:t>
      </w:r>
    </w:p>
    <w:p>
      <w:pPr>
        <w:tabs>
          <w:tab w:val="left" w:pos="720"/>
        </w:tabs>
        <w:spacing w:after="100"/>
        <w:ind w:left="720" w:hanging="720"/>
      </w:pPr>
      <w:r>
        <w:rPr>
          <w:rFonts w:ascii="Arial" w:cs="Arial" w:eastAsia="Arial" w:hAnsi="Arial"/>
          <w:b/>
          <w:bCs/>
          <w:color w:val="1B4F72"/>
          <w:sz w:val="20"/>
          <w:szCs w:val="20"/>
        </w:rPr>
        <w:t xml:space="preserve">5.1.2</w:t>
      </w:r>
      <w:r>
        <w:rPr>
          <w:rFonts w:ascii="Arial" w:cs="Arial" w:eastAsia="Arial" w:hAnsi="Arial"/>
        </w:rPr>
        <w:t xml:space="preserve">	</w:t>
      </w:r>
      <w:r>
        <w:rPr>
          <w:rFonts w:ascii="Arial" w:cs="Arial" w:eastAsia="Arial" w:hAnsi="Arial"/>
          <w:sz w:val="20"/>
          <w:szCs w:val="20"/>
        </w:rPr>
        <w:t xml:space="preserve">Users shall comply with applicable laws, client contracts and NexusGuard policies, and shall act honestly and professionally when using NexusGuard technology.</w:t>
      </w:r>
    </w:p>
    <w:p>
      <w:pPr>
        <w:tabs>
          <w:tab w:val="left" w:pos="720"/>
        </w:tabs>
        <w:spacing w:after="100"/>
        <w:ind w:left="720" w:hanging="720"/>
      </w:pPr>
      <w:r>
        <w:rPr>
          <w:rFonts w:ascii="Arial" w:cs="Arial" w:eastAsia="Arial" w:hAnsi="Arial"/>
          <w:b/>
          <w:bCs/>
          <w:color w:val="1B4F72"/>
          <w:sz w:val="20"/>
          <w:szCs w:val="20"/>
        </w:rPr>
        <w:t xml:space="preserve">5.1.3</w:t>
      </w:r>
      <w:r>
        <w:rPr>
          <w:rFonts w:ascii="Arial" w:cs="Arial" w:eastAsia="Arial" w:hAnsi="Arial"/>
        </w:rPr>
        <w:t xml:space="preserve">	</w:t>
      </w:r>
      <w:r>
        <w:rPr>
          <w:rFonts w:ascii="Arial" w:cs="Arial" w:eastAsia="Arial" w:hAnsi="Arial"/>
          <w:sz w:val="20"/>
          <w:szCs w:val="20"/>
        </w:rPr>
        <w:t xml:space="preserve">Users shall not use NexusGuard systems for personal business, outside employment or any activity for personal financial gain.</w:t>
      </w:r>
    </w:p>
    <w:p>
      <w:pPr>
        <w:tabs>
          <w:tab w:val="left" w:pos="720"/>
        </w:tabs>
        <w:spacing w:after="100"/>
        <w:ind w:left="720" w:hanging="720"/>
      </w:pPr>
      <w:r>
        <w:rPr>
          <w:rFonts w:ascii="Arial" w:cs="Arial" w:eastAsia="Arial" w:hAnsi="Arial"/>
          <w:b/>
          <w:bCs/>
          <w:color w:val="1B4F72"/>
          <w:sz w:val="20"/>
          <w:szCs w:val="20"/>
        </w:rPr>
        <w:t xml:space="preserve">5.1.4</w:t>
      </w:r>
      <w:r>
        <w:rPr>
          <w:rFonts w:ascii="Arial" w:cs="Arial" w:eastAsia="Arial" w:hAnsi="Arial"/>
        </w:rPr>
        <w:t xml:space="preserve">	</w:t>
      </w:r>
      <w:r>
        <w:rPr>
          <w:rFonts w:ascii="Arial" w:cs="Arial" w:eastAsia="Arial" w:hAnsi="Arial"/>
          <w:sz w:val="20"/>
          <w:szCs w:val="20"/>
        </w:rPr>
        <w:t xml:space="preserve">Users who are unsure whether an activity is permitted shall ask their line manager, IT or Security before proceeding.</w:t>
      </w:r>
    </w:p>
    <w:p>
      <w:pPr>
        <w:tabs>
          <w:tab w:val="left" w:pos="720"/>
        </w:tabs>
        <w:spacing w:after="100"/>
        <w:ind w:left="720" w:hanging="720"/>
      </w:pPr>
      <w:r>
        <w:rPr>
          <w:rFonts w:ascii="Arial" w:cs="Arial" w:eastAsia="Arial" w:hAnsi="Arial"/>
          <w:b/>
          <w:bCs/>
          <w:color w:val="1B4F72"/>
          <w:sz w:val="20"/>
          <w:szCs w:val="20"/>
        </w:rPr>
        <w:t xml:space="preserve">5.1.5</w:t>
      </w:r>
      <w:r>
        <w:rPr>
          <w:rFonts w:ascii="Arial" w:cs="Arial" w:eastAsia="Arial" w:hAnsi="Arial"/>
        </w:rPr>
        <w:t xml:space="preserve">	</w:t>
      </w:r>
      <w:r>
        <w:rPr>
          <w:rFonts w:ascii="Arial" w:cs="Arial" w:eastAsia="Arial" w:hAnsi="Arial"/>
          <w:sz w:val="20"/>
          <w:szCs w:val="20"/>
        </w:rPr>
        <w:t xml:space="preserve">This Policy forms part of the terms of employment or engagement. It supersedes the generic IT agreement signed in 2019, and where the two differ this Policy prevails.</w:t>
      </w:r>
    </w:p>
    <w:p>
      <w:pPr>
        <w:tabs>
          <w:tab w:val="left" w:pos="720"/>
        </w:tabs>
        <w:spacing w:after="100"/>
        <w:ind w:left="720" w:hanging="720"/>
      </w:pPr>
      <w:r>
        <w:rPr>
          <w:rFonts w:ascii="Arial" w:cs="Arial" w:eastAsia="Arial" w:hAnsi="Arial"/>
          <w:b/>
          <w:bCs/>
          <w:color w:val="1B4F72"/>
          <w:sz w:val="20"/>
          <w:szCs w:val="20"/>
        </w:rPr>
        <w:t xml:space="preserve">5.1.6</w:t>
      </w:r>
      <w:r>
        <w:rPr>
          <w:rFonts w:ascii="Arial" w:cs="Arial" w:eastAsia="Arial" w:hAnsi="Arial"/>
        </w:rPr>
        <w:t xml:space="preserve">	</w:t>
      </w:r>
      <w:r>
        <w:rPr>
          <w:rFonts w:ascii="Arial" w:cs="Arial" w:eastAsia="Arial" w:hAnsi="Arial"/>
          <w:sz w:val="20"/>
          <w:szCs w:val="20"/>
        </w:rPr>
        <w:t xml:space="preserve">Nothing in this Policy restricts rights protected by law, including the right to report wrongdoing to a regulator or authority, to raise concerns about working conditions where legally protected, or to seek legal advice.</w:t>
      </w:r>
    </w:p>
    <w:p>
      <w:pPr>
        <w:pStyle w:val="Heading2"/>
        <w:keepNext/>
      </w:pPr>
      <w:r>
        <w:rPr>
          <w:rFonts w:ascii="Arial" w:cs="Arial" w:eastAsia="Arial" w:hAnsi="Arial"/>
        </w:rPr>
        <w:t xml:space="preserve">5.2 Company-Owned Devices</w:t>
      </w:r>
    </w:p>
    <w:p>
      <w:pPr>
        <w:tabs>
          <w:tab w:val="left" w:pos="720"/>
        </w:tabs>
        <w:spacing w:after="100"/>
        <w:ind w:left="720" w:hanging="720"/>
      </w:pPr>
      <w:r>
        <w:rPr>
          <w:rFonts w:ascii="Arial" w:cs="Arial" w:eastAsia="Arial" w:hAnsi="Arial"/>
          <w:b/>
          <w:bCs/>
          <w:color w:val="1B4F72"/>
          <w:sz w:val="20"/>
          <w:szCs w:val="20"/>
        </w:rPr>
        <w:t xml:space="preserve">5.2.1</w:t>
      </w:r>
      <w:r>
        <w:rPr>
          <w:rFonts w:ascii="Arial" w:cs="Arial" w:eastAsia="Arial" w:hAnsi="Arial"/>
        </w:rPr>
        <w:t xml:space="preserve">	</w:t>
      </w:r>
      <w:r>
        <w:rPr>
          <w:rFonts w:ascii="Arial" w:cs="Arial" w:eastAsia="Arial" w:hAnsi="Arial"/>
          <w:sz w:val="20"/>
          <w:szCs w:val="20"/>
        </w:rPr>
        <w:t xml:space="preserve">Company-owned devices shall be used primarily for NexusGuard business and shall remain the property of NexusGuard. Users shall not lend them to family members, friends or anyone else.</w:t>
      </w:r>
    </w:p>
    <w:p>
      <w:pPr>
        <w:tabs>
          <w:tab w:val="left" w:pos="720"/>
        </w:tabs>
        <w:spacing w:after="100"/>
        <w:ind w:left="720" w:hanging="720"/>
      </w:pPr>
      <w:r>
        <w:rPr>
          <w:rFonts w:ascii="Arial" w:cs="Arial" w:eastAsia="Arial" w:hAnsi="Arial"/>
          <w:b/>
          <w:bCs/>
          <w:color w:val="1B4F72"/>
          <w:sz w:val="20"/>
          <w:szCs w:val="20"/>
        </w:rPr>
        <w:t xml:space="preserve">5.2.2</w:t>
      </w:r>
      <w:r>
        <w:rPr>
          <w:rFonts w:ascii="Arial" w:cs="Arial" w:eastAsia="Arial" w:hAnsi="Arial"/>
        </w:rPr>
        <w:t xml:space="preserve">	</w:t>
      </w:r>
      <w:r>
        <w:rPr>
          <w:rFonts w:ascii="Arial" w:cs="Arial" w:eastAsia="Arial" w:hAnsi="Arial"/>
          <w:sz w:val="20"/>
          <w:szCs w:val="20"/>
        </w:rPr>
        <w:t xml:space="preserve">Devices shall be enrolled in device management and shall run the approved encryption, endpoint protection, firewall and automatic update settings. Users shall not disable, remove or bypass these controls.</w:t>
      </w:r>
    </w:p>
    <w:p>
      <w:pPr>
        <w:tabs>
          <w:tab w:val="left" w:pos="720"/>
        </w:tabs>
        <w:spacing w:after="100"/>
        <w:ind w:left="720" w:hanging="720"/>
      </w:pPr>
      <w:r>
        <w:rPr>
          <w:rFonts w:ascii="Arial" w:cs="Arial" w:eastAsia="Arial" w:hAnsi="Arial"/>
          <w:b/>
          <w:bCs/>
          <w:color w:val="1B4F72"/>
          <w:sz w:val="20"/>
          <w:szCs w:val="20"/>
        </w:rPr>
        <w:t xml:space="preserve">5.2.3</w:t>
      </w:r>
      <w:r>
        <w:rPr>
          <w:rFonts w:ascii="Arial" w:cs="Arial" w:eastAsia="Arial" w:hAnsi="Arial"/>
        </w:rPr>
        <w:t xml:space="preserve">	</w:t>
      </w:r>
      <w:r>
        <w:rPr>
          <w:rFonts w:ascii="Arial" w:cs="Arial" w:eastAsia="Arial" w:hAnsi="Arial"/>
          <w:sz w:val="20"/>
          <w:szCs w:val="20"/>
        </w:rPr>
        <w:t xml:space="preserve">Screens shall lock automatically after no more than 10 minutes of inactivity, and users shall lock them manually whenever they leave a device unattended.</w:t>
      </w:r>
    </w:p>
    <w:p>
      <w:pPr>
        <w:tabs>
          <w:tab w:val="left" w:pos="720"/>
        </w:tabs>
        <w:spacing w:after="100"/>
        <w:ind w:left="720" w:hanging="720"/>
      </w:pPr>
      <w:r>
        <w:rPr>
          <w:rFonts w:ascii="Arial" w:cs="Arial" w:eastAsia="Arial" w:hAnsi="Arial"/>
          <w:b/>
          <w:bCs/>
          <w:color w:val="1B4F72"/>
          <w:sz w:val="20"/>
          <w:szCs w:val="20"/>
        </w:rPr>
        <w:t xml:space="preserve">5.2.4</w:t>
      </w:r>
      <w:r>
        <w:rPr>
          <w:rFonts w:ascii="Arial" w:cs="Arial" w:eastAsia="Arial" w:hAnsi="Arial"/>
        </w:rPr>
        <w:t xml:space="preserve">	</w:t>
      </w:r>
      <w:r>
        <w:rPr>
          <w:rFonts w:ascii="Arial" w:cs="Arial" w:eastAsia="Arial" w:hAnsi="Arial"/>
          <w:sz w:val="20"/>
          <w:szCs w:val="20"/>
        </w:rPr>
        <w:t xml:space="preserve">Users shall protect devices from loss and theft, shall not leave them unattended in vehicles or public places, and shall report a lost or stolen device immediately and within 1 hour of discovery.</w:t>
      </w:r>
    </w:p>
    <w:p>
      <w:pPr>
        <w:tabs>
          <w:tab w:val="left" w:pos="720"/>
        </w:tabs>
        <w:spacing w:after="100"/>
        <w:ind w:left="720" w:hanging="720"/>
      </w:pPr>
      <w:r>
        <w:rPr>
          <w:rFonts w:ascii="Arial" w:cs="Arial" w:eastAsia="Arial" w:hAnsi="Arial"/>
          <w:b/>
          <w:bCs/>
          <w:color w:val="1B4F72"/>
          <w:sz w:val="20"/>
          <w:szCs w:val="20"/>
        </w:rPr>
        <w:t xml:space="preserve">5.2.5</w:t>
      </w:r>
      <w:r>
        <w:rPr>
          <w:rFonts w:ascii="Arial" w:cs="Arial" w:eastAsia="Arial" w:hAnsi="Arial"/>
        </w:rPr>
        <w:t xml:space="preserve">	</w:t>
      </w:r>
      <w:r>
        <w:rPr>
          <w:rFonts w:ascii="Arial" w:cs="Arial" w:eastAsia="Arial" w:hAnsi="Arial"/>
          <w:sz w:val="20"/>
          <w:szCs w:val="20"/>
        </w:rPr>
        <w:t xml:space="preserve">Phones and tablets shall use a passcode or biometric lock, shall not be jailbroken or rooted, and shall install applications only from approved stores and sources.</w:t>
      </w:r>
    </w:p>
    <w:p>
      <w:pPr>
        <w:tabs>
          <w:tab w:val="left" w:pos="720"/>
        </w:tabs>
        <w:spacing w:after="100"/>
        <w:ind w:left="720" w:hanging="720"/>
      </w:pPr>
      <w:r>
        <w:rPr>
          <w:rFonts w:ascii="Arial" w:cs="Arial" w:eastAsia="Arial" w:hAnsi="Arial"/>
          <w:b/>
          <w:bCs/>
          <w:color w:val="1B4F72"/>
          <w:sz w:val="20"/>
          <w:szCs w:val="20"/>
        </w:rPr>
        <w:t xml:space="preserve">5.2.6</w:t>
      </w:r>
      <w:r>
        <w:rPr>
          <w:rFonts w:ascii="Arial" w:cs="Arial" w:eastAsia="Arial" w:hAnsi="Arial"/>
        </w:rPr>
        <w:t xml:space="preserve">	</w:t>
      </w:r>
      <w:r>
        <w:rPr>
          <w:rFonts w:ascii="Arial" w:cs="Arial" w:eastAsia="Arial" w:hAnsi="Arial"/>
          <w:sz w:val="20"/>
          <w:szCs w:val="20"/>
        </w:rPr>
        <w:t xml:space="preserve">Users shall not install software on company devices except from the approved catalog, and shall not change administrator or system settings unless authorized.</w:t>
      </w:r>
    </w:p>
    <w:p>
      <w:pPr>
        <w:tabs>
          <w:tab w:val="left" w:pos="720"/>
        </w:tabs>
        <w:spacing w:after="100"/>
        <w:ind w:left="720" w:hanging="720"/>
      </w:pPr>
      <w:r>
        <w:rPr>
          <w:rFonts w:ascii="Arial" w:cs="Arial" w:eastAsia="Arial" w:hAnsi="Arial"/>
          <w:b/>
          <w:bCs/>
          <w:color w:val="1B4F72"/>
          <w:sz w:val="20"/>
          <w:szCs w:val="20"/>
        </w:rPr>
        <w:t xml:space="preserve">5.2.7</w:t>
      </w:r>
      <w:r>
        <w:rPr>
          <w:rFonts w:ascii="Arial" w:cs="Arial" w:eastAsia="Arial" w:hAnsi="Arial"/>
        </w:rPr>
        <w:t xml:space="preserve">	</w:t>
      </w:r>
      <w:r>
        <w:rPr>
          <w:rFonts w:ascii="Arial" w:cs="Arial" w:eastAsia="Arial" w:hAnsi="Arial"/>
          <w:sz w:val="20"/>
          <w:szCs w:val="20"/>
        </w:rPr>
        <w:t xml:space="preserve">Users shall return all company-owned devices, accessories and data on request, and within 24 hours of the end of their employment or engagement. NexusGuard may remotely lock or wipe a device that is lost, stolen or not returned.</w:t>
      </w:r>
    </w:p>
    <w:p>
      <w:pPr>
        <w:pStyle w:val="Heading2"/>
        <w:keepNext/>
      </w:pPr>
      <w:r>
        <w:rPr>
          <w:rFonts w:ascii="Arial" w:cs="Arial" w:eastAsia="Arial" w:hAnsi="Arial"/>
        </w:rPr>
        <w:t xml:space="preserve">5.3 Personal Devices (BYOD)</w:t>
      </w:r>
    </w:p>
    <w:p>
      <w:pPr>
        <w:tabs>
          <w:tab w:val="left" w:pos="720"/>
        </w:tabs>
        <w:spacing w:after="100"/>
        <w:ind w:left="720" w:hanging="720"/>
      </w:pPr>
      <w:r>
        <w:rPr>
          <w:rFonts w:ascii="Arial" w:cs="Arial" w:eastAsia="Arial" w:hAnsi="Arial"/>
          <w:b/>
          <w:bCs/>
          <w:color w:val="1B4F72"/>
          <w:sz w:val="20"/>
          <w:szCs w:val="20"/>
        </w:rPr>
        <w:t xml:space="preserve">5.3.1</w:t>
      </w:r>
      <w:r>
        <w:rPr>
          <w:rFonts w:ascii="Arial" w:cs="Arial" w:eastAsia="Arial" w:hAnsi="Arial"/>
        </w:rPr>
        <w:t xml:space="preserve">	</w:t>
      </w:r>
      <w:r>
        <w:rPr>
          <w:rFonts w:ascii="Arial" w:cs="Arial" w:eastAsia="Arial" w:hAnsi="Arial"/>
          <w:sz w:val="20"/>
          <w:szCs w:val="20"/>
        </w:rPr>
        <w:t xml:space="preserve">Personal devices may access NexusGuard email and applications only after the user has requested and received approval and the device is enrolled in the managed container. Unenrolled personal devices shall not be used for work.</w:t>
      </w:r>
    </w:p>
    <w:p>
      <w:pPr>
        <w:tabs>
          <w:tab w:val="left" w:pos="720"/>
        </w:tabs>
        <w:spacing w:after="100"/>
        <w:ind w:left="720" w:hanging="720"/>
      </w:pPr>
      <w:r>
        <w:rPr>
          <w:rFonts w:ascii="Arial" w:cs="Arial" w:eastAsia="Arial" w:hAnsi="Arial"/>
          <w:b/>
          <w:bCs/>
          <w:color w:val="1B4F72"/>
          <w:sz w:val="20"/>
          <w:szCs w:val="20"/>
        </w:rPr>
        <w:t xml:space="preserve">5.3.2</w:t>
      </w:r>
      <w:r>
        <w:rPr>
          <w:rFonts w:ascii="Arial" w:cs="Arial" w:eastAsia="Arial" w:hAnsi="Arial"/>
        </w:rPr>
        <w:t xml:space="preserve">	</w:t>
      </w:r>
      <w:r>
        <w:rPr>
          <w:rFonts w:ascii="Arial" w:cs="Arial" w:eastAsia="Arial" w:hAnsi="Arial"/>
          <w:sz w:val="20"/>
          <w:szCs w:val="20"/>
        </w:rPr>
        <w:t xml:space="preserve">Personal devices shall run a supported operating system with current security updates, shall use a passcode or biometric lock and device encryption, and shall not be jailbroken or rooted.</w:t>
      </w:r>
    </w:p>
    <w:p>
      <w:pPr>
        <w:tabs>
          <w:tab w:val="left" w:pos="720"/>
        </w:tabs>
        <w:spacing w:after="100"/>
        <w:ind w:left="720" w:hanging="720"/>
      </w:pPr>
      <w:r>
        <w:rPr>
          <w:rFonts w:ascii="Arial" w:cs="Arial" w:eastAsia="Arial" w:hAnsi="Arial"/>
          <w:b/>
          <w:bCs/>
          <w:color w:val="1B4F72"/>
          <w:sz w:val="20"/>
          <w:szCs w:val="20"/>
        </w:rPr>
        <w:t xml:space="preserve">5.3.3</w:t>
      </w:r>
      <w:r>
        <w:rPr>
          <w:rFonts w:ascii="Arial" w:cs="Arial" w:eastAsia="Arial" w:hAnsi="Arial"/>
        </w:rPr>
        <w:t xml:space="preserve">	</w:t>
      </w:r>
      <w:r>
        <w:rPr>
          <w:rFonts w:ascii="Arial" w:cs="Arial" w:eastAsia="Arial" w:hAnsi="Arial"/>
          <w:sz w:val="20"/>
          <w:szCs w:val="20"/>
        </w:rPr>
        <w:t xml:space="preserve">Work data shall be held only inside the managed container. Users shall not copy work data to personal apps, personal cloud storage, local folders or other devices.</w:t>
      </w:r>
    </w:p>
    <w:p>
      <w:pPr>
        <w:tabs>
          <w:tab w:val="left" w:pos="720"/>
        </w:tabs>
        <w:spacing w:after="100"/>
        <w:ind w:left="720" w:hanging="720"/>
      </w:pPr>
      <w:r>
        <w:rPr>
          <w:rFonts w:ascii="Arial" w:cs="Arial" w:eastAsia="Arial" w:hAnsi="Arial"/>
          <w:b/>
          <w:bCs/>
          <w:color w:val="1B4F72"/>
          <w:sz w:val="20"/>
          <w:szCs w:val="20"/>
        </w:rPr>
        <w:t xml:space="preserve">5.3.4</w:t>
      </w:r>
      <w:r>
        <w:rPr>
          <w:rFonts w:ascii="Arial" w:cs="Arial" w:eastAsia="Arial" w:hAnsi="Arial"/>
        </w:rPr>
        <w:t xml:space="preserve">	</w:t>
      </w:r>
      <w:r>
        <w:rPr>
          <w:rFonts w:ascii="Arial" w:cs="Arial" w:eastAsia="Arial" w:hAnsi="Arial"/>
          <w:sz w:val="20"/>
          <w:szCs w:val="20"/>
        </w:rPr>
        <w:t xml:space="preserve">Restricted information, including PHI and cardholder data, shall not be stored or processed on personal devices.</w:t>
      </w:r>
    </w:p>
    <w:p>
      <w:pPr>
        <w:tabs>
          <w:tab w:val="left" w:pos="720"/>
        </w:tabs>
        <w:spacing w:after="100"/>
        <w:ind w:left="720" w:hanging="720"/>
      </w:pPr>
      <w:r>
        <w:rPr>
          <w:rFonts w:ascii="Arial" w:cs="Arial" w:eastAsia="Arial" w:hAnsi="Arial"/>
          <w:b/>
          <w:bCs/>
          <w:color w:val="1B4F72"/>
          <w:sz w:val="20"/>
          <w:szCs w:val="20"/>
        </w:rPr>
        <w:t xml:space="preserve">5.3.5</w:t>
      </w:r>
      <w:r>
        <w:rPr>
          <w:rFonts w:ascii="Arial" w:cs="Arial" w:eastAsia="Arial" w:hAnsi="Arial"/>
        </w:rPr>
        <w:t xml:space="preserve">	</w:t>
      </w:r>
      <w:r>
        <w:rPr>
          <w:rFonts w:ascii="Arial" w:cs="Arial" w:eastAsia="Arial" w:hAnsi="Arial"/>
          <w:sz w:val="20"/>
          <w:szCs w:val="20"/>
        </w:rPr>
        <w:t xml:space="preserve">Personal devices shall connect to NexusGuard systems only through approved secure access (VPN or zero-trust access with MFA) or the BYOD network segment, and never to the internal corporate network directly.</w:t>
      </w:r>
    </w:p>
    <w:p>
      <w:pPr>
        <w:tabs>
          <w:tab w:val="left" w:pos="720"/>
        </w:tabs>
        <w:spacing w:after="100"/>
        <w:ind w:left="720" w:hanging="720"/>
      </w:pPr>
      <w:r>
        <w:rPr>
          <w:rFonts w:ascii="Arial" w:cs="Arial" w:eastAsia="Arial" w:hAnsi="Arial"/>
          <w:b/>
          <w:bCs/>
          <w:color w:val="1B4F72"/>
          <w:sz w:val="20"/>
          <w:szCs w:val="20"/>
        </w:rPr>
        <w:t xml:space="preserve">5.3.6</w:t>
      </w:r>
      <w:r>
        <w:rPr>
          <w:rFonts w:ascii="Arial" w:cs="Arial" w:eastAsia="Arial" w:hAnsi="Arial"/>
        </w:rPr>
        <w:t xml:space="preserve">	</w:t>
      </w:r>
      <w:r>
        <w:rPr>
          <w:rFonts w:ascii="Arial" w:cs="Arial" w:eastAsia="Arial" w:hAnsi="Arial"/>
          <w:sz w:val="20"/>
          <w:szCs w:val="20"/>
        </w:rPr>
        <w:t xml:space="preserve">Users shall not allow family members or others to use a device or session that has access to NexusGuard data, and shall report loss or theft of the device within 1 hour of discovery.</w:t>
      </w:r>
    </w:p>
    <w:p>
      <w:pPr>
        <w:tabs>
          <w:tab w:val="left" w:pos="720"/>
        </w:tabs>
        <w:spacing w:after="100"/>
        <w:ind w:left="720" w:hanging="720"/>
      </w:pPr>
      <w:r>
        <w:rPr>
          <w:rFonts w:ascii="Arial" w:cs="Arial" w:eastAsia="Arial" w:hAnsi="Arial"/>
          <w:b/>
          <w:bCs/>
          <w:color w:val="1B4F72"/>
          <w:sz w:val="20"/>
          <w:szCs w:val="20"/>
        </w:rPr>
        <w:t xml:space="preserve">5.3.7</w:t>
      </w:r>
      <w:r>
        <w:rPr>
          <w:rFonts w:ascii="Arial" w:cs="Arial" w:eastAsia="Arial" w:hAnsi="Arial"/>
        </w:rPr>
        <w:t xml:space="preserve">	</w:t>
      </w:r>
      <w:r>
        <w:rPr>
          <w:rFonts w:ascii="Arial" w:cs="Arial" w:eastAsia="Arial" w:hAnsi="Arial"/>
          <w:sz w:val="20"/>
          <w:szCs w:val="20"/>
        </w:rPr>
        <w:t xml:space="preserve">NexusGuard may remove the managed container and its data remotely when a user leaves, when the device is lost or stolen, or when the device becomes non-compliant. NexusGuard shall not access personal photos, messages or files on a personal device, and a full device wipe shall be carried out only with the owner's consent given at enrollment or where the law permits.</w:t>
      </w:r>
    </w:p>
    <w:p>
      <w:pPr>
        <w:tabs>
          <w:tab w:val="left" w:pos="720"/>
        </w:tabs>
        <w:spacing w:after="100"/>
        <w:ind w:left="720" w:hanging="720"/>
      </w:pPr>
      <w:r>
        <w:rPr>
          <w:rFonts w:ascii="Arial" w:cs="Arial" w:eastAsia="Arial" w:hAnsi="Arial"/>
          <w:b/>
          <w:bCs/>
          <w:color w:val="1B4F72"/>
          <w:sz w:val="20"/>
          <w:szCs w:val="20"/>
        </w:rPr>
        <w:t xml:space="preserve">5.3.8</w:t>
      </w:r>
      <w:r>
        <w:rPr>
          <w:rFonts w:ascii="Arial" w:cs="Arial" w:eastAsia="Arial" w:hAnsi="Arial"/>
        </w:rPr>
        <w:t xml:space="preserve">	</w:t>
      </w:r>
      <w:r>
        <w:rPr>
          <w:rFonts w:ascii="Arial" w:cs="Arial" w:eastAsia="Arial" w:hAnsi="Arial"/>
          <w:sz w:val="20"/>
          <w:szCs w:val="20"/>
        </w:rPr>
        <w:t xml:space="preserve">Users are responsible for their personal devices, personal data and backups. NexusGuard is not liable for loss of personal data that results from compliance with this Policy.</w:t>
      </w:r>
    </w:p>
    <w:p>
      <w:pPr>
        <w:pStyle w:val="Heading2"/>
        <w:keepNext/>
      </w:pPr>
      <w:r>
        <w:rPr>
          <w:rFonts w:ascii="Arial" w:cs="Arial" w:eastAsia="Arial" w:hAnsi="Arial"/>
        </w:rPr>
        <w:t xml:space="preserve">5.4 Internet and Social Media</w:t>
      </w:r>
    </w:p>
    <w:p>
      <w:pPr>
        <w:tabs>
          <w:tab w:val="left" w:pos="720"/>
        </w:tabs>
        <w:spacing w:after="100"/>
        <w:ind w:left="720" w:hanging="720"/>
      </w:pPr>
      <w:r>
        <w:rPr>
          <w:rFonts w:ascii="Arial" w:cs="Arial" w:eastAsia="Arial" w:hAnsi="Arial"/>
          <w:b/>
          <w:bCs/>
          <w:color w:val="1B4F72"/>
          <w:sz w:val="20"/>
          <w:szCs w:val="20"/>
        </w:rPr>
        <w:t xml:space="preserve">5.4.1</w:t>
      </w:r>
      <w:r>
        <w:rPr>
          <w:rFonts w:ascii="Arial" w:cs="Arial" w:eastAsia="Arial" w:hAnsi="Arial"/>
        </w:rPr>
        <w:t xml:space="preserve">	</w:t>
      </w:r>
      <w:r>
        <w:rPr>
          <w:rFonts w:ascii="Arial" w:cs="Arial" w:eastAsia="Arial" w:hAnsi="Arial"/>
          <w:sz w:val="20"/>
          <w:szCs w:val="20"/>
        </w:rPr>
        <w:t xml:space="preserve">Internet access on NexusGuard networks and devices shall be filtered. Users shall not attempt to bypass filtering, use anonymizing proxies or unapproved VPNs, or use peer-to-peer or torrent software.</w:t>
      </w:r>
    </w:p>
    <w:p>
      <w:pPr>
        <w:tabs>
          <w:tab w:val="left" w:pos="720"/>
        </w:tabs>
        <w:spacing w:after="100"/>
        <w:ind w:left="720" w:hanging="720"/>
      </w:pPr>
      <w:r>
        <w:rPr>
          <w:rFonts w:ascii="Arial" w:cs="Arial" w:eastAsia="Arial" w:hAnsi="Arial"/>
          <w:b/>
          <w:bCs/>
          <w:color w:val="1B4F72"/>
          <w:sz w:val="20"/>
          <w:szCs w:val="20"/>
        </w:rPr>
        <w:t xml:space="preserve">5.4.2</w:t>
      </w:r>
      <w:r>
        <w:rPr>
          <w:rFonts w:ascii="Arial" w:cs="Arial" w:eastAsia="Arial" w:hAnsi="Arial"/>
        </w:rPr>
        <w:t xml:space="preserve">	</w:t>
      </w:r>
      <w:r>
        <w:rPr>
          <w:rFonts w:ascii="Arial" w:cs="Arial" w:eastAsia="Arial" w:hAnsi="Arial"/>
          <w:sz w:val="20"/>
          <w:szCs w:val="20"/>
        </w:rPr>
        <w:t xml:space="preserve">Reasonable personal browsing is permitted outside focused work time, provided it complies with this Policy, does not use excessive bandwidth (including streaming and large downloads), and does not involve prohibited content.</w:t>
      </w:r>
    </w:p>
    <w:p>
      <w:pPr>
        <w:tabs>
          <w:tab w:val="left" w:pos="720"/>
        </w:tabs>
        <w:spacing w:after="100"/>
        <w:ind w:left="720" w:hanging="720"/>
      </w:pPr>
      <w:r>
        <w:rPr>
          <w:rFonts w:ascii="Arial" w:cs="Arial" w:eastAsia="Arial" w:hAnsi="Arial"/>
          <w:b/>
          <w:bCs/>
          <w:color w:val="1B4F72"/>
          <w:sz w:val="20"/>
          <w:szCs w:val="20"/>
        </w:rPr>
        <w:t xml:space="preserve">5.4.3</w:t>
      </w:r>
      <w:r>
        <w:rPr>
          <w:rFonts w:ascii="Arial" w:cs="Arial" w:eastAsia="Arial" w:hAnsi="Arial"/>
        </w:rPr>
        <w:t xml:space="preserve">	</w:t>
      </w:r>
      <w:r>
        <w:rPr>
          <w:rFonts w:ascii="Arial" w:cs="Arial" w:eastAsia="Arial" w:hAnsi="Arial"/>
          <w:sz w:val="20"/>
          <w:szCs w:val="20"/>
        </w:rPr>
        <w:t xml:space="preserve">On personal social media accounts, users shall not disclose sensitive information, client identities, unreleased products, security incidents or internal systems details, and shall not post images of screens, badges, whiteboards or restricted areas.</w:t>
      </w:r>
    </w:p>
    <w:p>
      <w:pPr>
        <w:tabs>
          <w:tab w:val="left" w:pos="720"/>
        </w:tabs>
        <w:spacing w:after="100"/>
        <w:ind w:left="720" w:hanging="720"/>
      </w:pPr>
      <w:r>
        <w:rPr>
          <w:rFonts w:ascii="Arial" w:cs="Arial" w:eastAsia="Arial" w:hAnsi="Arial"/>
          <w:b/>
          <w:bCs/>
          <w:color w:val="1B4F72"/>
          <w:sz w:val="20"/>
          <w:szCs w:val="20"/>
        </w:rPr>
        <w:t xml:space="preserve">5.4.4</w:t>
      </w:r>
      <w:r>
        <w:rPr>
          <w:rFonts w:ascii="Arial" w:cs="Arial" w:eastAsia="Arial" w:hAnsi="Arial"/>
        </w:rPr>
        <w:t xml:space="preserve">	</w:t>
      </w:r>
      <w:r>
        <w:rPr>
          <w:rFonts w:ascii="Arial" w:cs="Arial" w:eastAsia="Arial" w:hAnsi="Arial"/>
          <w:sz w:val="20"/>
          <w:szCs w:val="20"/>
        </w:rPr>
        <w:t xml:space="preserve">Users shall not speak on behalf of NexusGuard on social media unless authorized by Marketing and Communications. Users who mention their employer shall make clear that views are personal. Official accounts shall be limited to approved roles and protected with MFA.</w:t>
      </w:r>
    </w:p>
    <w:p>
      <w:pPr>
        <w:pStyle w:val="Heading2"/>
        <w:keepNext/>
      </w:pPr>
      <w:r>
        <w:rPr>
          <w:rFonts w:ascii="Arial" w:cs="Arial" w:eastAsia="Arial" w:hAnsi="Arial"/>
        </w:rPr>
        <w:t xml:space="preserve">5.5 Email and Messaging</w:t>
      </w:r>
    </w:p>
    <w:p>
      <w:pPr>
        <w:tabs>
          <w:tab w:val="left" w:pos="720"/>
        </w:tabs>
        <w:spacing w:after="100"/>
        <w:ind w:left="720" w:hanging="720"/>
      </w:pPr>
      <w:r>
        <w:rPr>
          <w:rFonts w:ascii="Arial" w:cs="Arial" w:eastAsia="Arial" w:hAnsi="Arial"/>
          <w:b/>
          <w:bCs/>
          <w:color w:val="1B4F72"/>
          <w:sz w:val="20"/>
          <w:szCs w:val="20"/>
        </w:rPr>
        <w:t xml:space="preserve">5.5.1</w:t>
      </w:r>
      <w:r>
        <w:rPr>
          <w:rFonts w:ascii="Arial" w:cs="Arial" w:eastAsia="Arial" w:hAnsi="Arial"/>
        </w:rPr>
        <w:t xml:space="preserve">	</w:t>
      </w:r>
      <w:r>
        <w:rPr>
          <w:rFonts w:ascii="Arial" w:cs="Arial" w:eastAsia="Arial" w:hAnsi="Arial"/>
          <w:sz w:val="20"/>
          <w:szCs w:val="20"/>
        </w:rPr>
        <w:t xml:space="preserve">NexusGuard email and approved messaging tools shall be used for business communications and are NexusGuard records.</w:t>
      </w:r>
    </w:p>
    <w:p>
      <w:pPr>
        <w:tabs>
          <w:tab w:val="left" w:pos="720"/>
        </w:tabs>
        <w:spacing w:after="100"/>
        <w:ind w:left="720" w:hanging="720"/>
      </w:pPr>
      <w:r>
        <w:rPr>
          <w:rFonts w:ascii="Arial" w:cs="Arial" w:eastAsia="Arial" w:hAnsi="Arial"/>
          <w:b/>
          <w:bCs/>
          <w:color w:val="1B4F72"/>
          <w:sz w:val="20"/>
          <w:szCs w:val="20"/>
        </w:rPr>
        <w:t xml:space="preserve">5.5.2</w:t>
      </w:r>
      <w:r>
        <w:rPr>
          <w:rFonts w:ascii="Arial" w:cs="Arial" w:eastAsia="Arial" w:hAnsi="Arial"/>
        </w:rPr>
        <w:t xml:space="preserve">	</w:t>
      </w:r>
      <w:r>
        <w:rPr>
          <w:rFonts w:ascii="Arial" w:cs="Arial" w:eastAsia="Arial" w:hAnsi="Arial"/>
          <w:sz w:val="20"/>
          <w:szCs w:val="20"/>
        </w:rPr>
        <w:t xml:space="preserve">Users shall not forward, send, copy or upload NexusGuard or client information to personal email accounts (including Gmail, Outlook.com and Yahoo), personal messaging apps or personal cloud storage, for any reason, including convenience or working from home.</w:t>
      </w:r>
    </w:p>
    <w:p>
      <w:pPr>
        <w:tabs>
          <w:tab w:val="left" w:pos="720"/>
        </w:tabs>
        <w:spacing w:after="100"/>
        <w:ind w:left="720" w:hanging="720"/>
      </w:pPr>
      <w:r>
        <w:rPr>
          <w:rFonts w:ascii="Arial" w:cs="Arial" w:eastAsia="Arial" w:hAnsi="Arial"/>
          <w:b/>
          <w:bCs/>
          <w:color w:val="1B4F72"/>
          <w:sz w:val="20"/>
          <w:szCs w:val="20"/>
        </w:rPr>
        <w:t xml:space="preserve">5.5.3</w:t>
      </w:r>
      <w:r>
        <w:rPr>
          <w:rFonts w:ascii="Arial" w:cs="Arial" w:eastAsia="Arial" w:hAnsi="Arial"/>
        </w:rPr>
        <w:t xml:space="preserve">	</w:t>
      </w:r>
      <w:r>
        <w:rPr>
          <w:rFonts w:ascii="Arial" w:cs="Arial" w:eastAsia="Arial" w:hAnsi="Arial"/>
          <w:sz w:val="20"/>
          <w:szCs w:val="20"/>
        </w:rPr>
        <w:t xml:space="preserve">Automatic forwarding of NexusGuard email to any external address is prohibited and shall be blocked by technical controls.</w:t>
      </w:r>
    </w:p>
    <w:p>
      <w:pPr>
        <w:tabs>
          <w:tab w:val="left" w:pos="720"/>
        </w:tabs>
        <w:spacing w:after="100"/>
        <w:ind w:left="720" w:hanging="720"/>
      </w:pPr>
      <w:r>
        <w:rPr>
          <w:rFonts w:ascii="Arial" w:cs="Arial" w:eastAsia="Arial" w:hAnsi="Arial"/>
          <w:b/>
          <w:bCs/>
          <w:color w:val="1B4F72"/>
          <w:sz w:val="20"/>
          <w:szCs w:val="20"/>
        </w:rPr>
        <w:t xml:space="preserve">5.5.4</w:t>
      </w:r>
      <w:r>
        <w:rPr>
          <w:rFonts w:ascii="Arial" w:cs="Arial" w:eastAsia="Arial" w:hAnsi="Arial"/>
        </w:rPr>
        <w:t xml:space="preserve">	</w:t>
      </w:r>
      <w:r>
        <w:rPr>
          <w:rFonts w:ascii="Arial" w:cs="Arial" w:eastAsia="Arial" w:hAnsi="Arial"/>
          <w:sz w:val="20"/>
          <w:szCs w:val="20"/>
        </w:rPr>
        <w:t xml:space="preserve">Sensitive information shall be sent only to authorized recipients, through approved encrypted channels, with the minimum data needed. Users shall check the recipient address and attachments before sending.</w:t>
      </w:r>
    </w:p>
    <w:p>
      <w:pPr>
        <w:tabs>
          <w:tab w:val="left" w:pos="720"/>
        </w:tabs>
        <w:spacing w:after="100"/>
        <w:ind w:left="720" w:hanging="720"/>
      </w:pPr>
      <w:r>
        <w:rPr>
          <w:rFonts w:ascii="Arial" w:cs="Arial" w:eastAsia="Arial" w:hAnsi="Arial"/>
          <w:b/>
          <w:bCs/>
          <w:color w:val="1B4F72"/>
          <w:sz w:val="20"/>
          <w:szCs w:val="20"/>
        </w:rPr>
        <w:t xml:space="preserve">5.5.5</w:t>
      </w:r>
      <w:r>
        <w:rPr>
          <w:rFonts w:ascii="Arial" w:cs="Arial" w:eastAsia="Arial" w:hAnsi="Arial"/>
        </w:rPr>
        <w:t xml:space="preserve">	</w:t>
      </w:r>
      <w:r>
        <w:rPr>
          <w:rFonts w:ascii="Arial" w:cs="Arial" w:eastAsia="Arial" w:hAnsi="Arial"/>
          <w:sz w:val="20"/>
          <w:szCs w:val="20"/>
        </w:rPr>
        <w:t xml:space="preserve">Data loss prevention controls shall scan outbound email and file transfers. Users shall not attempt to evade them, for example by renaming, compressing, encrypting or splitting files.</w:t>
      </w:r>
    </w:p>
    <w:p>
      <w:pPr>
        <w:tabs>
          <w:tab w:val="left" w:pos="720"/>
        </w:tabs>
        <w:spacing w:after="100"/>
        <w:ind w:left="720" w:hanging="720"/>
      </w:pPr>
      <w:r>
        <w:rPr>
          <w:rFonts w:ascii="Arial" w:cs="Arial" w:eastAsia="Arial" w:hAnsi="Arial"/>
          <w:b/>
          <w:bCs/>
          <w:color w:val="1B4F72"/>
          <w:sz w:val="20"/>
          <w:szCs w:val="20"/>
        </w:rPr>
        <w:t xml:space="preserve">5.5.6</w:t>
      </w:r>
      <w:r>
        <w:rPr>
          <w:rFonts w:ascii="Arial" w:cs="Arial" w:eastAsia="Arial" w:hAnsi="Arial"/>
        </w:rPr>
        <w:t xml:space="preserve">	</w:t>
      </w:r>
      <w:r>
        <w:rPr>
          <w:rFonts w:ascii="Arial" w:cs="Arial" w:eastAsia="Arial" w:hAnsi="Arial"/>
          <w:sz w:val="20"/>
          <w:szCs w:val="20"/>
        </w:rPr>
        <w:t xml:space="preserve">Users who send information to the wrong recipient, or who receive it in error, shall report it immediately and within 1 hour of discovery. Prompt, honest reporting is a mitigating factor under Section 7.</w:t>
      </w:r>
    </w:p>
    <w:p>
      <w:pPr>
        <w:tabs>
          <w:tab w:val="left" w:pos="720"/>
        </w:tabs>
        <w:spacing w:after="100"/>
        <w:ind w:left="720" w:hanging="720"/>
      </w:pPr>
      <w:r>
        <w:rPr>
          <w:rFonts w:ascii="Arial" w:cs="Arial" w:eastAsia="Arial" w:hAnsi="Arial"/>
          <w:b/>
          <w:bCs/>
          <w:color w:val="1B4F72"/>
          <w:sz w:val="20"/>
          <w:szCs w:val="20"/>
        </w:rPr>
        <w:t xml:space="preserve">5.5.7</w:t>
      </w:r>
      <w:r>
        <w:rPr>
          <w:rFonts w:ascii="Arial" w:cs="Arial" w:eastAsia="Arial" w:hAnsi="Arial"/>
        </w:rPr>
        <w:t xml:space="preserve">	</w:t>
      </w:r>
      <w:r>
        <w:rPr>
          <w:rFonts w:ascii="Arial" w:cs="Arial" w:eastAsia="Arial" w:hAnsi="Arial"/>
          <w:sz w:val="20"/>
          <w:szCs w:val="20"/>
        </w:rPr>
        <w:t xml:space="preserve">Users shall report suspected phishing through the designated reporting button or channel and shall not click links or open attachments they do not trust.</w:t>
      </w:r>
    </w:p>
    <w:p>
      <w:pPr>
        <w:pStyle w:val="Heading2"/>
        <w:keepNext/>
      </w:pPr>
      <w:r>
        <w:rPr>
          <w:rFonts w:ascii="Arial" w:cs="Arial" w:eastAsia="Arial" w:hAnsi="Arial"/>
        </w:rPr>
        <w:t xml:space="preserve">5.6 Cloud Services, SaaS and Shadow IT</w:t>
      </w:r>
    </w:p>
    <w:p>
      <w:pPr>
        <w:tabs>
          <w:tab w:val="left" w:pos="720"/>
        </w:tabs>
        <w:spacing w:after="100"/>
        <w:ind w:left="720" w:hanging="720"/>
      </w:pPr>
      <w:r>
        <w:rPr>
          <w:rFonts w:ascii="Arial" w:cs="Arial" w:eastAsia="Arial" w:hAnsi="Arial"/>
          <w:b/>
          <w:bCs/>
          <w:color w:val="1B4F72"/>
          <w:sz w:val="20"/>
          <w:szCs w:val="20"/>
        </w:rPr>
        <w:t xml:space="preserve">5.6.1</w:t>
      </w:r>
      <w:r>
        <w:rPr>
          <w:rFonts w:ascii="Arial" w:cs="Arial" w:eastAsia="Arial" w:hAnsi="Arial"/>
        </w:rPr>
        <w:t xml:space="preserve">	</w:t>
      </w:r>
      <w:r>
        <w:rPr>
          <w:rFonts w:ascii="Arial" w:cs="Arial" w:eastAsia="Arial" w:hAnsi="Arial"/>
          <w:sz w:val="20"/>
          <w:szCs w:val="20"/>
        </w:rPr>
        <w:t xml:space="preserve">Only cloud services, SaaS tools and AI tools listed in the Approved Software and Services Register shall be used for NexusGuard work or with NexusGuard information. Approved services shall be accessed with company accounts, single sign-on and MFA.</w:t>
      </w:r>
    </w:p>
    <w:p>
      <w:pPr>
        <w:tabs>
          <w:tab w:val="left" w:pos="720"/>
        </w:tabs>
        <w:spacing w:after="100"/>
        <w:ind w:left="720" w:hanging="720"/>
      </w:pPr>
      <w:r>
        <w:rPr>
          <w:rFonts w:ascii="Arial" w:cs="Arial" w:eastAsia="Arial" w:hAnsi="Arial"/>
          <w:b/>
          <w:bCs/>
          <w:color w:val="1B4F72"/>
          <w:sz w:val="20"/>
          <w:szCs w:val="20"/>
        </w:rPr>
        <w:t xml:space="preserve">5.6.2</w:t>
      </w:r>
      <w:r>
        <w:rPr>
          <w:rFonts w:ascii="Arial" w:cs="Arial" w:eastAsia="Arial" w:hAnsi="Arial"/>
        </w:rPr>
        <w:t xml:space="preserve">	</w:t>
      </w:r>
      <w:r>
        <w:rPr>
          <w:rFonts w:ascii="Arial" w:cs="Arial" w:eastAsia="Arial" w:hAnsi="Arial"/>
          <w:sz w:val="20"/>
          <w:szCs w:val="20"/>
        </w:rPr>
        <w:t xml:space="preserve">Shadow IT is prohibited. Users shall not sign up for cloud or SaaS services with a NexusGuard email address, or use any unapproved service to store, process or share NexusGuard information.</w:t>
      </w:r>
    </w:p>
    <w:p>
      <w:pPr>
        <w:tabs>
          <w:tab w:val="left" w:pos="720"/>
        </w:tabs>
        <w:spacing w:after="100"/>
        <w:ind w:left="720" w:hanging="720"/>
      </w:pPr>
      <w:r>
        <w:rPr>
          <w:rFonts w:ascii="Arial" w:cs="Arial" w:eastAsia="Arial" w:hAnsi="Arial"/>
          <w:b/>
          <w:bCs/>
          <w:color w:val="1B4F72"/>
          <w:sz w:val="20"/>
          <w:szCs w:val="20"/>
        </w:rPr>
        <w:t xml:space="preserve">5.6.3</w:t>
      </w:r>
      <w:r>
        <w:rPr>
          <w:rFonts w:ascii="Arial" w:cs="Arial" w:eastAsia="Arial" w:hAnsi="Arial"/>
        </w:rPr>
        <w:t xml:space="preserve">	</w:t>
      </w:r>
      <w:r>
        <w:rPr>
          <w:rFonts w:ascii="Arial" w:cs="Arial" w:eastAsia="Arial" w:hAnsi="Arial"/>
          <w:sz w:val="20"/>
          <w:szCs w:val="20"/>
        </w:rPr>
        <w:t xml:space="preserve">A user who needs a new service shall submit a request to IT and Security, who shall assess security, privacy, contract and data location before approval.</w:t>
      </w:r>
    </w:p>
    <w:p>
      <w:pPr>
        <w:tabs>
          <w:tab w:val="left" w:pos="720"/>
        </w:tabs>
        <w:spacing w:after="100"/>
        <w:ind w:left="720" w:hanging="720"/>
      </w:pPr>
      <w:r>
        <w:rPr>
          <w:rFonts w:ascii="Arial" w:cs="Arial" w:eastAsia="Arial" w:hAnsi="Arial"/>
          <w:b/>
          <w:bCs/>
          <w:color w:val="1B4F72"/>
          <w:sz w:val="20"/>
          <w:szCs w:val="20"/>
        </w:rPr>
        <w:t xml:space="preserve">5.6.4</w:t>
      </w:r>
      <w:r>
        <w:rPr>
          <w:rFonts w:ascii="Arial" w:cs="Arial" w:eastAsia="Arial" w:hAnsi="Arial"/>
        </w:rPr>
        <w:t xml:space="preserve">	</w:t>
      </w:r>
      <w:r>
        <w:rPr>
          <w:rFonts w:ascii="Arial" w:cs="Arial" w:eastAsia="Arial" w:hAnsi="Arial"/>
          <w:sz w:val="20"/>
          <w:szCs w:val="20"/>
        </w:rPr>
        <w:t xml:space="preserve">Personal cloud storage (such as personal Dropbox, Google Drive, iCloud or OneDrive) and personal messaging apps shall not be used to store or share NexusGuard information or to communicate with clients about work.</w:t>
      </w:r>
    </w:p>
    <w:p>
      <w:pPr>
        <w:tabs>
          <w:tab w:val="left" w:pos="720"/>
        </w:tabs>
        <w:spacing w:after="100"/>
        <w:ind w:left="720" w:hanging="720"/>
      </w:pPr>
      <w:r>
        <w:rPr>
          <w:rFonts w:ascii="Arial" w:cs="Arial" w:eastAsia="Arial" w:hAnsi="Arial"/>
          <w:b/>
          <w:bCs/>
          <w:color w:val="1B4F72"/>
          <w:sz w:val="20"/>
          <w:szCs w:val="20"/>
        </w:rPr>
        <w:t xml:space="preserve">5.6.5</w:t>
      </w:r>
      <w:r>
        <w:rPr>
          <w:rFonts w:ascii="Arial" w:cs="Arial" w:eastAsia="Arial" w:hAnsi="Arial"/>
        </w:rPr>
        <w:t xml:space="preserve">	</w:t>
      </w:r>
      <w:r>
        <w:rPr>
          <w:rFonts w:ascii="Arial" w:cs="Arial" w:eastAsia="Arial" w:hAnsi="Arial"/>
          <w:sz w:val="20"/>
          <w:szCs w:val="20"/>
        </w:rPr>
        <w:t xml:space="preserve">Generative AI and similar tools shall be used only if approved. Users shall not enter sensitive information, personal data or client data into unapproved tools, and shall check AI output before relying on it.</w:t>
      </w:r>
    </w:p>
    <w:p>
      <w:pPr>
        <w:tabs>
          <w:tab w:val="left" w:pos="720"/>
        </w:tabs>
        <w:spacing w:after="100"/>
        <w:ind w:left="720" w:hanging="720"/>
      </w:pPr>
      <w:r>
        <w:rPr>
          <w:rFonts w:ascii="Arial" w:cs="Arial" w:eastAsia="Arial" w:hAnsi="Arial"/>
          <w:b/>
          <w:bCs/>
          <w:color w:val="1B4F72"/>
          <w:sz w:val="20"/>
          <w:szCs w:val="20"/>
        </w:rPr>
        <w:t xml:space="preserve">5.6.6</w:t>
      </w:r>
      <w:r>
        <w:rPr>
          <w:rFonts w:ascii="Arial" w:cs="Arial" w:eastAsia="Arial" w:hAnsi="Arial"/>
        </w:rPr>
        <w:t xml:space="preserve">	</w:t>
      </w:r>
      <w:r>
        <w:rPr>
          <w:rFonts w:ascii="Arial" w:cs="Arial" w:eastAsia="Arial" w:hAnsi="Arial"/>
          <w:sz w:val="20"/>
          <w:szCs w:val="20"/>
        </w:rPr>
        <w:t xml:space="preserve">Sharing links in approved services shall be limited to named, authorized people. Public or anonymous links shall not be used for Confidential or Restricted information.</w:t>
      </w:r>
    </w:p>
    <w:p>
      <w:pPr>
        <w:tabs>
          <w:tab w:val="left" w:pos="720"/>
        </w:tabs>
        <w:spacing w:after="100"/>
        <w:ind w:left="720" w:hanging="720"/>
      </w:pPr>
      <w:r>
        <w:rPr>
          <w:rFonts w:ascii="Arial" w:cs="Arial" w:eastAsia="Arial" w:hAnsi="Arial"/>
          <w:b/>
          <w:bCs/>
          <w:color w:val="1B4F72"/>
          <w:sz w:val="20"/>
          <w:szCs w:val="20"/>
        </w:rPr>
        <w:t xml:space="preserve">5.6.7</w:t>
      </w:r>
      <w:r>
        <w:rPr>
          <w:rFonts w:ascii="Arial" w:cs="Arial" w:eastAsia="Arial" w:hAnsi="Arial"/>
        </w:rPr>
        <w:t xml:space="preserve">	</w:t>
      </w:r>
      <w:r>
        <w:rPr>
          <w:rFonts w:ascii="Arial" w:cs="Arial" w:eastAsia="Arial" w:hAnsi="Arial"/>
          <w:sz w:val="20"/>
          <w:szCs w:val="20"/>
        </w:rPr>
        <w:t xml:space="preserve">Users who discover or suspect shadow IT, or who have used an unapproved service, shall report it to IT and Security so that data can be recovered and risks managed.</w:t>
      </w:r>
    </w:p>
    <w:p>
      <w:pPr>
        <w:pStyle w:val="Heading2"/>
        <w:keepNext/>
      </w:pPr>
      <w:r>
        <w:rPr>
          <w:rFonts w:ascii="Arial" w:cs="Arial" w:eastAsia="Arial" w:hAnsi="Arial"/>
        </w:rPr>
        <w:t xml:space="preserve">5.7 Prohibited Activities</w:t>
      </w:r>
    </w:p>
    <w:p>
      <w:pPr>
        <w:tabs>
          <w:tab w:val="left" w:pos="720"/>
        </w:tabs>
        <w:spacing w:after="100"/>
        <w:ind w:left="720" w:hanging="720"/>
      </w:pPr>
      <w:r>
        <w:rPr>
          <w:rFonts w:ascii="Arial" w:cs="Arial" w:eastAsia="Arial" w:hAnsi="Arial"/>
          <w:b/>
          <w:bCs/>
          <w:color w:val="1B4F72"/>
          <w:sz w:val="20"/>
          <w:szCs w:val="20"/>
        </w:rPr>
        <w:t xml:space="preserve">5.7.1</w:t>
      </w:r>
      <w:r>
        <w:rPr>
          <w:rFonts w:ascii="Arial" w:cs="Arial" w:eastAsia="Arial" w:hAnsi="Arial"/>
        </w:rPr>
        <w:t xml:space="preserve">	</w:t>
      </w:r>
      <w:r>
        <w:rPr>
          <w:rFonts w:ascii="Arial" w:cs="Arial" w:eastAsia="Arial" w:hAnsi="Arial"/>
          <w:sz w:val="20"/>
          <w:szCs w:val="20"/>
        </w:rPr>
        <w:t xml:space="preserve">The activities in Table 1 are prohibited on, or using, NexusGuard devices, networks, accounts and information, and on personal devices that access NexusGuard information.</w:t>
      </w:r>
    </w:p>
    <w:p>
      <w:pPr>
        <w:keepNext/>
        <w:spacing w:after="80" w:before="120"/>
      </w:pPr>
      <w:r>
        <w:rPr>
          <w:rFonts w:ascii="Arial" w:cs="Arial" w:eastAsia="Arial" w:hAnsi="Arial"/>
          <w:b/>
          <w:bCs/>
          <w:color w:val="1B4F72"/>
          <w:sz w:val="18"/>
          <w:szCs w:val="18"/>
        </w:rPr>
        <w:t xml:space="preserve">Table 1: Prohibited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60"/>
      </w:tblGrid>
      <w:tr>
        <w:trPr>
          <w:cantSplit/>
          <w:tblHeader/>
        </w:trPr>
        <w:tc>
          <w:tcPr>
            <w:tcW w:type="dxa" w:w="20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Category</w:t>
            </w:r>
          </w:p>
        </w:tc>
        <w:tc>
          <w:tcPr>
            <w:tcW w:type="dxa" w:w="4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Includes</w:t>
            </w:r>
          </w:p>
        </w:tc>
        <w:tc>
          <w:tcPr>
            <w:tcW w:type="dxa" w:w="30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Why it is prohibited</w:t>
            </w:r>
          </w:p>
        </w:tc>
      </w:tr>
      <w:tr>
        <w:trPr>
          <w:cantSplit/>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Cryptocurrency mining and resource misuse</w:t>
            </w:r>
          </w:p>
        </w:tc>
        <w:tc>
          <w:tcPr>
            <w:tcW w:type="dxa" w:w="4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Installing or running mining software; joining mining pools; cryptojacking; running unauthorized servers, bots or compute-heavy personal workloads; using company cloud accounts or electricity for personal gain</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Drains resources, raises costs, creates malware and security exposure</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Illegal or offensive content</w:t>
            </w:r>
          </w:p>
        </w:tc>
        <w:tc>
          <w:tcPr>
            <w:tcW w:type="dxa" w:w="4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Accessing, storing or sharing unlawful material, child sexual abuse material, terrorism or extremist content, hate speech, harassment, sexually explicit or gambling content</w:t>
            </w:r>
          </w:p>
        </w:tc>
        <w:tc>
          <w:tcPr>
            <w:tcW w:type="dxa" w:w="3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Unlawful, harmful and a breach of conduct standards</w:t>
            </w:r>
          </w:p>
        </w:tc>
      </w:tr>
      <w:tr>
        <w:trPr>
          <w:cantSplit/>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Unauthorized software</w:t>
            </w:r>
          </w:p>
        </w:tc>
        <w:tc>
          <w:tcPr>
            <w:tcW w:type="dxa" w:w="4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Pirated or cracked software; unapproved remote-access, file-sharing or torrent tools; unlicensed applications; cryptocurrency wallets or trading apps without an approved business need</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Licensing breach and malware risk</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Data exfiltration</w:t>
            </w:r>
          </w:p>
        </w:tc>
        <w:tc>
          <w:tcPr>
            <w:tcW w:type="dxa" w:w="4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Forwarding or uploading sensitive data to personal email or cloud; copying to USB or personal devices; photographing screens; printing sensitive data for personal use</w:t>
            </w:r>
          </w:p>
        </w:tc>
        <w:tc>
          <w:tcPr>
            <w:tcW w:type="dxa" w:w="3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Loss of client data and regulatory breach</w:t>
            </w:r>
          </w:p>
        </w:tc>
      </w:tr>
      <w:tr>
        <w:trPr>
          <w:cantSplit/>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Circumventing security</w:t>
            </w:r>
          </w:p>
        </w:tc>
        <w:tc>
          <w:tcPr>
            <w:tcW w:type="dxa" w:w="4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Disabling endpoint protection, encryption or logging; bypassing web filters or DLP; using unapproved VPNs; port scanning, vulnerability testing or password cracking without written authorization</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Defeats controls that protect NexusGuard and clients</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Credential and access abuse</w:t>
            </w:r>
          </w:p>
        </w:tc>
        <w:tc>
          <w:tcPr>
            <w:tcW w:type="dxa" w:w="4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Sharing passwords or tokens; using another person's account; accessing systems or data without a business need; attempting to gain higher access</w:t>
            </w:r>
          </w:p>
        </w:tc>
        <w:tc>
          <w:tcPr>
            <w:tcW w:type="dxa" w:w="3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Undermines accountability and least privilege</w:t>
            </w:r>
          </w:p>
        </w:tc>
      </w:tr>
      <w:tr>
        <w:trPr>
          <w:cantSplit/>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Malicious activity</w:t>
            </w:r>
          </w:p>
        </w:tc>
        <w:tc>
          <w:tcPr>
            <w:tcW w:type="dxa" w:w="4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Creating, spreading or deliberately running malware; sabotage; denial-of-service activity</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Direct harm to systems and clients</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Intellectual property and misuse of client data</w:t>
            </w:r>
          </w:p>
        </w:tc>
        <w:tc>
          <w:tcPr>
            <w:tcW w:type="dxa" w:w="4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Copying or sharing copyrighted material without permission; using client data for non-work purposes; taking NexusGuard source code or documents when leaving</w:t>
            </w:r>
          </w:p>
        </w:tc>
        <w:tc>
          <w:tcPr>
            <w:tcW w:type="dxa" w:w="3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Legal liability and client breach</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5.7.2</w:t>
      </w:r>
      <w:r>
        <w:rPr>
          <w:rFonts w:ascii="Arial" w:cs="Arial" w:eastAsia="Arial" w:hAnsi="Arial"/>
        </w:rPr>
        <w:t xml:space="preserve">	</w:t>
      </w:r>
      <w:r>
        <w:rPr>
          <w:rFonts w:ascii="Arial" w:cs="Arial" w:eastAsia="Arial" w:hAnsi="Arial"/>
          <w:sz w:val="20"/>
          <w:szCs w:val="20"/>
        </w:rPr>
        <w:t xml:space="preserve">Authorized Security Operations staff may carry out an otherwise prohibited activity (for example scanning or testing) only for a defined purpose, with written authorization from the CISO.</w:t>
      </w:r>
    </w:p>
    <w:p>
      <w:pPr>
        <w:tabs>
          <w:tab w:val="left" w:pos="720"/>
        </w:tabs>
        <w:spacing w:after="100"/>
        <w:ind w:left="720" w:hanging="720"/>
      </w:pPr>
      <w:r>
        <w:rPr>
          <w:rFonts w:ascii="Arial" w:cs="Arial" w:eastAsia="Arial" w:hAnsi="Arial"/>
          <w:b/>
          <w:bCs/>
          <w:color w:val="1B4F72"/>
          <w:sz w:val="20"/>
          <w:szCs w:val="20"/>
        </w:rPr>
        <w:t xml:space="preserve">5.7.3</w:t>
      </w:r>
      <w:r>
        <w:rPr>
          <w:rFonts w:ascii="Arial" w:cs="Arial" w:eastAsia="Arial" w:hAnsi="Arial"/>
        </w:rPr>
        <w:t xml:space="preserve">	</w:t>
      </w:r>
      <w:r>
        <w:rPr>
          <w:rFonts w:ascii="Arial" w:cs="Arial" w:eastAsia="Arial" w:hAnsi="Arial"/>
          <w:sz w:val="20"/>
          <w:szCs w:val="20"/>
        </w:rPr>
        <w:t xml:space="preserve">Users who are asked to carry out a prohibited activity by anyone, including a manager, shall refuse and report the request.</w:t>
      </w:r>
    </w:p>
    <w:p>
      <w:pPr>
        <w:pStyle w:val="Heading2"/>
        <w:keepNext/>
      </w:pPr>
      <w:r>
        <w:rPr>
          <w:rFonts w:ascii="Arial" w:cs="Arial" w:eastAsia="Arial" w:hAnsi="Arial"/>
        </w:rPr>
        <w:t xml:space="preserve">5.8 Remote Work and Home Network Security</w:t>
      </w:r>
    </w:p>
    <w:p>
      <w:pPr>
        <w:tabs>
          <w:tab w:val="left" w:pos="720"/>
        </w:tabs>
        <w:spacing w:after="100"/>
        <w:ind w:left="720" w:hanging="720"/>
      </w:pPr>
      <w:r>
        <w:rPr>
          <w:rFonts w:ascii="Arial" w:cs="Arial" w:eastAsia="Arial" w:hAnsi="Arial"/>
          <w:b/>
          <w:bCs/>
          <w:color w:val="1B4F72"/>
          <w:sz w:val="20"/>
          <w:szCs w:val="20"/>
        </w:rPr>
        <w:t xml:space="preserve">5.8.1</w:t>
      </w:r>
      <w:r>
        <w:rPr>
          <w:rFonts w:ascii="Arial" w:cs="Arial" w:eastAsia="Arial" w:hAnsi="Arial"/>
        </w:rPr>
        <w:t xml:space="preserve">	</w:t>
      </w:r>
      <w:r>
        <w:rPr>
          <w:rFonts w:ascii="Arial" w:cs="Arial" w:eastAsia="Arial" w:hAnsi="Arial"/>
          <w:sz w:val="20"/>
          <w:szCs w:val="20"/>
        </w:rPr>
        <w:t xml:space="preserve">Remote work shall be approved by the line manager, shall be done from a country approved by NexusGuard, and shall use company-owned or enrolled devices only. Work from abroad shall be approved in advance by HR and Security.</w:t>
      </w:r>
    </w:p>
    <w:p>
      <w:pPr>
        <w:tabs>
          <w:tab w:val="left" w:pos="720"/>
        </w:tabs>
        <w:spacing w:after="100"/>
        <w:ind w:left="720" w:hanging="720"/>
      </w:pPr>
      <w:r>
        <w:rPr>
          <w:rFonts w:ascii="Arial" w:cs="Arial" w:eastAsia="Arial" w:hAnsi="Arial"/>
          <w:b/>
          <w:bCs/>
          <w:color w:val="1B4F72"/>
          <w:sz w:val="20"/>
          <w:szCs w:val="20"/>
        </w:rPr>
        <w:t xml:space="preserve">5.8.2</w:t>
      </w:r>
      <w:r>
        <w:rPr>
          <w:rFonts w:ascii="Arial" w:cs="Arial" w:eastAsia="Arial" w:hAnsi="Arial"/>
        </w:rPr>
        <w:t xml:space="preserve">	</w:t>
      </w:r>
      <w:r>
        <w:rPr>
          <w:rFonts w:ascii="Arial" w:cs="Arial" w:eastAsia="Arial" w:hAnsi="Arial"/>
          <w:sz w:val="20"/>
          <w:szCs w:val="20"/>
        </w:rPr>
        <w:t xml:space="preserve">Users shall connect to NexusGuard systems through the approved VPN or zero-trust access with MFA. Public or untrusted Wi-Fi shall be used only with the VPN active.</w:t>
      </w:r>
    </w:p>
    <w:p>
      <w:pPr>
        <w:tabs>
          <w:tab w:val="left" w:pos="720"/>
        </w:tabs>
        <w:spacing w:after="100"/>
        <w:ind w:left="720" w:hanging="720"/>
      </w:pPr>
      <w:r>
        <w:rPr>
          <w:rFonts w:ascii="Arial" w:cs="Arial" w:eastAsia="Arial" w:hAnsi="Arial"/>
          <w:b/>
          <w:bCs/>
          <w:color w:val="1B4F72"/>
          <w:sz w:val="20"/>
          <w:szCs w:val="20"/>
        </w:rPr>
        <w:t xml:space="preserve">5.8.3</w:t>
      </w:r>
      <w:r>
        <w:rPr>
          <w:rFonts w:ascii="Arial" w:cs="Arial" w:eastAsia="Arial" w:hAnsi="Arial"/>
        </w:rPr>
        <w:t xml:space="preserve">	</w:t>
      </w:r>
      <w:r>
        <w:rPr>
          <w:rFonts w:ascii="Arial" w:cs="Arial" w:eastAsia="Arial" w:hAnsi="Arial"/>
          <w:sz w:val="20"/>
          <w:szCs w:val="20"/>
        </w:rPr>
        <w:t xml:space="preserve">Home Wi-Fi shall use WPA2 or WPA3 encryption with a unique passphrase of at least 12 characters. Users shall change the default router administrator password and install router updates.</w:t>
      </w:r>
    </w:p>
    <w:p>
      <w:pPr>
        <w:tabs>
          <w:tab w:val="left" w:pos="720"/>
        </w:tabs>
        <w:spacing w:after="100"/>
        <w:ind w:left="720" w:hanging="720"/>
      </w:pPr>
      <w:r>
        <w:rPr>
          <w:rFonts w:ascii="Arial" w:cs="Arial" w:eastAsia="Arial" w:hAnsi="Arial"/>
          <w:b/>
          <w:bCs/>
          <w:color w:val="1B4F72"/>
          <w:sz w:val="20"/>
          <w:szCs w:val="20"/>
        </w:rPr>
        <w:t xml:space="preserve">5.8.4</w:t>
      </w:r>
      <w:r>
        <w:rPr>
          <w:rFonts w:ascii="Arial" w:cs="Arial" w:eastAsia="Arial" w:hAnsi="Arial"/>
        </w:rPr>
        <w:t xml:space="preserve">	</w:t>
      </w:r>
      <w:r>
        <w:rPr>
          <w:rFonts w:ascii="Arial" w:cs="Arial" w:eastAsia="Arial" w:hAnsi="Arial"/>
          <w:sz w:val="20"/>
          <w:szCs w:val="20"/>
        </w:rPr>
        <w:t xml:space="preserve">Users shall work where screens and calls cannot be seen or overheard, shall lock devices when away, and shall keep company devices and papers locked away when not in use.</w:t>
      </w:r>
    </w:p>
    <w:p>
      <w:pPr>
        <w:tabs>
          <w:tab w:val="left" w:pos="720"/>
        </w:tabs>
        <w:spacing w:after="100"/>
        <w:ind w:left="720" w:hanging="720"/>
      </w:pPr>
      <w:r>
        <w:rPr>
          <w:rFonts w:ascii="Arial" w:cs="Arial" w:eastAsia="Arial" w:hAnsi="Arial"/>
          <w:b/>
          <w:bCs/>
          <w:color w:val="1B4F72"/>
          <w:sz w:val="20"/>
          <w:szCs w:val="20"/>
        </w:rPr>
        <w:t xml:space="preserve">5.8.5</w:t>
      </w:r>
      <w:r>
        <w:rPr>
          <w:rFonts w:ascii="Arial" w:cs="Arial" w:eastAsia="Arial" w:hAnsi="Arial"/>
        </w:rPr>
        <w:t xml:space="preserve">	</w:t>
      </w:r>
      <w:r>
        <w:rPr>
          <w:rFonts w:ascii="Arial" w:cs="Arial" w:eastAsia="Arial" w:hAnsi="Arial"/>
          <w:sz w:val="20"/>
          <w:szCs w:val="20"/>
        </w:rPr>
        <w:t xml:space="preserve">Confidential and Restricted information shall not be printed at home. Any paper that must be held shall be locked away and securely destroyed.</w:t>
      </w:r>
    </w:p>
    <w:p>
      <w:pPr>
        <w:tabs>
          <w:tab w:val="left" w:pos="720"/>
        </w:tabs>
        <w:spacing w:after="100"/>
        <w:ind w:left="720" w:hanging="720"/>
      </w:pPr>
      <w:r>
        <w:rPr>
          <w:rFonts w:ascii="Arial" w:cs="Arial" w:eastAsia="Arial" w:hAnsi="Arial"/>
          <w:b/>
          <w:bCs/>
          <w:color w:val="1B4F72"/>
          <w:sz w:val="20"/>
          <w:szCs w:val="20"/>
        </w:rPr>
        <w:t xml:space="preserve">5.8.6</w:t>
      </w:r>
      <w:r>
        <w:rPr>
          <w:rFonts w:ascii="Arial" w:cs="Arial" w:eastAsia="Arial" w:hAnsi="Arial"/>
        </w:rPr>
        <w:t xml:space="preserve">	</w:t>
      </w:r>
      <w:r>
        <w:rPr>
          <w:rFonts w:ascii="Arial" w:cs="Arial" w:eastAsia="Arial" w:hAnsi="Arial"/>
          <w:sz w:val="20"/>
          <w:szCs w:val="20"/>
        </w:rPr>
        <w:t xml:space="preserve">Remote workers shall complete a home-working security self-assessment when they start remote work and each year, and shall report any compromise of their home network.</w:t>
      </w:r>
    </w:p>
    <w:p>
      <w:pPr>
        <w:pStyle w:val="Heading2"/>
        <w:keepNext/>
      </w:pPr>
      <w:r>
        <w:rPr>
          <w:rFonts w:ascii="Arial" w:cs="Arial" w:eastAsia="Arial" w:hAnsi="Arial"/>
        </w:rPr>
        <w:t xml:space="preserve">5.9 Protection of Information</w:t>
      </w:r>
    </w:p>
    <w:p>
      <w:pPr>
        <w:tabs>
          <w:tab w:val="left" w:pos="720"/>
        </w:tabs>
        <w:spacing w:after="100"/>
        <w:ind w:left="720" w:hanging="720"/>
      </w:pPr>
      <w:r>
        <w:rPr>
          <w:rFonts w:ascii="Arial" w:cs="Arial" w:eastAsia="Arial" w:hAnsi="Arial"/>
          <w:b/>
          <w:bCs/>
          <w:color w:val="1B4F72"/>
          <w:sz w:val="20"/>
          <w:szCs w:val="20"/>
        </w:rPr>
        <w:t xml:space="preserve">5.9.1</w:t>
      </w:r>
      <w:r>
        <w:rPr>
          <w:rFonts w:ascii="Arial" w:cs="Arial" w:eastAsia="Arial" w:hAnsi="Arial"/>
        </w:rPr>
        <w:t xml:space="preserve">	</w:t>
      </w:r>
      <w:r>
        <w:rPr>
          <w:rFonts w:ascii="Arial" w:cs="Arial" w:eastAsia="Arial" w:hAnsi="Arial"/>
          <w:sz w:val="20"/>
          <w:szCs w:val="20"/>
        </w:rPr>
        <w:t xml:space="preserve">Users shall handle information according to its classification under the Data Classification and Handling Policy, shall store it only in approved locations, and shall access only the information their role requires.</w:t>
      </w:r>
    </w:p>
    <w:p>
      <w:pPr>
        <w:pStyle w:val="Heading2"/>
        <w:keepNext/>
      </w:pPr>
      <w:r>
        <w:rPr>
          <w:rFonts w:ascii="Arial" w:cs="Arial" w:eastAsia="Arial" w:hAnsi="Arial"/>
        </w:rPr>
        <w:t xml:space="preserve">5.10 Monitoring, Audit and Privacy</w:t>
      </w:r>
    </w:p>
    <w:p>
      <w:pPr>
        <w:tabs>
          <w:tab w:val="left" w:pos="720"/>
        </w:tabs>
        <w:spacing w:after="100"/>
        <w:ind w:left="720" w:hanging="720"/>
      </w:pPr>
      <w:r>
        <w:rPr>
          <w:rFonts w:ascii="Arial" w:cs="Arial" w:eastAsia="Arial" w:hAnsi="Arial"/>
          <w:b/>
          <w:bCs/>
          <w:color w:val="1B4F72"/>
          <w:sz w:val="20"/>
          <w:szCs w:val="20"/>
        </w:rPr>
        <w:t xml:space="preserve">5.10.1</w:t>
      </w:r>
      <w:r>
        <w:rPr>
          <w:rFonts w:ascii="Arial" w:cs="Arial" w:eastAsia="Arial" w:hAnsi="Arial"/>
        </w:rPr>
        <w:t xml:space="preserve">	</w:t>
      </w:r>
      <w:r>
        <w:rPr>
          <w:rFonts w:ascii="Arial" w:cs="Arial" w:eastAsia="Arial" w:hAnsi="Arial"/>
          <w:sz w:val="20"/>
          <w:szCs w:val="20"/>
        </w:rPr>
        <w:t xml:space="preserve">NexusGuard monitors the use of its systems. Users shall have no expectation of privacy in their use of NexusGuard devices, networks, email, accounts, applications and information, and acknowledge this in Appendix A.</w:t>
      </w:r>
    </w:p>
    <w:p>
      <w:pPr>
        <w:tabs>
          <w:tab w:val="left" w:pos="720"/>
        </w:tabs>
        <w:spacing w:after="100"/>
        <w:ind w:left="720" w:hanging="720"/>
      </w:pPr>
      <w:r>
        <w:rPr>
          <w:rFonts w:ascii="Arial" w:cs="Arial" w:eastAsia="Arial" w:hAnsi="Arial"/>
          <w:b/>
          <w:bCs/>
          <w:color w:val="1B4F72"/>
          <w:sz w:val="20"/>
          <w:szCs w:val="20"/>
        </w:rPr>
        <w:t xml:space="preserve">5.10.2</w:t>
      </w:r>
      <w:r>
        <w:rPr>
          <w:rFonts w:ascii="Arial" w:cs="Arial" w:eastAsia="Arial" w:hAnsi="Arial"/>
        </w:rPr>
        <w:t xml:space="preserve">	</w:t>
      </w:r>
      <w:r>
        <w:rPr>
          <w:rFonts w:ascii="Arial" w:cs="Arial" w:eastAsia="Arial" w:hAnsi="Arial"/>
          <w:sz w:val="20"/>
          <w:szCs w:val="20"/>
        </w:rPr>
        <w:t xml:space="preserve">Monitoring may include email and message content and metadata, web and network traffic, file transfers, application and cloud activity, device and security logs, data loss prevention alerts, and physical access and video surveillance records.</w:t>
      </w:r>
    </w:p>
    <w:p>
      <w:pPr>
        <w:tabs>
          <w:tab w:val="left" w:pos="720"/>
        </w:tabs>
        <w:spacing w:after="100"/>
        <w:ind w:left="720" w:hanging="720"/>
      </w:pPr>
      <w:r>
        <w:rPr>
          <w:rFonts w:ascii="Arial" w:cs="Arial" w:eastAsia="Arial" w:hAnsi="Arial"/>
          <w:b/>
          <w:bCs/>
          <w:color w:val="1B4F72"/>
          <w:sz w:val="20"/>
          <w:szCs w:val="20"/>
        </w:rPr>
        <w:t xml:space="preserve">5.10.3</w:t>
      </w:r>
      <w:r>
        <w:rPr>
          <w:rFonts w:ascii="Arial" w:cs="Arial" w:eastAsia="Arial" w:hAnsi="Arial"/>
        </w:rPr>
        <w:t xml:space="preserve">	</w:t>
      </w:r>
      <w:r>
        <w:rPr>
          <w:rFonts w:ascii="Arial" w:cs="Arial" w:eastAsia="Arial" w:hAnsi="Arial"/>
          <w:sz w:val="20"/>
          <w:szCs w:val="20"/>
        </w:rPr>
        <w:t xml:space="preserve">Monitoring is carried out for security, compliance with legal and client obligations, detecting misuse, investigating incidents, and protecting NexusGuard and client information. It shall be proportionate, limited to what is necessary, and carried out under a documented legal basis and privacy impact assessment.</w:t>
      </w:r>
    </w:p>
    <w:p>
      <w:pPr>
        <w:tabs>
          <w:tab w:val="left" w:pos="720"/>
        </w:tabs>
        <w:spacing w:after="100"/>
        <w:ind w:left="720" w:hanging="720"/>
      </w:pPr>
      <w:r>
        <w:rPr>
          <w:rFonts w:ascii="Arial" w:cs="Arial" w:eastAsia="Arial" w:hAnsi="Arial"/>
          <w:b/>
          <w:bCs/>
          <w:color w:val="1B4F72"/>
          <w:sz w:val="20"/>
          <w:szCs w:val="20"/>
        </w:rPr>
        <w:t xml:space="preserve">5.10.4</w:t>
      </w:r>
      <w:r>
        <w:rPr>
          <w:rFonts w:ascii="Arial" w:cs="Arial" w:eastAsia="Arial" w:hAnsi="Arial"/>
        </w:rPr>
        <w:t xml:space="preserve">	</w:t>
      </w:r>
      <w:r>
        <w:rPr>
          <w:rFonts w:ascii="Arial" w:cs="Arial" w:eastAsia="Arial" w:hAnsi="Arial"/>
          <w:sz w:val="20"/>
          <w:szCs w:val="20"/>
        </w:rPr>
        <w:t xml:space="preserve">Monitoring records shall be accessible only to authorized Security, HR and Legal personnel. Access to an individual's records shall require written approval from the CISO and the HR Director, with Legal advice.</w:t>
      </w:r>
    </w:p>
    <w:p>
      <w:pPr>
        <w:tabs>
          <w:tab w:val="left" w:pos="720"/>
        </w:tabs>
        <w:spacing w:after="100"/>
        <w:ind w:left="720" w:hanging="720"/>
      </w:pPr>
      <w:r>
        <w:rPr>
          <w:rFonts w:ascii="Arial" w:cs="Arial" w:eastAsia="Arial" w:hAnsi="Arial"/>
          <w:b/>
          <w:bCs/>
          <w:color w:val="1B4F72"/>
          <w:sz w:val="20"/>
          <w:szCs w:val="20"/>
        </w:rPr>
        <w:t xml:space="preserve">5.10.5</w:t>
      </w:r>
      <w:r>
        <w:rPr>
          <w:rFonts w:ascii="Arial" w:cs="Arial" w:eastAsia="Arial" w:hAnsi="Arial"/>
        </w:rPr>
        <w:t xml:space="preserve">	</w:t>
      </w:r>
      <w:r>
        <w:rPr>
          <w:rFonts w:ascii="Arial" w:cs="Arial" w:eastAsia="Arial" w:hAnsi="Arial"/>
          <w:sz w:val="20"/>
          <w:szCs w:val="20"/>
        </w:rPr>
        <w:t xml:space="preserve">Reviewers shall make reasonable efforts to avoid opening items clearly marked personal, and shall not review them unless a serious breach or legal duty requires it and Legal has approved.</w:t>
      </w:r>
    </w:p>
    <w:p>
      <w:pPr>
        <w:tabs>
          <w:tab w:val="left" w:pos="720"/>
        </w:tabs>
        <w:spacing w:after="100"/>
        <w:ind w:left="720" w:hanging="720"/>
      </w:pPr>
      <w:r>
        <w:rPr>
          <w:rFonts w:ascii="Arial" w:cs="Arial" w:eastAsia="Arial" w:hAnsi="Arial"/>
          <w:b/>
          <w:bCs/>
          <w:color w:val="1B4F72"/>
          <w:sz w:val="20"/>
          <w:szCs w:val="20"/>
        </w:rPr>
        <w:t xml:space="preserve">5.10.6</w:t>
      </w:r>
      <w:r>
        <w:rPr>
          <w:rFonts w:ascii="Arial" w:cs="Arial" w:eastAsia="Arial" w:hAnsi="Arial"/>
        </w:rPr>
        <w:t xml:space="preserve">	</w:t>
      </w:r>
      <w:r>
        <w:rPr>
          <w:rFonts w:ascii="Arial" w:cs="Arial" w:eastAsia="Arial" w:hAnsi="Arial"/>
          <w:sz w:val="20"/>
          <w:szCs w:val="20"/>
        </w:rPr>
        <w:t xml:space="preserve">Covert monitoring is prohibited unless Legal, HR and the DPO approve it in writing for a suspected serious breach, and it shall be time-limited.</w:t>
      </w:r>
    </w:p>
    <w:p>
      <w:pPr>
        <w:tabs>
          <w:tab w:val="left" w:pos="720"/>
        </w:tabs>
        <w:spacing w:after="100"/>
        <w:ind w:left="720" w:hanging="720"/>
      </w:pPr>
      <w:r>
        <w:rPr>
          <w:rFonts w:ascii="Arial" w:cs="Arial" w:eastAsia="Arial" w:hAnsi="Arial"/>
          <w:b/>
          <w:bCs/>
          <w:color w:val="1B4F72"/>
          <w:sz w:val="20"/>
          <w:szCs w:val="20"/>
        </w:rPr>
        <w:t xml:space="preserve">5.10.7</w:t>
      </w:r>
      <w:r>
        <w:rPr>
          <w:rFonts w:ascii="Arial" w:cs="Arial" w:eastAsia="Arial" w:hAnsi="Arial"/>
        </w:rPr>
        <w:t xml:space="preserve">	</w:t>
      </w:r>
      <w:r>
        <w:rPr>
          <w:rFonts w:ascii="Arial" w:cs="Arial" w:eastAsia="Arial" w:hAnsi="Arial"/>
          <w:sz w:val="20"/>
          <w:szCs w:val="20"/>
        </w:rPr>
        <w:t xml:space="preserve">NexusGuard may audit compliance with this Policy, including inspecting and forensically imaging company-owned devices. For personal devices, NexusGuard shall limit audit to the managed container and compliance status unless the user consents or the law requires otherwise.</w:t>
      </w:r>
    </w:p>
    <w:p>
      <w:pPr>
        <w:tabs>
          <w:tab w:val="left" w:pos="720"/>
        </w:tabs>
        <w:spacing w:after="100"/>
        <w:ind w:left="720" w:hanging="720"/>
      </w:pPr>
      <w:r>
        <w:rPr>
          <w:rFonts w:ascii="Arial" w:cs="Arial" w:eastAsia="Arial" w:hAnsi="Arial"/>
          <w:b/>
          <w:bCs/>
          <w:color w:val="1B4F72"/>
          <w:sz w:val="20"/>
          <w:szCs w:val="20"/>
        </w:rPr>
        <w:t xml:space="preserve">5.10.8</w:t>
      </w:r>
      <w:r>
        <w:rPr>
          <w:rFonts w:ascii="Arial" w:cs="Arial" w:eastAsia="Arial" w:hAnsi="Arial"/>
        </w:rPr>
        <w:t xml:space="preserve">	</w:t>
      </w:r>
      <w:r>
        <w:rPr>
          <w:rFonts w:ascii="Arial" w:cs="Arial" w:eastAsia="Arial" w:hAnsi="Arial"/>
          <w:sz w:val="20"/>
          <w:szCs w:val="20"/>
        </w:rPr>
        <w:t xml:space="preserve">Users shall cooperate with investigations and audits, including by providing access to company devices and accounts, and shall not delete, alter or conceal evidence.</w:t>
      </w:r>
    </w:p>
    <w:p>
      <w:pPr>
        <w:tabs>
          <w:tab w:val="left" w:pos="720"/>
        </w:tabs>
        <w:spacing w:after="100"/>
        <w:ind w:left="720" w:hanging="720"/>
      </w:pPr>
      <w:r>
        <w:rPr>
          <w:rFonts w:ascii="Arial" w:cs="Arial" w:eastAsia="Arial" w:hAnsi="Arial"/>
          <w:b/>
          <w:bCs/>
          <w:color w:val="1B4F72"/>
          <w:sz w:val="20"/>
          <w:szCs w:val="20"/>
        </w:rPr>
        <w:t xml:space="preserve">5.10.9</w:t>
      </w:r>
      <w:r>
        <w:rPr>
          <w:rFonts w:ascii="Arial" w:cs="Arial" w:eastAsia="Arial" w:hAnsi="Arial"/>
        </w:rPr>
        <w:t xml:space="preserve">	</w:t>
      </w:r>
      <w:r>
        <w:rPr>
          <w:rFonts w:ascii="Arial" w:cs="Arial" w:eastAsia="Arial" w:hAnsi="Arial"/>
          <w:sz w:val="20"/>
          <w:szCs w:val="20"/>
        </w:rPr>
        <w:t xml:space="preserve">Monitoring records shall be retained for 12 months unless an investigation or legal hold requires longer. Users may exercise their data protection rights, including access, through the DPO.</w:t>
      </w:r>
    </w:p>
    <w:p>
      <w:pPr>
        <w:tabs>
          <w:tab w:val="left" w:pos="720"/>
        </w:tabs>
        <w:spacing w:after="100"/>
        <w:ind w:left="720" w:hanging="720"/>
      </w:pPr>
      <w:r>
        <w:rPr>
          <w:rFonts w:ascii="Arial" w:cs="Arial" w:eastAsia="Arial" w:hAnsi="Arial"/>
          <w:b/>
          <w:bCs/>
          <w:color w:val="1B4F72"/>
          <w:sz w:val="20"/>
          <w:szCs w:val="20"/>
        </w:rPr>
        <w:t xml:space="preserve">5.10.10</w:t>
      </w:r>
      <w:r>
        <w:rPr>
          <w:rFonts w:ascii="Arial" w:cs="Arial" w:eastAsia="Arial" w:hAnsi="Arial"/>
        </w:rPr>
        <w:t xml:space="preserve">	</w:t>
      </w:r>
      <w:r>
        <w:rPr>
          <w:rFonts w:ascii="Arial" w:cs="Arial" w:eastAsia="Arial" w:hAnsi="Arial"/>
          <w:sz w:val="20"/>
          <w:szCs w:val="20"/>
        </w:rPr>
        <w:t xml:space="preserve">NexusGuard shall give each user written notice of monitoring and obtain their acknowledgment on joining and annually. Where local law requires a posted or specific notice (for example in New York, the UK or the UAE), that notice shall also be given.</w:t>
      </w:r>
    </w:p>
    <w:p>
      <w:pPr>
        <w:pStyle w:val="Heading2"/>
        <w:keepNext/>
      </w:pPr>
      <w:r>
        <w:rPr>
          <w:rFonts w:ascii="Arial" w:cs="Arial" w:eastAsia="Arial" w:hAnsi="Arial"/>
        </w:rPr>
        <w:t xml:space="preserve">5.11 Reporting Violations and Incidents</w:t>
      </w:r>
    </w:p>
    <w:p>
      <w:pPr>
        <w:tabs>
          <w:tab w:val="left" w:pos="720"/>
        </w:tabs>
        <w:spacing w:after="100"/>
        <w:ind w:left="720" w:hanging="720"/>
      </w:pPr>
      <w:r>
        <w:rPr>
          <w:rFonts w:ascii="Arial" w:cs="Arial" w:eastAsia="Arial" w:hAnsi="Arial"/>
          <w:b/>
          <w:bCs/>
          <w:color w:val="1B4F72"/>
          <w:sz w:val="20"/>
          <w:szCs w:val="20"/>
        </w:rPr>
        <w:t xml:space="preserve">5.11.1</w:t>
      </w:r>
      <w:r>
        <w:rPr>
          <w:rFonts w:ascii="Arial" w:cs="Arial" w:eastAsia="Arial" w:hAnsi="Arial"/>
        </w:rPr>
        <w:t xml:space="preserve">	</w:t>
      </w:r>
      <w:r>
        <w:rPr>
          <w:rFonts w:ascii="Arial" w:cs="Arial" w:eastAsia="Arial" w:hAnsi="Arial"/>
          <w:sz w:val="20"/>
          <w:szCs w:val="20"/>
        </w:rPr>
        <w:t xml:space="preserve">Users shall report suspected violations of this Policy, lost devices, phishing, misdirected information and other incidents immediately, and within 1 hour of discovery, through the designated incident reporting channel or to their line manager, HR or Security.</w:t>
      </w:r>
    </w:p>
    <w:p>
      <w:pPr>
        <w:tabs>
          <w:tab w:val="left" w:pos="720"/>
        </w:tabs>
        <w:spacing w:after="100"/>
        <w:ind w:left="720" w:hanging="720"/>
      </w:pPr>
      <w:r>
        <w:rPr>
          <w:rFonts w:ascii="Arial" w:cs="Arial" w:eastAsia="Arial" w:hAnsi="Arial"/>
          <w:b/>
          <w:bCs/>
          <w:color w:val="1B4F72"/>
          <w:sz w:val="20"/>
          <w:szCs w:val="20"/>
        </w:rPr>
        <w:t xml:space="preserve">5.11.2</w:t>
      </w:r>
      <w:r>
        <w:rPr>
          <w:rFonts w:ascii="Arial" w:cs="Arial" w:eastAsia="Arial" w:hAnsi="Arial"/>
        </w:rPr>
        <w:t xml:space="preserve">	</w:t>
      </w:r>
      <w:r>
        <w:rPr>
          <w:rFonts w:ascii="Arial" w:cs="Arial" w:eastAsia="Arial" w:hAnsi="Arial"/>
          <w:sz w:val="20"/>
          <w:szCs w:val="20"/>
        </w:rPr>
        <w:t xml:space="preserve">Users who suspect serious wrongdoing may report it confidentially to HR, Legal or the CISO, or through any whistleblowing channel NexusGuard provides.</w:t>
      </w:r>
    </w:p>
    <w:p>
      <w:pPr>
        <w:tabs>
          <w:tab w:val="left" w:pos="720"/>
        </w:tabs>
        <w:spacing w:after="100"/>
        <w:ind w:left="720" w:hanging="720"/>
      </w:pPr>
      <w:r>
        <w:rPr>
          <w:rFonts w:ascii="Arial" w:cs="Arial" w:eastAsia="Arial" w:hAnsi="Arial"/>
          <w:b/>
          <w:bCs/>
          <w:color w:val="1B4F72"/>
          <w:sz w:val="20"/>
          <w:szCs w:val="20"/>
        </w:rPr>
        <w:t xml:space="preserve">5.11.3</w:t>
      </w:r>
      <w:r>
        <w:rPr>
          <w:rFonts w:ascii="Arial" w:cs="Arial" w:eastAsia="Arial" w:hAnsi="Arial"/>
        </w:rPr>
        <w:t xml:space="preserve">	</w:t>
      </w:r>
      <w:r>
        <w:rPr>
          <w:rFonts w:ascii="Arial" w:cs="Arial" w:eastAsia="Arial" w:hAnsi="Arial"/>
          <w:sz w:val="20"/>
          <w:szCs w:val="20"/>
        </w:rPr>
        <w:t xml:space="preserve">NexusGuard shall not retaliate against anyone who reports a concern in good faith. Retaliation is itself a violation of this Policy.</w:t>
      </w:r>
    </w:p>
    <w:p>
      <w:pPr>
        <w:pStyle w:val="Heading1"/>
        <w:keepNext/>
      </w:pPr>
      <w:r>
        <w:rPr>
          <w:rFonts w:ascii="Arial" w:cs="Arial" w:eastAsia="Arial" w:hAnsi="Arial"/>
        </w:rPr>
        <w:t xml:space="preserve">6. Compliance</w:t>
      </w:r>
    </w:p>
    <w:p>
      <w:pPr>
        <w:spacing w:after="120"/>
      </w:pPr>
      <w:r>
        <w:rPr>
          <w:rFonts w:ascii="Arial" w:cs="Arial" w:eastAsia="Arial" w:hAnsi="Arial"/>
          <w:sz w:val="20"/>
          <w:szCs w:val="20"/>
        </w:rPr>
        <w:t xml:space="preserve">This Policy supports the legal, regulatory and standards requirements in Table 2. References are paraphrased pointers; the source text of each requirement prevails.</w:t>
      </w:r>
    </w:p>
    <w:p>
      <w:pPr>
        <w:keepNext/>
        <w:spacing w:after="80" w:before="120"/>
      </w:pPr>
      <w:r>
        <w:rPr>
          <w:rFonts w:ascii="Arial" w:cs="Arial" w:eastAsia="Arial" w:hAnsi="Arial"/>
          <w:b/>
          <w:bCs/>
          <w:color w:val="1B4F72"/>
          <w:sz w:val="18"/>
          <w:szCs w:val="18"/>
        </w:rPr>
        <w:t xml:space="preserve">Table 2: Compliance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200"/>
        <w:gridCol w:w="2060"/>
      </w:tblGrid>
      <w:tr>
        <w:trPr>
          <w:cantSplit/>
          <w:tblHeader/>
        </w:trPr>
        <w:tc>
          <w:tcPr>
            <w:tcW w:type="dxa" w:w="2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Regime</w:t>
            </w:r>
          </w:p>
        </w:tc>
        <w:tc>
          <w:tcPr>
            <w:tcW w:type="dxa" w:w="52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Key provisions supported</w:t>
            </w:r>
          </w:p>
        </w:tc>
        <w:tc>
          <w:tcPr>
            <w:tcW w:type="dxa" w:w="20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Policy sections</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ISO/IEC 27001:2022</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A.5.10 acceptable use; A.5.11 return of assets; A.5.14 information transfer; A.5.23 cloud services; A.6.2 and A.6.4 employment terms and discipline; A.6.7 remote working; A.8.1 endpoint devices; A.8.12 data leakage prevention; A.8.15 and A.8.16 logging and monitoring; A.8.19 software installation; A.8.23 web filtering</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5.2 to 5.10, 7</w:t>
            </w:r>
          </w:p>
        </w:tc>
      </w:tr>
      <w:tr>
        <w:trPr>
          <w:cantSplit/>
        </w:trPr>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HIPAA</w:t>
            </w:r>
          </w:p>
        </w:tc>
        <w:tc>
          <w:tcPr>
            <w:tcW w:type="dxa" w:w="5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164.308(a)(1)(ii)(C) sanction policy; 164.308(a)(5) awareness; 164.310(b), (c) workstation use and security; 164.310(d) device and media controls; 164.312(a), (e) access control and transmission security</w:t>
            </w:r>
          </w:p>
        </w:tc>
        <w:tc>
          <w:tcPr>
            <w:tcW w:type="dxa" w:w="2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5.2, 5.3, 5.5, 5.8, 7</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PCI DSS v4.0</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12.2.1 acceptable use for end-user technologies, with approved products and uses; 12.6 awareness; 8 authentication; 10 logging and monitoring</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5.2 to 5.8, 5.10</w:t>
            </w:r>
          </w:p>
        </w:tc>
      </w:tr>
      <w:tr>
        <w:trPr>
          <w:cantSplit/>
        </w:trPr>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GDPR / UK GDPR</w:t>
            </w:r>
          </w:p>
        </w:tc>
        <w:tc>
          <w:tcPr>
            <w:tcW w:type="dxa" w:w="5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Art. 5(1)(a) and (f) transparency and security; Art. 6(1)(f) legitimate interests; Art. 13 and 14 information to individuals; Art. 32 security including staff acting only on instructions; employment context rules</w:t>
            </w:r>
          </w:p>
        </w:tc>
        <w:tc>
          <w:tcPr>
            <w:tcW w:type="dxa" w:w="2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5.5, 5.10</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NIST CSF 2.0</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GV.PO policy; PR.AA identity and access; PR.AT awareness and training; PR.DS data security; DE.CM-03 personnel activity and technology use monitored</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5.1 to 5.10</w:t>
            </w:r>
          </w:p>
        </w:tc>
      </w:tr>
      <w:tr>
        <w:trPr>
          <w:cantSplit/>
        </w:trPr>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UAE NESA and UAE law</w:t>
            </w:r>
          </w:p>
        </w:tc>
        <w:tc>
          <w:tcPr>
            <w:tcW w:type="dxa" w:w="5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Human resources security and access control families; UAE personal data protection and cybercrime legislation</w:t>
            </w:r>
          </w:p>
        </w:tc>
        <w:tc>
          <w:tcPr>
            <w:tcW w:type="dxa" w:w="2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5.2 to 5.10, 7</w:t>
            </w:r>
          </w:p>
        </w:tc>
      </w:tr>
    </w:tbl>
    <w:p>
      <w:pPr>
        <w:spacing w:after="160"/>
      </w:pPr>
    </w:p>
    <w:p>
      <w:pPr>
        <w:spacing w:after="120"/>
      </w:pPr>
      <w:r>
        <w:rPr>
          <w:rFonts w:ascii="Arial" w:cs="Arial" w:eastAsia="Arial" w:hAnsi="Arial"/>
          <w:sz w:val="20"/>
          <w:szCs w:val="20"/>
        </w:rPr>
        <w:t xml:space="preserve">Legal shall confirm, before publication, that the monitoring notice, acknowledgment and sanctions in this Policy are lawful and enforceable in the UAE, the United Kingdom and New York, and shall record any local adjustments.</w:t>
      </w:r>
    </w:p>
    <w:p>
      <w:pPr>
        <w:pStyle w:val="Heading1"/>
        <w:keepNext/>
      </w:pPr>
      <w:r>
        <w:rPr>
          <w:rFonts w:ascii="Arial" w:cs="Arial" w:eastAsia="Arial" w:hAnsi="Arial"/>
        </w:rPr>
        <w:t xml:space="preserve">7. Enforcement and Sanctions</w:t>
      </w:r>
    </w:p>
    <w:p>
      <w:pPr>
        <w:tabs>
          <w:tab w:val="left" w:pos="720"/>
        </w:tabs>
        <w:spacing w:after="100"/>
        <w:ind w:left="720" w:hanging="720"/>
      </w:pPr>
      <w:r>
        <w:rPr>
          <w:rFonts w:ascii="Arial" w:cs="Arial" w:eastAsia="Arial" w:hAnsi="Arial"/>
          <w:b/>
          <w:bCs/>
          <w:color w:val="1B4F72"/>
          <w:sz w:val="20"/>
          <w:szCs w:val="20"/>
        </w:rPr>
        <w:t xml:space="preserve">7.1</w:t>
      </w:r>
      <w:r>
        <w:rPr>
          <w:rFonts w:ascii="Arial" w:cs="Arial" w:eastAsia="Arial" w:hAnsi="Arial"/>
        </w:rPr>
        <w:t xml:space="preserve">	</w:t>
      </w:r>
      <w:r>
        <w:rPr>
          <w:rFonts w:ascii="Arial" w:cs="Arial" w:eastAsia="Arial" w:hAnsi="Arial"/>
          <w:sz w:val="20"/>
          <w:szCs w:val="20"/>
        </w:rPr>
        <w:t xml:space="preserve">Compliance with this Policy is mandatory. A violation may result in disciplinary action up to and including termination of employment or engagement, in addition to any civil, criminal or regulatory consequences.</w:t>
      </w:r>
    </w:p>
    <w:p>
      <w:pPr>
        <w:tabs>
          <w:tab w:val="left" w:pos="720"/>
        </w:tabs>
        <w:spacing w:after="100"/>
        <w:ind w:left="720" w:hanging="720"/>
      </w:pPr>
      <w:r>
        <w:rPr>
          <w:rFonts w:ascii="Arial" w:cs="Arial" w:eastAsia="Arial" w:hAnsi="Arial"/>
          <w:b/>
          <w:bCs/>
          <w:color w:val="1B4F72"/>
          <w:sz w:val="20"/>
          <w:szCs w:val="20"/>
        </w:rPr>
        <w:t xml:space="preserve">7.2</w:t>
      </w:r>
      <w:r>
        <w:rPr>
          <w:rFonts w:ascii="Arial" w:cs="Arial" w:eastAsia="Arial" w:hAnsi="Arial"/>
        </w:rPr>
        <w:t xml:space="preserve">	</w:t>
      </w:r>
      <w:r>
        <w:rPr>
          <w:rFonts w:ascii="Arial" w:cs="Arial" w:eastAsia="Arial" w:hAnsi="Arial"/>
          <w:sz w:val="20"/>
          <w:szCs w:val="20"/>
        </w:rPr>
        <w:t xml:space="preserve">Disciplinary action shall follow the HR disciplinary procedure and the sanction policy required under HIPAA 164.308(a)(1)(ii)(C), and shall comply with applicable employment law in each jurisdiction and with the user's contract.</w:t>
      </w:r>
    </w:p>
    <w:p>
      <w:pPr>
        <w:tabs>
          <w:tab w:val="left" w:pos="720"/>
        </w:tabs>
        <w:spacing w:after="100"/>
        <w:ind w:left="720" w:hanging="720"/>
      </w:pPr>
      <w:r>
        <w:rPr>
          <w:rFonts w:ascii="Arial" w:cs="Arial" w:eastAsia="Arial" w:hAnsi="Arial"/>
          <w:b/>
          <w:bCs/>
          <w:color w:val="1B4F72"/>
          <w:sz w:val="20"/>
          <w:szCs w:val="20"/>
        </w:rPr>
        <w:t xml:space="preserve">7.3</w:t>
      </w:r>
      <w:r>
        <w:rPr>
          <w:rFonts w:ascii="Arial" w:cs="Arial" w:eastAsia="Arial" w:hAnsi="Arial"/>
        </w:rPr>
        <w:t xml:space="preserve">	</w:t>
      </w:r>
      <w:r>
        <w:rPr>
          <w:rFonts w:ascii="Arial" w:cs="Arial" w:eastAsia="Arial" w:hAnsi="Arial"/>
          <w:sz w:val="20"/>
          <w:szCs w:val="20"/>
        </w:rPr>
        <w:t xml:space="preserve">Violations shall be assessed using the tiers in Table 3. The tiers are a guide. The sanction applied shall reflect intent, harm or risk caused, the sensitivity of the data, the user's role, prior record, and cooperation and prompt self-reporting.</w:t>
      </w:r>
    </w:p>
    <w:p>
      <w:pPr>
        <w:keepNext/>
        <w:spacing w:after="80" w:before="120"/>
      </w:pPr>
      <w:r>
        <w:rPr>
          <w:rFonts w:ascii="Arial" w:cs="Arial" w:eastAsia="Arial" w:hAnsi="Arial"/>
          <w:b/>
          <w:bCs/>
          <w:color w:val="1B4F72"/>
          <w:sz w:val="18"/>
          <w:szCs w:val="18"/>
        </w:rPr>
        <w:t xml:space="preserve">Table 3: Tiered Sanctions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rPr>
          <w:cantSplit/>
          <w:tblHeader/>
        </w:trPr>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Tier</w:t>
            </w:r>
          </w:p>
        </w:tc>
        <w:tc>
          <w:tcPr>
            <w:tcW w:type="dxa" w:w="45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Typical violations</w:t>
            </w:r>
          </w:p>
        </w:tc>
        <w:tc>
          <w:tcPr>
            <w:tcW w:type="dxa" w:w="3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Typical sanction</w:t>
            </w:r>
          </w:p>
        </w:tc>
      </w:tr>
      <w:tr>
        <w:trPr>
          <w:cantSplit/>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1: Minor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First, unintentional breach with no harm: leaving a screen unlocked, minor excess personal use, a late incident report</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Verbal warning, coaching and retraining</w:t>
            </w:r>
          </w:p>
        </w:tc>
      </w:tr>
      <w:tr>
        <w:trPr>
          <w:cantSplit/>
        </w:trPr>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2: Moderate</w:t>
            </w:r>
          </w:p>
        </w:tc>
        <w:tc>
          <w:tcPr>
            <w:tcW w:type="dxa" w:w="45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Repeated Tier 1 breaches; installing unapproved software; using an unapproved SaaS tool for non-sensitive data; connecting an unenrolled personal device; posting internal information on social media; breaching home-working rules</w:t>
            </w:r>
          </w:p>
        </w:tc>
        <w:tc>
          <w:tcPr>
            <w:tcW w:type="dxa" w:w="3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Written warning, mandatory training, and removal of remote work or BYOD access until compliant</w:t>
            </w:r>
          </w:p>
        </w:tc>
      </w:tr>
      <w:tr>
        <w:trPr>
          <w:cantSplit/>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3: Serious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Deliberately disabling or bypassing controls; sharing credentials; storing sensitive data in personal cloud or unapproved services; accessing offensive content; using company resources for personal gain, including cryptocurrency mining (depending on extent and intent)</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Final written warning, suspension (paid or unpaid as the law and contract allow), demotion or loss of privileges, and recovery of costs where lawful</w:t>
            </w:r>
          </w:p>
        </w:tc>
      </w:tr>
      <w:tr>
        <w:trPr>
          <w:cantSplit/>
        </w:trPr>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4: Gross misconduct</w:t>
            </w:r>
          </w:p>
        </w:tc>
        <w:tc>
          <w:tcPr>
            <w:tcW w:type="dxa" w:w="45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Forwarding or copying Confidential or Restricted client data to personal accounts; illegal content; malicious activity; theft or sale of data; concealing or tampering with evidence; repeated Tier 3 breaches; large-scale or deliberate cryptocurrency mining</w:t>
            </w:r>
          </w:p>
        </w:tc>
        <w:tc>
          <w:tcPr>
            <w:tcW w:type="dxa" w:w="3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Termination, including summary dismissal where the law permits; referral to law enforcement and regulators; civil recovery of losses</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7.4</w:t>
      </w:r>
      <w:r>
        <w:rPr>
          <w:rFonts w:ascii="Arial" w:cs="Arial" w:eastAsia="Arial" w:hAnsi="Arial"/>
        </w:rPr>
        <w:t xml:space="preserve">	</w:t>
      </w:r>
      <w:r>
        <w:rPr>
          <w:rFonts w:ascii="Arial" w:cs="Arial" w:eastAsia="Arial" w:hAnsi="Arial"/>
          <w:sz w:val="20"/>
          <w:szCs w:val="20"/>
        </w:rPr>
        <w:t xml:space="preserve">NexusGuard may move directly to any tier, including termination, where the conduct warrants it. Progressive discipline is not a precondition to action for serious breaches.</w:t>
      </w:r>
    </w:p>
    <w:p>
      <w:pPr>
        <w:tabs>
          <w:tab w:val="left" w:pos="720"/>
        </w:tabs>
        <w:spacing w:after="100"/>
        <w:ind w:left="720" w:hanging="720"/>
      </w:pPr>
      <w:r>
        <w:rPr>
          <w:rFonts w:ascii="Arial" w:cs="Arial" w:eastAsia="Arial" w:hAnsi="Arial"/>
          <w:b/>
          <w:bCs/>
          <w:color w:val="1B4F72"/>
          <w:sz w:val="20"/>
          <w:szCs w:val="20"/>
        </w:rPr>
        <w:t xml:space="preserve">7.5</w:t>
      </w:r>
      <w:r>
        <w:rPr>
          <w:rFonts w:ascii="Arial" w:cs="Arial" w:eastAsia="Arial" w:hAnsi="Arial"/>
        </w:rPr>
        <w:t xml:space="preserve">	</w:t>
      </w:r>
      <w:r>
        <w:rPr>
          <w:rFonts w:ascii="Arial" w:cs="Arial" w:eastAsia="Arial" w:hAnsi="Arial"/>
          <w:sz w:val="20"/>
          <w:szCs w:val="20"/>
        </w:rPr>
        <w:t xml:space="preserve">Where a violation involves sensitive data, Security and the DPO shall assess whether it is a reportable incident under Section 5.12 of the Information Security Policy, and regulatory and client notification shall proceed regardless of any disciplinary outcome.</w:t>
      </w:r>
    </w:p>
    <w:p>
      <w:pPr>
        <w:tabs>
          <w:tab w:val="left" w:pos="720"/>
        </w:tabs>
        <w:spacing w:after="100"/>
        <w:ind w:left="720" w:hanging="720"/>
      </w:pPr>
      <w:r>
        <w:rPr>
          <w:rFonts w:ascii="Arial" w:cs="Arial" w:eastAsia="Arial" w:hAnsi="Arial"/>
          <w:b/>
          <w:bCs/>
          <w:color w:val="1B4F72"/>
          <w:sz w:val="20"/>
          <w:szCs w:val="20"/>
        </w:rPr>
        <w:t xml:space="preserve">7.6</w:t>
      </w:r>
      <w:r>
        <w:rPr>
          <w:rFonts w:ascii="Arial" w:cs="Arial" w:eastAsia="Arial" w:hAnsi="Arial"/>
        </w:rPr>
        <w:t xml:space="preserve">	</w:t>
      </w:r>
      <w:r>
        <w:rPr>
          <w:rFonts w:ascii="Arial" w:cs="Arial" w:eastAsia="Arial" w:hAnsi="Arial"/>
          <w:sz w:val="20"/>
          <w:szCs w:val="20"/>
        </w:rPr>
        <w:t xml:space="preserve">Investigations shall follow these steps: report and triage; preservation of evidence with chain of custody; investigation by HR and Security with Legal; written notice to the user of the allegation and a fair opportunity to respond; a reasoned decision by HR with the user's line manager and Legal; and a right of appeal under the HR procedure.</w:t>
      </w:r>
    </w:p>
    <w:p>
      <w:pPr>
        <w:tabs>
          <w:tab w:val="left" w:pos="720"/>
        </w:tabs>
        <w:spacing w:after="100"/>
        <w:ind w:left="720" w:hanging="720"/>
      </w:pPr>
      <w:r>
        <w:rPr>
          <w:rFonts w:ascii="Arial" w:cs="Arial" w:eastAsia="Arial" w:hAnsi="Arial"/>
          <w:b/>
          <w:bCs/>
          <w:color w:val="1B4F72"/>
          <w:sz w:val="20"/>
          <w:szCs w:val="20"/>
        </w:rPr>
        <w:t xml:space="preserve">7.7</w:t>
      </w:r>
      <w:r>
        <w:rPr>
          <w:rFonts w:ascii="Arial" w:cs="Arial" w:eastAsia="Arial" w:hAnsi="Arial"/>
        </w:rPr>
        <w:t xml:space="preserve">	</w:t>
      </w:r>
      <w:r>
        <w:rPr>
          <w:rFonts w:ascii="Arial" w:cs="Arial" w:eastAsia="Arial" w:hAnsi="Arial"/>
          <w:sz w:val="20"/>
          <w:szCs w:val="20"/>
        </w:rPr>
        <w:t xml:space="preserve">Access to systems may be suspended immediately, pending investigation, where there is a risk to data or systems. Suspension of access is not a sanction.</w:t>
      </w:r>
    </w:p>
    <w:p>
      <w:pPr>
        <w:tabs>
          <w:tab w:val="left" w:pos="720"/>
        </w:tabs>
        <w:spacing w:after="100"/>
        <w:ind w:left="720" w:hanging="720"/>
      </w:pPr>
      <w:r>
        <w:rPr>
          <w:rFonts w:ascii="Arial" w:cs="Arial" w:eastAsia="Arial" w:hAnsi="Arial"/>
          <w:b/>
          <w:bCs/>
          <w:color w:val="1B4F72"/>
          <w:sz w:val="20"/>
          <w:szCs w:val="20"/>
        </w:rPr>
        <w:t xml:space="preserve">7.8</w:t>
      </w:r>
      <w:r>
        <w:rPr>
          <w:rFonts w:ascii="Arial" w:cs="Arial" w:eastAsia="Arial" w:hAnsi="Arial"/>
        </w:rPr>
        <w:t xml:space="preserve">	</w:t>
      </w:r>
      <w:r>
        <w:rPr>
          <w:rFonts w:ascii="Arial" w:cs="Arial" w:eastAsia="Arial" w:hAnsi="Arial"/>
          <w:sz w:val="20"/>
          <w:szCs w:val="20"/>
        </w:rPr>
        <w:t xml:space="preserve">Contractors and temporary staff who breach this Policy shall have access removed and their contract terminated, and third parties shall be subject to the remedies in their contracts. NexusGuard may recover losses and seek legal remedies.</w:t>
      </w:r>
    </w:p>
    <w:p>
      <w:pPr>
        <w:tabs>
          <w:tab w:val="left" w:pos="720"/>
        </w:tabs>
        <w:spacing w:after="100"/>
        <w:ind w:left="720" w:hanging="720"/>
      </w:pPr>
      <w:r>
        <w:rPr>
          <w:rFonts w:ascii="Arial" w:cs="Arial" w:eastAsia="Arial" w:hAnsi="Arial"/>
          <w:b/>
          <w:bCs/>
          <w:color w:val="1B4F72"/>
          <w:sz w:val="20"/>
          <w:szCs w:val="20"/>
        </w:rPr>
        <w:t xml:space="preserve">7.9</w:t>
      </w:r>
      <w:r>
        <w:rPr>
          <w:rFonts w:ascii="Arial" w:cs="Arial" w:eastAsia="Arial" w:hAnsi="Arial"/>
        </w:rPr>
        <w:t xml:space="preserve">	</w:t>
      </w:r>
      <w:r>
        <w:rPr>
          <w:rFonts w:ascii="Arial" w:cs="Arial" w:eastAsia="Arial" w:hAnsi="Arial"/>
          <w:sz w:val="20"/>
          <w:szCs w:val="20"/>
        </w:rPr>
        <w:t xml:space="preserve">Line managers who knowingly allow, instruct or fail to act on violations are themselves subject to disciplinary action.</w:t>
      </w:r>
    </w:p>
    <w:p>
      <w:pPr>
        <w:tabs>
          <w:tab w:val="left" w:pos="720"/>
        </w:tabs>
        <w:spacing w:after="100"/>
        <w:ind w:left="720" w:hanging="720"/>
      </w:pPr>
      <w:r>
        <w:rPr>
          <w:rFonts w:ascii="Arial" w:cs="Arial" w:eastAsia="Arial" w:hAnsi="Arial"/>
          <w:b/>
          <w:bCs/>
          <w:color w:val="1B4F72"/>
          <w:sz w:val="20"/>
          <w:szCs w:val="20"/>
        </w:rPr>
        <w:t xml:space="preserve">7.10</w:t>
      </w:r>
      <w:r>
        <w:rPr>
          <w:rFonts w:ascii="Arial" w:cs="Arial" w:eastAsia="Arial" w:hAnsi="Arial"/>
        </w:rPr>
        <w:t xml:space="preserve">	</w:t>
      </w:r>
      <w:r>
        <w:rPr>
          <w:rFonts w:ascii="Arial" w:cs="Arial" w:eastAsia="Arial" w:hAnsi="Arial"/>
          <w:sz w:val="20"/>
          <w:szCs w:val="20"/>
        </w:rPr>
        <w:t xml:space="preserve">HR shall record sanctions and apply them consistently across all offices and entities, including PayStream Analytics.</w:t>
      </w:r>
    </w:p>
    <w:p>
      <w:pPr>
        <w:pStyle w:val="Heading1"/>
        <w:keepNext/>
      </w:pPr>
      <w:r>
        <w:rPr>
          <w:rFonts w:ascii="Arial" w:cs="Arial" w:eastAsia="Arial" w:hAnsi="Arial"/>
        </w:rPr>
        <w:t xml:space="preserve">8. Exceptions</w:t>
      </w:r>
    </w:p>
    <w:p>
      <w:pPr>
        <w:tabs>
          <w:tab w:val="left" w:pos="720"/>
        </w:tabs>
        <w:spacing w:after="100"/>
        <w:ind w:left="720" w:hanging="720"/>
      </w:pPr>
      <w:r>
        <w:rPr>
          <w:rFonts w:ascii="Arial" w:cs="Arial" w:eastAsia="Arial" w:hAnsi="Arial"/>
          <w:b/>
          <w:bCs/>
          <w:color w:val="1B4F72"/>
          <w:sz w:val="20"/>
          <w:szCs w:val="20"/>
        </w:rPr>
        <w:t xml:space="preserve">8.1</w:t>
      </w:r>
      <w:r>
        <w:rPr>
          <w:rFonts w:ascii="Arial" w:cs="Arial" w:eastAsia="Arial" w:hAnsi="Arial"/>
        </w:rPr>
        <w:t xml:space="preserve">	</w:t>
      </w:r>
      <w:r>
        <w:rPr>
          <w:rFonts w:ascii="Arial" w:cs="Arial" w:eastAsia="Arial" w:hAnsi="Arial"/>
          <w:sz w:val="20"/>
          <w:szCs w:val="20"/>
        </w:rPr>
        <w:t xml:space="preserve">Exceptions to this Policy shall be requested through the Policy Exception Management Process and shall be formally requested in writing, with a business justification, a risk assessment and compensating controls.</w:t>
      </w:r>
    </w:p>
    <w:p>
      <w:pPr>
        <w:tabs>
          <w:tab w:val="left" w:pos="720"/>
        </w:tabs>
        <w:spacing w:after="100"/>
        <w:ind w:left="720" w:hanging="720"/>
      </w:pPr>
      <w:r>
        <w:rPr>
          <w:rFonts w:ascii="Arial" w:cs="Arial" w:eastAsia="Arial" w:hAnsi="Arial"/>
          <w:b/>
          <w:bCs/>
          <w:color w:val="1B4F72"/>
          <w:sz w:val="20"/>
          <w:szCs w:val="20"/>
        </w:rPr>
        <w:t xml:space="preserve">8.2</w:t>
      </w:r>
      <w:r>
        <w:rPr>
          <w:rFonts w:ascii="Arial" w:cs="Arial" w:eastAsia="Arial" w:hAnsi="Arial"/>
        </w:rPr>
        <w:t xml:space="preserve">	</w:t>
      </w:r>
      <w:r>
        <w:rPr>
          <w:rFonts w:ascii="Arial" w:cs="Arial" w:eastAsia="Arial" w:hAnsi="Arial"/>
          <w:sz w:val="20"/>
          <w:szCs w:val="20"/>
        </w:rPr>
        <w:t xml:space="preserve">Exceptions shall be approved by the CISO for Low and Medium risk and by the Executive Leadership Team for High or Critical risk. They shall be time-limited to no more than 12 months, recorded in the exception register and reviewed before expiry.</w:t>
      </w:r>
    </w:p>
    <w:p>
      <w:pPr>
        <w:tabs>
          <w:tab w:val="left" w:pos="720"/>
        </w:tabs>
        <w:spacing w:after="100"/>
        <w:ind w:left="720" w:hanging="720"/>
      </w:pPr>
      <w:r>
        <w:rPr>
          <w:rFonts w:ascii="Arial" w:cs="Arial" w:eastAsia="Arial" w:hAnsi="Arial"/>
          <w:b/>
          <w:bCs/>
          <w:color w:val="1B4F72"/>
          <w:sz w:val="20"/>
          <w:szCs w:val="20"/>
        </w:rPr>
        <w:t xml:space="preserve">8.3</w:t>
      </w:r>
      <w:r>
        <w:rPr>
          <w:rFonts w:ascii="Arial" w:cs="Arial" w:eastAsia="Arial" w:hAnsi="Arial"/>
        </w:rPr>
        <w:t xml:space="preserve">	</w:t>
      </w:r>
      <w:r>
        <w:rPr>
          <w:rFonts w:ascii="Arial" w:cs="Arial" w:eastAsia="Arial" w:hAnsi="Arial"/>
          <w:sz w:val="20"/>
          <w:szCs w:val="20"/>
        </w:rPr>
        <w:t xml:space="preserve">No exception shall be granted for a requirement imposed by law or a client contract unless Legal confirms in writing that it is permitted.</w:t>
      </w:r>
    </w:p>
    <w:p>
      <w:pPr>
        <w:tabs>
          <w:tab w:val="left" w:pos="720"/>
        </w:tabs>
        <w:spacing w:after="100"/>
        <w:ind w:left="720" w:hanging="720"/>
      </w:pPr>
      <w:r>
        <w:rPr>
          <w:rFonts w:ascii="Arial" w:cs="Arial" w:eastAsia="Arial" w:hAnsi="Arial"/>
          <w:b/>
          <w:bCs/>
          <w:color w:val="1B4F72"/>
          <w:sz w:val="20"/>
          <w:szCs w:val="20"/>
        </w:rPr>
        <w:t xml:space="preserve">8.4</w:t>
      </w:r>
      <w:r>
        <w:rPr>
          <w:rFonts w:ascii="Arial" w:cs="Arial" w:eastAsia="Arial" w:hAnsi="Arial"/>
        </w:rPr>
        <w:t xml:space="preserve">	</w:t>
      </w:r>
      <w:r>
        <w:rPr>
          <w:rFonts w:ascii="Arial" w:cs="Arial" w:eastAsia="Arial" w:hAnsi="Arial"/>
          <w:sz w:val="20"/>
          <w:szCs w:val="20"/>
        </w:rPr>
        <w:t xml:space="preserve">An activity carried out without an approved exception remains a violation under Section 7.</w:t>
      </w:r>
    </w:p>
    <w:p>
      <w:pPr>
        <w:pStyle w:val="Heading1"/>
        <w:keepNext/>
      </w:pPr>
      <w:r>
        <w:rPr>
          <w:rFonts w:ascii="Arial" w:cs="Arial" w:eastAsia="Arial" w:hAnsi="Arial"/>
        </w:rPr>
        <w:t xml:space="preserve">9.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00"/>
        <w:gridCol w:w="2260"/>
      </w:tblGrid>
      <w:tr>
        <w:trPr>
          <w:cantSplit/>
          <w:tblHeader/>
        </w:trPr>
        <w:tc>
          <w:tcPr>
            <w:tcW w:type="dxa" w:w="50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w:t>
            </w:r>
          </w:p>
        </w:tc>
        <w:tc>
          <w:tcPr>
            <w:tcW w:type="dxa" w:w="2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ID</w:t>
            </w:r>
          </w:p>
        </w:tc>
        <w:tc>
          <w:tcPr>
            <w:tcW w:type="dxa" w:w="22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Type</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Information Security Policy</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POL-ISP-001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Policy</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Data Classification and Handling Policy</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POL-DCH-001</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Policy</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Access Control Policy</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POL-ACC-001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Policy</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Privacy and Data Protection Policy</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POL-PRV-001</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Policy</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Incident Response Policy and Plan</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POL-IRP-001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Policy</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Password and Authentication Standard</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STD-IAM-001</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Standard</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Policy Exception Management Process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PRC-GRC-001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Procedure</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Secure Remote Working Guide</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GDL-REM-001</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Guideline</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AUP Quick Reference Card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GDL-AUP-001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Guideline</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HR Disciplinary Procedure</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To be confirmed by HR</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Procedure</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Employee Monitoring Notice and Approved Software and Services Register</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To be confirmed</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Notice / Register</w:t>
            </w:r>
          </w:p>
        </w:tc>
      </w:tr>
    </w:tbl>
    <w:p>
      <w:pPr>
        <w:spacing w:after="160"/>
      </w:pPr>
    </w:p>
    <w:p>
      <w:pPr>
        <w:pStyle w:val="Heading1"/>
        <w:keepNext/>
      </w:pPr>
      <w:r>
        <w:rPr>
          <w:rFonts w:ascii="Arial" w:cs="Arial" w:eastAsia="Arial" w:hAnsi="Arial"/>
        </w:rPr>
        <w:t xml:space="preserve">10. Review</w:t>
      </w:r>
    </w:p>
    <w:p>
      <w:pPr>
        <w:spacing w:after="120"/>
      </w:pPr>
      <w:r>
        <w:rPr>
          <w:rFonts w:ascii="Arial" w:cs="Arial" w:eastAsia="Arial" w:hAnsi="Arial"/>
          <w:sz w:val="20"/>
          <w:szCs w:val="20"/>
        </w:rPr>
        <w:t xml:space="preserve">This policy shall be reviewed annually or when significant changes occur. The Policy Owner initiates the review.</w:t>
      </w:r>
    </w:p>
    <w:p>
      <w:pPr>
        <w:tabs>
          <w:tab w:val="left" w:pos="720"/>
        </w:tabs>
        <w:spacing w:after="100"/>
        <w:ind w:left="720" w:hanging="720"/>
      </w:pPr>
      <w:r>
        <w:rPr>
          <w:rFonts w:ascii="Arial" w:cs="Arial" w:eastAsia="Arial" w:hAnsi="Arial"/>
          <w:b/>
          <w:bCs/>
          <w:color w:val="1B4F72"/>
          <w:sz w:val="20"/>
          <w:szCs w:val="20"/>
        </w:rPr>
        <w:t xml:space="preserve">10.1</w:t>
      </w:r>
      <w:r>
        <w:rPr>
          <w:rFonts w:ascii="Arial" w:cs="Arial" w:eastAsia="Arial" w:hAnsi="Arial"/>
        </w:rPr>
        <w:t xml:space="preserve">	</w:t>
      </w:r>
      <w:r>
        <w:rPr>
          <w:rFonts w:ascii="Arial" w:cs="Arial" w:eastAsia="Arial" w:hAnsi="Arial"/>
          <w:sz w:val="20"/>
          <w:szCs w:val="20"/>
        </w:rPr>
        <w:t xml:space="preserve">The CISO shall also review this Policy after a serious misuse incident, a change in law or monitoring technology, or an acquisition.</w:t>
      </w:r>
    </w:p>
    <w:p>
      <w:pPr>
        <w:tabs>
          <w:tab w:val="left" w:pos="720"/>
        </w:tabs>
        <w:spacing w:after="100"/>
        <w:ind w:left="720" w:hanging="720"/>
      </w:pPr>
      <w:r>
        <w:rPr>
          <w:rFonts w:ascii="Arial" w:cs="Arial" w:eastAsia="Arial" w:hAnsi="Arial"/>
          <w:b/>
          <w:bCs/>
          <w:color w:val="1B4F72"/>
          <w:sz w:val="20"/>
          <w:szCs w:val="20"/>
        </w:rPr>
        <w:t xml:space="preserve">10.2</w:t>
      </w:r>
      <w:r>
        <w:rPr>
          <w:rFonts w:ascii="Arial" w:cs="Arial" w:eastAsia="Arial" w:hAnsi="Arial"/>
        </w:rPr>
        <w:t xml:space="preserve">	</w:t>
      </w:r>
      <w:r>
        <w:rPr>
          <w:rFonts w:ascii="Arial" w:cs="Arial" w:eastAsia="Arial" w:hAnsi="Arial"/>
          <w:sz w:val="20"/>
          <w:szCs w:val="20"/>
        </w:rPr>
        <w:t xml:space="preserve">The approved version shall be published in the controlled document repository and communicated to all users. HR shall obtain a signed or electronic acknowledgment (Appendix A) from every user before access is granted, annually, and after any material change, and shall retain acknowledgments and superseded versions for at least six years.</w:t>
      </w:r>
    </w:p>
    <w:p>
      <w:pPr>
        <w:pStyle w:val="Heading1"/>
        <w:keepNext/>
        <w:pageBreakBefore/>
      </w:pPr>
      <w:r>
        <w:rPr>
          <w:rFonts w:ascii="Arial" w:cs="Arial" w:eastAsia="Arial" w:hAnsi="Arial"/>
        </w:rPr>
        <w:t xml:space="preserve">Appendix A: User Acknowledgment and Monitoring Consent</w:t>
      </w:r>
    </w:p>
    <w:p>
      <w:pPr>
        <w:spacing w:after="120"/>
      </w:pPr>
      <w:r>
        <w:rPr>
          <w:rFonts w:ascii="Arial" w:cs="Arial" w:eastAsia="Arial" w:hAnsi="Arial"/>
          <w:sz w:val="20"/>
          <w:szCs w:val="20"/>
        </w:rPr>
        <w:t xml:space="preserve">By signing below, I confirm that:</w:t>
      </w:r>
    </w:p>
    <w:p>
      <w:pPr>
        <w:pStyle w:val="ListParagraph"/>
        <w:numPr>
          <w:ilvl w:val="0"/>
          <w:numId w:val="2"/>
        </w:numPr>
        <w:spacing w:after="60"/>
      </w:pPr>
      <w:r>
        <w:rPr>
          <w:rFonts w:ascii="Arial" w:cs="Arial" w:eastAsia="Arial" w:hAnsi="Arial"/>
          <w:sz w:val="20"/>
          <w:szCs w:val="20"/>
        </w:rPr>
        <w:t xml:space="preserve">I have received, read and understood the NexusGuard Acceptable Use Policy (POL-AUP-001, version 1.0) and I agree to comply with it.</w:t>
      </w:r>
    </w:p>
    <w:p>
      <w:pPr>
        <w:pStyle w:val="ListParagraph"/>
        <w:numPr>
          <w:ilvl w:val="0"/>
          <w:numId w:val="2"/>
        </w:numPr>
        <w:spacing w:after="60"/>
      </w:pPr>
      <w:r>
        <w:rPr>
          <w:rFonts w:ascii="Arial" w:cs="Arial" w:eastAsia="Arial" w:hAnsi="Arial"/>
          <w:sz w:val="20"/>
          <w:szCs w:val="20"/>
        </w:rPr>
        <w:t xml:space="preserve">I understand that this Policy forms part of my terms of employment or engagement and replaces the generic IT agreement I signed previously.</w:t>
      </w:r>
    </w:p>
    <w:p>
      <w:pPr>
        <w:pStyle w:val="ListParagraph"/>
        <w:numPr>
          <w:ilvl w:val="0"/>
          <w:numId w:val="2"/>
        </w:numPr>
        <w:spacing w:after="60"/>
      </w:pPr>
      <w:r>
        <w:rPr>
          <w:rFonts w:ascii="Arial" w:cs="Arial" w:eastAsia="Arial" w:hAnsi="Arial"/>
          <w:sz w:val="20"/>
          <w:szCs w:val="20"/>
        </w:rPr>
        <w:t xml:space="preserve">I understand that NexusGuard monitors the use of its devices, networks, email, accounts, applications and information as described in Section 5.10, and that I have no expectation of privacy in my use of them.</w:t>
      </w:r>
    </w:p>
    <w:p>
      <w:pPr>
        <w:pStyle w:val="ListParagraph"/>
        <w:numPr>
          <w:ilvl w:val="0"/>
          <w:numId w:val="2"/>
        </w:numPr>
        <w:spacing w:after="60"/>
      </w:pPr>
      <w:r>
        <w:rPr>
          <w:rFonts w:ascii="Arial" w:cs="Arial" w:eastAsia="Arial" w:hAnsi="Arial"/>
          <w:sz w:val="20"/>
          <w:szCs w:val="20"/>
        </w:rPr>
        <w:t xml:space="preserve">I understand that sending or copying NexusGuard or client information to personal accounts, mining cryptocurrency, installing unauthorized software and the other prohibited activities in Section 5.7 may lead to disciplinary action, up to and including termination, and to legal action.</w:t>
      </w:r>
    </w:p>
    <w:p>
      <w:pPr>
        <w:pStyle w:val="ListParagraph"/>
        <w:numPr>
          <w:ilvl w:val="0"/>
          <w:numId w:val="2"/>
        </w:numPr>
        <w:spacing w:after="60"/>
      </w:pPr>
      <w:r>
        <w:rPr>
          <w:rFonts w:ascii="Arial" w:cs="Arial" w:eastAsia="Arial" w:hAnsi="Arial"/>
          <w:sz w:val="20"/>
          <w:szCs w:val="20"/>
        </w:rPr>
        <w:t xml:space="preserve">I understand that if I use a personal device for work, NexusGuard may manage and remove the work container as described in Section 5.3.</w:t>
      </w:r>
    </w:p>
    <w:p>
      <w:pPr>
        <w:pStyle w:val="ListParagraph"/>
        <w:numPr>
          <w:ilvl w:val="0"/>
          <w:numId w:val="2"/>
        </w:numPr>
        <w:spacing w:after="60"/>
      </w:pPr>
      <w:r>
        <w:rPr>
          <w:rFonts w:ascii="Arial" w:cs="Arial" w:eastAsia="Arial" w:hAnsi="Arial"/>
          <w:sz w:val="20"/>
          <w:szCs w:val="20"/>
        </w:rPr>
        <w:t xml:space="preserve">I know how to report incidents and violations, and that I will not be penalized for reporting a concern in good faith.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Full name</w:t>
            </w:r>
          </w:p>
        </w:tc>
        <w:tc>
          <w:tcPr>
            <w:tcW w:type="dxa" w:w="63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p>
        </w:tc>
      </w:tr>
      <w:tr>
        <w:trPr>
          <w:cantSplit/>
        </w:trPr>
        <w:tc>
          <w:tcPr>
            <w:tcW w:type="dxa" w:w="30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Employee / contractor ID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p>
        </w:tc>
      </w:tr>
      <w:tr>
        <w:trPr>
          <w:cantSplit/>
        </w:trPr>
        <w:tc>
          <w:tcPr>
            <w:tcW w:type="dxa" w:w="30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Department and location</w:t>
            </w:r>
          </w:p>
        </w:tc>
        <w:tc>
          <w:tcPr>
            <w:tcW w:type="dxa" w:w="63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p>
        </w:tc>
      </w:tr>
      <w:tr>
        <w:trPr>
          <w:cantSplit/>
        </w:trPr>
        <w:tc>
          <w:tcPr>
            <w:tcW w:type="dxa" w:w="30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Signature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p>
        </w:tc>
      </w:tr>
      <w:tr>
        <w:trPr>
          <w:cantSplit/>
        </w:trPr>
        <w:tc>
          <w:tcPr>
            <w:tcW w:type="dxa" w:w="30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w:t>
            </w:r>
          </w:p>
        </w:tc>
        <w:tc>
          <w:tcPr>
            <w:tcW w:type="dxa" w:w="63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p>
        </w:tc>
      </w:tr>
      <w:tr>
        <w:trPr>
          <w:cantSplit/>
        </w:trPr>
        <w:tc>
          <w:tcPr>
            <w:tcW w:type="dxa" w:w="30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Acknowledgment received by (HR)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p>
        </w:tc>
      </w:tr>
    </w:tbl>
    <w:p>
      <w:pPr>
        <w:spacing w:after="200"/>
      </w:pPr>
    </w:p>
    <w:p>
      <w:pPr>
        <w:spacing w:after="120"/>
      </w:pPr>
      <w:r>
        <w:rPr>
          <w:rFonts w:ascii="Arial" w:cs="Arial" w:eastAsia="Arial" w:hAnsi="Arial"/>
          <w:i/>
          <w:iCs/>
          <w:color w:val="555555"/>
          <w:sz w:val="18"/>
          <w:szCs w:val="18"/>
        </w:rPr>
        <w:t xml:space="preserve">HR shall retain the signed acknowledgment in the personnel file. Electronic acknowledgment through the HR system is acceptable where local law allows.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Acceptable Use Policy    |    POL-AUP-001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Policy</dc:title>
  <dc:creator>NexusGuard Technologies Ltd.</dc:creator>
  <cp:lastModifiedBy>Un-named</cp:lastModifiedBy>
  <cp:revision>1</cp:revision>
  <dcterms:created xsi:type="dcterms:W3CDTF">2026-10-12T19:47:09.612Z</dcterms:created>
  <dcterms:modified xsi:type="dcterms:W3CDTF">2026-10-12T19:47:09.612Z</dcterms:modified>
</cp:coreProperties>
</file>

<file path=docProps/custom.xml><?xml version="1.0" encoding="utf-8"?>
<Properties xmlns="http://schemas.openxmlformats.org/officeDocument/2006/custom-properties" xmlns:vt="http://schemas.openxmlformats.org/officeDocument/2006/docPropsVTypes"/>
</file>