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1B4F72" w:color="auto" w:val="clear"/>
            <w:tcMar>
              <w:top w:type="dxa" w:w="190"/>
              <w:left w:type="dxa" w:w="280"/>
              <w:bottom w:type="dxa" w:w="190"/>
              <w:right w:type="dxa" w:w="28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42"/>
                <w:szCs w:val="42"/>
              </w:rPr>
              <w:t xml:space="preserve">DATA HANDLING QUICK REFERENCE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BFD7EA"/>
                <w:sz w:val="22"/>
                <w:szCs w:val="22"/>
              </w:rPr>
              <w:t xml:space="preserve">NexusGuard Technologies Ltd.   |   Classify it. Label it. Handle it by tier.</w:t>
            </w:r>
          </w:p>
        </w:tc>
      </w:tr>
    </w:tbl>
    <w:p>
      <w:pPr>
        <w:spacing w:after="0" w:before="0" w:line="120" w:lineRule="exact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600"/>
      </w:tblGrid>
      <w:tr>
        <w:tc>
          <w:tcPr>
            <w:tcW w:type="dxa" w:w="10800"/>
            <w:gridSpan w:val="2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5F6F82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1: WHICH TIER IS IT?  Go from the top. Stop at the first "yes".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C0392B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RESTRICTED</w:t>
            </w:r>
          </w:p>
        </w:tc>
        <w:tc>
          <w:tcPr>
            <w:tcW w:type="dxa" w:w="86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FBE9E7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2263F"/>
                <w:sz w:val="25"/>
                <w:szCs w:val="25"/>
              </w:rPr>
              <w:t xml:space="preserve">Contains </w:t>
            </w:r>
            <w:r>
              <w:rPr>
                <w:rFonts w:ascii="Arial" w:cs="Arial" w:eastAsia="Arial" w:hAnsi="Arial"/>
                <w:b/>
                <w:bCs/>
                <w:color w:val="12263F"/>
                <w:sz w:val="25"/>
                <w:szCs w:val="25"/>
              </w:rPr>
              <w:t xml:space="preserve">PHI</w:t>
            </w:r>
            <w:r>
              <w:rPr>
                <w:rFonts w:ascii="Arial" w:cs="Arial" w:eastAsia="Arial" w:hAnsi="Arial"/>
                <w:color w:val="12263F"/>
                <w:sz w:val="25"/>
                <w:szCs w:val="25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color w:val="12263F"/>
                <w:sz w:val="25"/>
                <w:szCs w:val="25"/>
              </w:rPr>
              <w:t xml:space="preserve">payment card data</w:t>
            </w:r>
            <w:r>
              <w:rPr>
                <w:rFonts w:ascii="Arial" w:cs="Arial" w:eastAsia="Arial" w:hAnsi="Arial"/>
                <w:color w:val="12263F"/>
                <w:sz w:val="25"/>
                <w:szCs w:val="25"/>
              </w:rPr>
              <w:t xml:space="preserve">, special category or government ID data, </w:t>
            </w:r>
            <w:r>
              <w:rPr>
                <w:rFonts w:ascii="Arial" w:cs="Arial" w:eastAsia="Arial" w:hAnsi="Arial"/>
                <w:b/>
                <w:bCs/>
                <w:color w:val="12263F"/>
                <w:sz w:val="25"/>
                <w:szCs w:val="25"/>
              </w:rPr>
              <w:t xml:space="preserve">credentials, keys or secrets</w:t>
            </w:r>
            <w:r>
              <w:rPr>
                <w:rFonts w:ascii="Arial" w:cs="Arial" w:eastAsia="Arial" w:hAnsi="Arial"/>
                <w:color w:val="12263F"/>
                <w:sz w:val="25"/>
                <w:szCs w:val="25"/>
              </w:rPr>
              <w:t xml:space="preserve">?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E67E22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CONFIDENTIAL</w:t>
            </w:r>
          </w:p>
        </w:tc>
        <w:tc>
          <w:tcPr>
            <w:tcW w:type="dxa" w:w="86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FDEBD3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2263F"/>
                <w:sz w:val="25"/>
                <w:szCs w:val="25"/>
              </w:rPr>
              <w:t xml:space="preserve">Contains </w:t>
            </w:r>
            <w:r>
              <w:rPr>
                <w:rFonts w:ascii="Arial" w:cs="Arial" w:eastAsia="Arial" w:hAnsi="Arial"/>
                <w:b/>
                <w:bCs/>
                <w:color w:val="12263F"/>
                <w:sz w:val="25"/>
                <w:szCs w:val="25"/>
              </w:rPr>
              <w:t xml:space="preserve">employee PII</w:t>
            </w:r>
            <w:r>
              <w:rPr>
                <w:rFonts w:ascii="Arial" w:cs="Arial" w:eastAsia="Arial" w:hAnsi="Arial"/>
                <w:color w:val="12263F"/>
                <w:sz w:val="25"/>
                <w:szCs w:val="25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color w:val="12263F"/>
                <w:sz w:val="25"/>
                <w:szCs w:val="25"/>
              </w:rPr>
              <w:t xml:space="preserve">source code</w:t>
            </w:r>
            <w:r>
              <w:rPr>
                <w:rFonts w:ascii="Arial" w:cs="Arial" w:eastAsia="Arial" w:hAnsi="Arial"/>
                <w:color w:val="12263F"/>
                <w:sz w:val="25"/>
                <w:szCs w:val="25"/>
              </w:rPr>
              <w:t xml:space="preserve">, client contracts or pricing, security reports, financials, network diagrams?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2E75B6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INTERNAL</w:t>
            </w:r>
          </w:p>
        </w:tc>
        <w:tc>
          <w:tcPr>
            <w:tcW w:type="dxa" w:w="86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E3EEF8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2263F"/>
                <w:sz w:val="25"/>
                <w:szCs w:val="25"/>
              </w:rPr>
              <w:t xml:space="preserve">For NexusGuard staff and approved partners only, and not any of the above?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2E8B6A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PUBLIC</w:t>
            </w:r>
          </w:p>
        </w:tc>
        <w:tc>
          <w:tcPr>
            <w:tcW w:type="dxa" w:w="86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E6F4EE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2263F"/>
                <w:sz w:val="25"/>
                <w:szCs w:val="25"/>
              </w:rPr>
              <w:t xml:space="preserve">Approved by Marketing and Communications for release to anyone?</w:t>
            </w:r>
          </w:p>
        </w:tc>
      </w:tr>
    </w:tbl>
    <w:p>
      <w:pPr>
        <w:spacing w:after="0" w:before="0" w:line="120" w:lineRule="exact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325"/>
        <w:gridCol w:w="2325"/>
        <w:gridCol w:w="2325"/>
        <w:gridCol w:w="2325"/>
      </w:tblGrid>
      <w:tr>
        <w:tc>
          <w:tcPr>
            <w:tcW w:type="dxa" w:w="15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5F6F82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2: HANDLE IT</w:t>
            </w:r>
          </w:p>
        </w:tc>
        <w:tc>
          <w:tcPr>
            <w:tcW w:type="dxa" w:w="2325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2E8B6A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PUBLIC</w:t>
            </w:r>
          </w:p>
        </w:tc>
        <w:tc>
          <w:tcPr>
            <w:tcW w:type="dxa" w:w="2325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2E75B6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INTERNAL</w:t>
            </w:r>
          </w:p>
        </w:tc>
        <w:tc>
          <w:tcPr>
            <w:tcW w:type="dxa" w:w="2325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E67E22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CONFIDENTIAL</w:t>
            </w:r>
          </w:p>
        </w:tc>
        <w:tc>
          <w:tcPr>
            <w:tcW w:type="dxa" w:w="2325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C0392B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RESTRICTED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1B4F72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Label</w:t>
            </w:r>
          </w:p>
        </w:tc>
        <w:tc>
          <w:tcPr>
            <w:tcW w:type="dxa" w:w="2325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E6F4EE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2263F"/>
                <w:sz w:val="21"/>
                <w:szCs w:val="21"/>
              </w:rPr>
              <w:t xml:space="preserve">None needed</w:t>
            </w:r>
          </w:p>
        </w:tc>
        <w:tc>
          <w:tcPr>
            <w:tcW w:type="dxa" w:w="2325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E3EE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2263F"/>
                <w:sz w:val="21"/>
                <w:szCs w:val="21"/>
              </w:rPr>
              <w:t xml:space="preserve">"Internal" (default if unlabeled)</w:t>
            </w:r>
          </w:p>
        </w:tc>
        <w:tc>
          <w:tcPr>
            <w:tcW w:type="dxa" w:w="2325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FDEBD3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2263F"/>
                <w:sz w:val="21"/>
                <w:szCs w:val="21"/>
              </w:rPr>
              <w:t xml:space="preserve">"NexusGuard Confidential"</w:t>
            </w:r>
            <w:r>
              <w:rPr>
                <w:rFonts w:ascii="Arial" w:cs="Arial" w:eastAsia="Arial" w:hAnsi="Arial"/>
                <w:color w:val="12263F"/>
                <w:sz w:val="21"/>
                <w:szCs w:val="21"/>
              </w:rPr>
              <w:t xml:space="preserve"> in header or footer, M365 label, [CONFIDENTIAL] email tag</w:t>
            </w:r>
          </w:p>
        </w:tc>
        <w:tc>
          <w:tcPr>
            <w:tcW w:type="dxa" w:w="2325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FBE9E7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2263F"/>
                <w:sz w:val="21"/>
                <w:szCs w:val="21"/>
              </w:rPr>
              <w:t xml:space="preserve">"NexusGuard Restricted"</w:t>
            </w:r>
            <w:r>
              <w:rPr>
                <w:rFonts w:ascii="Arial" w:cs="Arial" w:eastAsia="Arial" w:hAnsi="Arial"/>
                <w:color w:val="12263F"/>
                <w:sz w:val="21"/>
                <w:szCs w:val="21"/>
              </w:rPr>
              <w:t xml:space="preserve"> on every file, [RESTRICTED] email tag, red media label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1B4F72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Store in</w:t>
            </w:r>
          </w:p>
        </w:tc>
        <w:tc>
          <w:tcPr>
            <w:tcW w:type="dxa" w:w="2325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E6F4EE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2263F"/>
                <w:sz w:val="21"/>
                <w:szCs w:val="21"/>
              </w:rPr>
              <w:t xml:space="preserve">Any approved system</w:t>
            </w:r>
          </w:p>
        </w:tc>
        <w:tc>
          <w:tcPr>
            <w:tcW w:type="dxa" w:w="2325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E3EE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2263F"/>
                <w:sz w:val="21"/>
                <w:szCs w:val="21"/>
              </w:rPr>
              <w:t xml:space="preserve">Approved systems (Microsoft 365, approved SaaS)</w:t>
            </w:r>
          </w:p>
        </w:tc>
        <w:tc>
          <w:tcPr>
            <w:tcW w:type="dxa" w:w="2325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FDEBD3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2263F"/>
                <w:sz w:val="21"/>
                <w:szCs w:val="21"/>
              </w:rPr>
              <w:t xml:space="preserve">Approved, encrypted systems; no USB without approval</w:t>
            </w:r>
          </w:p>
        </w:tc>
        <w:tc>
          <w:tcPr>
            <w:tcW w:type="dxa" w:w="2325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FBE9E7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2263F"/>
                <w:sz w:val="21"/>
                <w:szCs w:val="21"/>
              </w:rPr>
              <w:t xml:space="preserve">Only systems approved for Restricted data</w:t>
            </w:r>
            <w:r>
              <w:rPr>
                <w:rFonts w:ascii="Arial" w:cs="Arial" w:eastAsia="Arial" w:hAnsi="Arial"/>
                <w:color w:val="12263F"/>
                <w:sz w:val="21"/>
                <w:szCs w:val="21"/>
              </w:rPr>
              <w:t xml:space="preserve">; no local copies; no printing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1B4F72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Send by</w:t>
            </w:r>
          </w:p>
        </w:tc>
        <w:tc>
          <w:tcPr>
            <w:tcW w:type="dxa" w:w="2325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E6F4EE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2263F"/>
                <w:sz w:val="21"/>
                <w:szCs w:val="21"/>
              </w:rPr>
              <w:t xml:space="preserve">Any channel</w:t>
            </w:r>
          </w:p>
        </w:tc>
        <w:tc>
          <w:tcPr>
            <w:tcW w:type="dxa" w:w="2325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E3EE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2263F"/>
                <w:sz w:val="21"/>
                <w:szCs w:val="21"/>
              </w:rPr>
              <w:t xml:space="preserve">Company email and approved tools</w:t>
            </w:r>
          </w:p>
        </w:tc>
        <w:tc>
          <w:tcPr>
            <w:tcW w:type="dxa" w:w="2325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FDEBD3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2263F"/>
                <w:sz w:val="21"/>
                <w:szCs w:val="21"/>
              </w:rPr>
              <w:t xml:space="preserve">Encrypted email or secure share with named access; </w:t>
            </w:r>
            <w:r>
              <w:rPr>
                <w:rFonts w:ascii="Arial" w:cs="Arial" w:eastAsia="Arial" w:hAnsi="Arial"/>
                <w:b/>
                <w:bCs/>
                <w:color w:val="12263F"/>
                <w:sz w:val="21"/>
                <w:szCs w:val="21"/>
              </w:rPr>
              <w:t xml:space="preserve">no public links</w:t>
            </w:r>
          </w:p>
        </w:tc>
        <w:tc>
          <w:tcPr>
            <w:tcW w:type="dxa" w:w="2325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FBE9E7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2263F"/>
                <w:sz w:val="21"/>
                <w:szCs w:val="21"/>
              </w:rPr>
              <w:t xml:space="preserve">Encrypted channels between approved systems only</w:t>
            </w:r>
            <w:r>
              <w:rPr>
                <w:rFonts w:ascii="Arial" w:cs="Arial" w:eastAsia="Arial" w:hAnsi="Arial"/>
                <w:color w:val="12263F"/>
                <w:sz w:val="21"/>
                <w:szCs w:val="21"/>
              </w:rPr>
              <w:t xml:space="preserve">; never chat, SMS or plain email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1B4F72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Destroy by</w:t>
            </w:r>
          </w:p>
        </w:tc>
        <w:tc>
          <w:tcPr>
            <w:tcW w:type="dxa" w:w="2325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E6F4EE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2263F"/>
                <w:sz w:val="21"/>
                <w:szCs w:val="21"/>
              </w:rPr>
              <w:t xml:space="preserve">Delete or recycle</w:t>
            </w:r>
          </w:p>
        </w:tc>
        <w:tc>
          <w:tcPr>
            <w:tcW w:type="dxa" w:w="2325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E3EE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2263F"/>
                <w:sz w:val="21"/>
                <w:szCs w:val="21"/>
              </w:rPr>
              <w:t xml:space="preserve">Delete; secure shred bin</w:t>
            </w:r>
          </w:p>
        </w:tc>
        <w:tc>
          <w:tcPr>
            <w:tcW w:type="dxa" w:w="2325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FDEBD3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2263F"/>
                <w:sz w:val="21"/>
                <w:szCs w:val="21"/>
              </w:rPr>
              <w:t xml:space="preserve">Secure delete; cross-cut shred; media wiped</w:t>
            </w:r>
          </w:p>
        </w:tc>
        <w:tc>
          <w:tcPr>
            <w:tcW w:type="dxa" w:w="2325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FBE9E7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2263F"/>
                <w:sz w:val="21"/>
                <w:szCs w:val="21"/>
              </w:rPr>
              <w:t xml:space="preserve">Cryptographic erase or NIST 800-88</w:t>
            </w:r>
            <w:r>
              <w:rPr>
                <w:rFonts w:ascii="Arial" w:cs="Arial" w:eastAsia="Arial" w:hAnsi="Arial"/>
                <w:color w:val="12263F"/>
                <w:sz w:val="21"/>
                <w:szCs w:val="21"/>
              </w:rPr>
              <w:t xml:space="preserve">; certificate; shred to P-5</w:t>
            </w:r>
          </w:p>
        </w:tc>
      </w:tr>
    </w:tbl>
    <w:p>
      <w:pPr>
        <w:spacing w:after="0" w:before="0" w:line="100" w:lineRule="exact"/>
      </w:pPr>
    </w:p>
    <w:p>
      <w:pPr>
        <w:spacing w:after="0" w:before="0"/>
        <w:jc w:val="right"/>
      </w:pPr>
      <w:r>
        <w:rPr>
          <w:rFonts w:ascii="Arial" w:cs="Arial" w:eastAsia="Arial" w:hAnsi="Arial"/>
          <w:color w:val="5F6F82"/>
          <w:sz w:val="16"/>
          <w:szCs w:val="16"/>
        </w:rPr>
        <w:t xml:space="preserve">Page 1 of 2</w:t>
      </w:r>
    </w:p>
    <w:p>
      <w:r>
        <w:br w:type="pag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10800"/>
            <w:gridSpan w:val="2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1B4F72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THE FOUR DATA TYPES YOU MEET MOST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FBE9E7" w:color="auto" w:val="clear"/>
            <w:tcMar>
              <w:top w:type="dxa" w:w="130"/>
              <w:left w:type="dxa" w:w="170"/>
              <w:bottom w:type="dxa" w:w="130"/>
              <w:right w:type="dxa" w:w="170"/>
            </w:tcMar>
            <w:vAlign w:val="top"/>
          </w:tcPr>
          <w:p>
            <w:pPr>
              <w:spacing w:after="1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7"/>
                <w:szCs w:val="27"/>
              </w:rPr>
              <w:t xml:space="preserve">PHI (patient health records)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F6F82"/>
                <w:sz w:val="20"/>
                <w:szCs w:val="20"/>
              </w:rPr>
              <w:t xml:space="preserve">Tier: Restricted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color w:val="12263F"/>
                <w:sz w:val="23"/>
                <w:szCs w:val="23"/>
              </w:rPr>
              <w:t xml:space="preserve">•  Minimum necessary only; a BAA must exist first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color w:val="12263F"/>
                <w:sz w:val="23"/>
                <w:szCs w:val="23"/>
              </w:rPr>
              <w:t xml:space="preserve">•  Never on personal devices, USB or AI tools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color w:val="12263F"/>
                <w:sz w:val="23"/>
                <w:szCs w:val="23"/>
              </w:rPr>
              <w:t xml:space="preserve">•  Never in email subjects, chat or tickets</w:t>
            </w:r>
          </w:p>
        </w:tc>
        <w:tc>
          <w:tcPr>
            <w:tcW w:type="dxa" w:w="54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FBE9E7" w:color="auto" w:val="clear"/>
            <w:tcMar>
              <w:top w:type="dxa" w:w="130"/>
              <w:left w:type="dxa" w:w="170"/>
              <w:bottom w:type="dxa" w:w="130"/>
              <w:right w:type="dxa" w:w="170"/>
            </w:tcMar>
            <w:vAlign w:val="top"/>
          </w:tcPr>
          <w:p>
            <w:pPr>
              <w:spacing w:after="1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7"/>
                <w:szCs w:val="27"/>
              </w:rPr>
              <w:t xml:space="preserve">Payment card data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F6F82"/>
                <w:sz w:val="20"/>
                <w:szCs w:val="20"/>
              </w:rPr>
              <w:t xml:space="preserve">Tier: Restricted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color w:val="12263F"/>
                <w:sz w:val="23"/>
                <w:szCs w:val="23"/>
              </w:rPr>
              <w:t xml:space="preserve">•  PAN unreadable wherever stored; mask on screen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color w:val="12263F"/>
                <w:sz w:val="23"/>
                <w:szCs w:val="23"/>
              </w:rPr>
              <w:t xml:space="preserve">•  Never store security codes (CVV) or PINs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color w:val="12263F"/>
                <w:sz w:val="23"/>
                <w:szCs w:val="23"/>
              </w:rPr>
              <w:t xml:space="preserve">•  Never send PAN by email or chat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FDEBD3" w:color="auto" w:val="clear"/>
            <w:tcMar>
              <w:top w:type="dxa" w:w="130"/>
              <w:left w:type="dxa" w:w="170"/>
              <w:bottom w:type="dxa" w:w="130"/>
              <w:right w:type="dxa" w:w="170"/>
            </w:tcMar>
            <w:vAlign w:val="top"/>
          </w:tcPr>
          <w:p>
            <w:pPr>
              <w:spacing w:after="10" w:before="0"/>
            </w:pPr>
            <w:r>
              <w:rPr>
                <w:rFonts w:ascii="Arial" w:cs="Arial" w:eastAsia="Arial" w:hAnsi="Arial"/>
                <w:b/>
                <w:bCs/>
                <w:color w:val="E67E22"/>
                <w:sz w:val="27"/>
                <w:szCs w:val="27"/>
              </w:rPr>
              <w:t xml:space="preserve">Employee PII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F6F82"/>
                <w:sz w:val="20"/>
                <w:szCs w:val="20"/>
              </w:rPr>
              <w:t xml:space="preserve">Tier: Confidential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color w:val="12263F"/>
                <w:sz w:val="23"/>
                <w:szCs w:val="23"/>
              </w:rPr>
              <w:t xml:space="preserve">•  HR systems only; need-to-know access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color w:val="12263F"/>
                <w:sz w:val="23"/>
                <w:szCs w:val="23"/>
              </w:rPr>
              <w:t xml:space="preserve">•  Special category, ID and bank details are Restricted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color w:val="12263F"/>
                <w:sz w:val="23"/>
                <w:szCs w:val="23"/>
              </w:rPr>
              <w:t xml:space="preserve">•  Follow the retention schedule</w:t>
            </w:r>
          </w:p>
        </w:tc>
        <w:tc>
          <w:tcPr>
            <w:tcW w:type="dxa" w:w="54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FDEBD3" w:color="auto" w:val="clear"/>
            <w:tcMar>
              <w:top w:type="dxa" w:w="130"/>
              <w:left w:type="dxa" w:w="170"/>
              <w:bottom w:type="dxa" w:w="130"/>
              <w:right w:type="dxa" w:w="170"/>
            </w:tcMar>
            <w:vAlign w:val="top"/>
          </w:tcPr>
          <w:p>
            <w:pPr>
              <w:spacing w:after="10" w:before="0"/>
            </w:pPr>
            <w:r>
              <w:rPr>
                <w:rFonts w:ascii="Arial" w:cs="Arial" w:eastAsia="Arial" w:hAnsi="Arial"/>
                <w:b/>
                <w:bCs/>
                <w:color w:val="E67E22"/>
                <w:sz w:val="27"/>
                <w:szCs w:val="27"/>
              </w:rPr>
              <w:t xml:space="preserve">Source code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F6F82"/>
                <w:sz w:val="20"/>
                <w:szCs w:val="20"/>
              </w:rPr>
              <w:t xml:space="preserve">Tier: Confidential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color w:val="12263F"/>
                <w:sz w:val="23"/>
                <w:szCs w:val="23"/>
              </w:rPr>
              <w:t xml:space="preserve">•  Approved repository only, with MFA and code review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color w:val="12263F"/>
                <w:sz w:val="23"/>
                <w:szCs w:val="23"/>
              </w:rPr>
              <w:t xml:space="preserve">•  No secrets, keys or live PHI or card data in code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color w:val="12263F"/>
                <w:sz w:val="23"/>
                <w:szCs w:val="23"/>
              </w:rPr>
              <w:t xml:space="preserve">•  Not in personal repos, email or unapproved AI tools</w:t>
            </w:r>
          </w:p>
        </w:tc>
      </w:tr>
    </w:tbl>
    <w:p>
      <w:pPr>
        <w:spacing w:after="0" w:before="0" w:line="130" w:lineRule="exact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2E8B6A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ALWAYS</w:t>
            </w:r>
          </w:p>
        </w:tc>
        <w:tc>
          <w:tcPr>
            <w:tcW w:type="dxa" w:w="54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C0392B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NEVER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E6F4EE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2263F"/>
                <w:sz w:val="24"/>
                <w:szCs w:val="24"/>
              </w:rPr>
              <w:t xml:space="preserve">Label Confidential and Restricted files</w:t>
            </w:r>
          </w:p>
        </w:tc>
        <w:tc>
          <w:tcPr>
            <w:tcW w:type="dxa" w:w="54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FBE9E7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2263F"/>
                <w:sz w:val="24"/>
                <w:szCs w:val="24"/>
              </w:rPr>
              <w:t xml:space="preserve">Send work data to personal email, cloud or devices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E6F4EE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2263F"/>
                <w:sz w:val="24"/>
                <w:szCs w:val="24"/>
              </w:rPr>
              <w:t xml:space="preserve">Check the recipient before you press send</w:t>
            </w:r>
          </w:p>
        </w:tc>
        <w:tc>
          <w:tcPr>
            <w:tcW w:type="dxa" w:w="54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FBE9E7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2263F"/>
                <w:sz w:val="24"/>
                <w:szCs w:val="24"/>
              </w:rPr>
              <w:t xml:space="preserve">Put PHI or card data in chat, tickets or AI tools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E6F4EE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2263F"/>
                <w:sz w:val="24"/>
                <w:szCs w:val="24"/>
              </w:rPr>
              <w:t xml:space="preserve">Lock your screen; keep paper locked away</w:t>
            </w:r>
          </w:p>
        </w:tc>
        <w:tc>
          <w:tcPr>
            <w:tcW w:type="dxa" w:w="54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FBE9E7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2263F"/>
                <w:sz w:val="24"/>
                <w:szCs w:val="24"/>
              </w:rPr>
              <w:t xml:space="preserve">Use USB drives without written approval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E6F4EE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2263F"/>
                <w:sz w:val="24"/>
                <w:szCs w:val="24"/>
              </w:rPr>
              <w:t xml:space="preserve">Classify one tier higher if unsure, then ask the data owner or DPO</w:t>
            </w:r>
          </w:p>
        </w:tc>
        <w:tc>
          <w:tcPr>
            <w:tcW w:type="dxa" w:w="54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FBE9E7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2263F"/>
                <w:sz w:val="24"/>
                <w:szCs w:val="24"/>
              </w:rPr>
              <w:t xml:space="preserve">Remove or lower a label to get around a control</w:t>
            </w:r>
          </w:p>
        </w:tc>
      </w:tr>
    </w:tbl>
    <w:p>
      <w:pPr>
        <w:spacing w:after="0" w:before="0" w:line="130" w:lineRule="exact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E3EEF8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2263F"/>
                <w:sz w:val="24"/>
                <w:szCs w:val="24"/>
              </w:rPr>
              <w:t xml:space="preserve">Sending data abroad?</w:t>
            </w:r>
            <w:r>
              <w:rPr>
                <w:rFonts w:ascii="Arial" w:cs="Arial" w:eastAsia="Arial" w:hAnsi="Arial"/>
                <w:color w:val="12263F"/>
                <w:sz w:val="24"/>
                <w:szCs w:val="24"/>
              </w:rPr>
              <w:t xml:space="preserve"> Ask the DPO or Legal first. PHI stays in the regions in the client contract. EU and UK personal data needs a lawful transfer mechanism.</w:t>
            </w:r>
          </w:p>
        </w:tc>
      </w:tr>
      <w:tr>
        <w:tc>
          <w:tcPr>
            <w:tcW w:type="dxa" w:w="108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EEF3F8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2263F"/>
                <w:sz w:val="24"/>
                <w:szCs w:val="24"/>
              </w:rPr>
              <w:t xml:space="preserve">Keep only what you need.</w:t>
            </w:r>
            <w:r>
              <w:rPr>
                <w:rFonts w:ascii="Arial" w:cs="Arial" w:eastAsia="Arial" w:hAnsi="Arial"/>
                <w:color w:val="12263F"/>
                <w:sz w:val="24"/>
                <w:szCs w:val="24"/>
              </w:rPr>
              <w:t xml:space="preserve"> Follow the Records Retention Schedule. Never keep copies on desktops, personal drives or old mailboxes. Destroy securely when the period ends.</w:t>
            </w:r>
          </w:p>
        </w:tc>
      </w:tr>
      <w:tr>
        <w:tc>
          <w:tcPr>
            <w:tcW w:type="dxa" w:w="108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1B4F72" w:color="auto" w:val="clear"/>
            <w:tcMar>
              <w:top w:type="dxa" w:w="170"/>
              <w:left w:type="dxa" w:w="200"/>
              <w:bottom w:type="dxa" w:w="170"/>
              <w:right w:type="dxa" w:w="2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Lost, misdirected or exposed data? Report it within 1 hour</w:t>
            </w:r>
            <w:r>
              <w:rPr>
                <w:rFonts w:ascii="Arial" w:cs="Arial" w:eastAsia="Arial" w:hAnsi="Arial"/>
                <w:color w:val="FFFFFF"/>
                <w:sz w:val="26"/>
                <w:szCs w:val="26"/>
              </w:rPr>
              <w:t xml:space="preserve"> through the incident reporting channel. Honest, prompt reports are protected from retaliation.</w:t>
            </w:r>
          </w:p>
        </w:tc>
      </w:tr>
    </w:tbl>
    <w:p>
      <w:pPr>
        <w:spacing w:after="0" w:before="0" w:line="80" w:lineRule="exact"/>
      </w:pPr>
    </w:p>
    <w:p>
      <w:pPr>
        <w:spacing w:after="0" w:before="60"/>
        <w:jc w:val="center"/>
      </w:pPr>
      <w:r>
        <w:rPr>
          <w:rFonts w:ascii="Arial" w:cs="Arial" w:eastAsia="Arial" w:hAnsi="Arial"/>
          <w:color w:val="5F6F82"/>
          <w:sz w:val="18"/>
          <w:szCs w:val="18"/>
        </w:rPr>
        <w:t xml:space="preserve">Full policy: Data Classification and Handling Policy POL-DCH-001 v1.0  |  Quick Reference GDL-DCH-001  |  Classification: Internal  |  Questions: ask the data owner, DPO or Security</w:t>
      </w:r>
    </w:p>
    <w:sectPr>
      <w:pgSz w:w="12240" w:h="15840" w:orient="portrait"/>
      <w:pgMar w:top="600" w:right="720" w:bottom="500" w:left="720" w:header="300" w:footer="3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Handling Quick Reference Guide</dc:title>
  <dc:creator>NexusGuard Technologies Ltd.</dc:creator>
  <cp:lastModifiedBy>Un-named</cp:lastModifiedBy>
  <cp:revision>1</cp:revision>
  <dcterms:created xsi:type="dcterms:W3CDTF">2026-10-13T17:01:06.723Z</dcterms:created>
  <dcterms:modified xsi:type="dcterms:W3CDTF">2026-10-13T17:01:06.723Z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