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ID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USB-2026-002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of evaluation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Manager, Marketing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Evaluated by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Augustine Ozor, GRC Analyst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requested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USB drive (owned by the employee, unmanaged)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involved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presentation containing client logos and contract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(ISP Table 3)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(client contract details)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and destination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From the employee's home to a company office workstation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justification (as stated)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employee wants to bring the presentation to the office from home on a personal USB drive.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validity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applicable. A new request may be submitted if the facts change.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Request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marketing manager asks to use a personal USB drive to bring a client presentation, which includes contract details, from home to an office workstation. The request reveals two issues: the file is on, or has passed through, a personal device outside NexusGuard control, and the proposed route puts unmanaged media into a corporate workstation. Approved alternatives already exist, so there is no case for an exception.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Applicable Policy Clauses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and clause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requires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applies to this request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ISP 5.7.7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Removable media is blocked by default. Exceptions need approval and encryption.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personal drive cannot be registered, managed or verified as encrypted, so it cannot qualify for an exception.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ISP 5.4.2 and Table 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contracts are Confidential and need encryption and need-to-know handling.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contract details must stay in approved, managed systems.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ISP 5.6.4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data on removable media is encrypted with AES-256.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personal drive offers no assurance of encryption.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ISP 5.4.5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Assets are for business use. Confidential or Restricted information shall not be placed in unapproved cloud storage or AI tools.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Copies of the contract on a home computer or personal cloud sit outside approved storage.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AUP 5.7.1 (Table 1)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Copying data to USB or personal devices, and introducing unapproved media, are prohibited.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proposed transfer falls directly within the prohibited data exfiltration activity.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AUP 5.3.3 and 5.8.1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data stays in managed containers or company devices, and remote work uses company-owned or enrolled devices.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 on a home device outside the managed container is not permitted.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AUP 5.6.1 and 5.6.4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approved services are used for work data. Personal cloud storage is prohibited.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file sharing (Microsoft 365) meets the need.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ACP 5.1.1 and 5.5.1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Least privilege, and remote access only through ZTNA or VPN from compliant managed devices.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can reach the file securely from a managed laptop. No removable media is needed.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ISP 5.12.1 and AUP 5.11.1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Suspected incidents are reported within 1 hour of discovery.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the file already sits on a personal device, that shall be reported.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ISP = Information Security Policy POL-ISP-001 v3.0; ACP = Access Control Policy POL-ACC-001 v1.0; AUP = Acceptable Use Policy POL-AUP-001 v1.0. The Data Classification and Handling Policy (POL-DCH-001) has not yet been issued, so data classification is taken from ISP clause 5.4 and Table 3, the scheme that policy will adopt.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impact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Malware entering the corporate workstation from an unmanaged personal drive; leakage or loss of client contract details held on personal media or a home computer.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drive is unmanaged and unencrypted. NexusGuard has no endpoint control, DLP or malware scanning on the home device. The file may already be outside approved systems.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Breach of client confidentiality and contract terms; malware on a corporate workstation; regulatory and reputational damage.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Inherent risk (as requested)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Likely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Moderate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 risk (approved alternative used)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Minor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Low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Scoring uses a 5 x 5 scale (likelihood 1 Rare to 5 Almost certain; impact 1 Negligible to 5 Severe). Score = likelihood x impact: Low 1-4, Medium 5-9, High 10-16, Critical 17-25. Under ISP 5.3.3 a residual Medium risk is accepted by the CISO.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Decision and Justification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Decision: DENY.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request is denied because the risk is High, no business need justifies it, and approved alternatives exist. ISP 5.7.7 allows an exception only for encrypted, approved media, and a personal drive cannot meet that test. The same work can be done securely through Microsoft 365 file sharing on a managed laptop over Zscaler or VPN.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employee did the right thing by asking first. The denial is not a finding against them. The one open concern is that the file may already be stored on a personal device, which Security shall check (see actions below).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Approved Alternatives and Required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200"/>
        <w:gridCol w:w="1900"/>
        <w:gridCol w:w="181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basis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Share the presentation through the approved Microsoft 365 service (SharePoint or OneDrive), using the company account with MFA, from a company laptop connected through Zscaler or VPN.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AUP 5.6.1; ACP 5.5.1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Requester; IT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offline transfer is truly unavoidable, submit a new request for a company-issued, hardware-encrypted USB device with manager approval, as in USB-2026-001.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 5.7.7, 5.6.4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a personal device is needed for remote work in future, request BYOD enrollment so work data stays in the managed container.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AUP 5.3.1, 5.3.3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Requester; IT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shall ask the requester whether the file is already on a personal drive, home computer or personal cloud. If so, record it as a Severity 3 event, have the copy securely deleted and confirmed, and scan the personal drive before any reuse.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 5.12.1, Table 4; AUP 5.11.1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Operations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breach found is handled under AUP Table 3. Prompt self-disclosure counts as mitigation (AUP 7.3). Give the requester a short refresher on approved file sharing.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AUP 7.3, Table 3</w:t>
            </w:r>
          </w:p>
        </w:tc>
        <w:tc>
          <w:tcPr>
            <w:tcW w:type="dxa" w:w="1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HR; Line manager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900"/>
        <w:gridCol w:w="2360"/>
      </w:tblGrid>
      <w:tr>
        <w:trPr>
          <w:cantSplit/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and 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Informed of decision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Analyst (evaluator)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Augustine Ozor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Informed; appeal if raised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Approved conditional requests are policy exceptions under ISP clause 8 and ACP clause 8. They shall be recorded in the exception register with an expiry date. This form and its approvals shall be kept for at least six years.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Classification: Internal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4F72"/>
        <w:sz w:val="20"/>
        <w:szCs w:val="20"/>
      </w:rPr>
      <w:t xml:space="preserve">NexusGuard Technologies Ltd.</w:t>
    </w:r>
    <w:r>
      <w:rPr>
        <w:rFonts w:ascii="Arial" w:cs="Arial" w:eastAsia="Arial" w:hAnsi="Arial"/>
        <w:color w:val="888888"/>
        <w:sz w:val="18"/>
        <w:szCs w:val="18"/>
      </w:rPr>
      <w:t xml:space="preserve">    |    USB Device Request Evaluation Form    |    USB-2026-002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 Device Request Evaluation Form</dc:title>
  <dc:creator>NexusGuard Technologies Ltd.</dc:creator>
  <cp:lastModifiedBy>Un-named</cp:lastModifiedBy>
  <cp:revision>1</cp:revision>
  <dcterms:created xsi:type="dcterms:W3CDTF">2026-10-13T16:48:11.198Z</dcterms:created>
  <dcterms:modified xsi:type="dcterms:W3CDTF">2026-10-13T16:48:11.198Z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