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 Title</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Compliance Committee Charter</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 ID</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CHR-CMP-001</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Version</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1.0</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Classification</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Internal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Author</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Augustine Ozor, GRC Analyst</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Owner</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Chair of the Compliance Committee</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Approved By</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Board of Directors (approval pending); requested by Sarah Al-Mansouri, CEO</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Approval Date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Pending (DD/MM/YYYY to be entered on approval)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Effective Date</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Upon approval, before the first Compliance Committee meeting</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Next Review Date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12 months from approval date</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Applicable Regulations</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ISO/IEC 27001:2022 (Clauses 5.3, 9.3), HIPAA, PCI DSS v4.0, GDPR / UK GDPR, NIST CSF 2.0 (GV.RR, GV.OV), UAE NESA</w:t>
            </w:r>
          </w:p>
        </w:tc>
      </w:tr>
    </w:tbl>
    <w:p>
      <w:pPr>
        <w:spacing w:after="200"/>
      </w:pPr>
    </w:p>
    <w:p>
      <w:pPr>
        <w:pStyle w:val="Heading1"/>
        <w:keepNext/>
      </w:pPr>
      <w:r>
        <w:rPr>
          <w:rFonts w:ascii="Arial" w:cs="Arial" w:eastAsia="Arial" w:hAnsi="Arial"/>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cantSplit/>
          <w:tblHeader/>
        </w:trPr>
        <w:tc>
          <w:tcPr>
            <w:tcW w:type="dxa" w:w="11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Version</w:t>
            </w:r>
          </w:p>
        </w:tc>
        <w:tc>
          <w:tcPr>
            <w:tcW w:type="dxa" w:w="15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Date</w:t>
            </w:r>
          </w:p>
        </w:tc>
        <w:tc>
          <w:tcPr>
            <w:tcW w:type="dxa" w:w="23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Author</w:t>
            </w:r>
          </w:p>
        </w:tc>
        <w:tc>
          <w:tcPr>
            <w:tcW w:type="dxa" w:w="44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Changes</w:t>
            </w:r>
          </w:p>
        </w:tc>
      </w:tr>
      <w:tr>
        <w:trPr>
          <w:cantSplit/>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0.1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13/10/2026</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Augustine Ozor, GRC Analyst</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Initial draft of the charter, requested by the CEO ahead of the first ISSC meeting next month. Follows the governance framework (G-01), which established the ISSC, Risk Committee and Compliance Committee.</w:t>
            </w:r>
          </w:p>
        </w:tc>
      </w:tr>
      <w:tr>
        <w:trPr>
          <w:cantSplit/>
        </w:trPr>
        <w:tc>
          <w:tcPr>
            <w:tcW w:type="dxa" w:w="1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w:t>
            </w:r>
          </w:p>
        </w:tc>
        <w:tc>
          <w:tcPr>
            <w:tcW w:type="dxa" w:w="15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Pending</w:t>
            </w:r>
          </w:p>
        </w:tc>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Board of Directors</w:t>
            </w:r>
          </w:p>
        </w:tc>
        <w:tc>
          <w:tcPr>
            <w:tcW w:type="dxa" w:w="4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Approval and publication.</w:t>
            </w:r>
          </w:p>
        </w:tc>
      </w:tr>
    </w:tbl>
    <w:p>
      <w:pPr>
        <w:spacing w:after="160"/>
      </w:pPr>
    </w:p>
    <w:p>
      <w:r>
        <w:br w:type="page"/>
      </w:r>
    </w:p>
    <w:p>
      <w:pPr>
        <w:pStyle w:val="Heading1"/>
        <w:keepNext/>
      </w:pPr>
      <w:r>
        <w:rPr>
          <w:rFonts w:ascii="Arial" w:cs="Arial" w:eastAsia="Arial" w:hAnsi="Arial"/>
        </w:rPr>
        <w:t xml:space="preserve">1. Purpose and Mandate</w:t>
      </w:r>
    </w:p>
    <w:p>
      <w:pPr>
        <w:spacing w:after="120"/>
      </w:pPr>
      <w:r>
        <w:rPr>
          <w:rFonts w:ascii="Arial" w:cs="Arial" w:eastAsia="Arial" w:hAnsi="Arial"/>
          <w:sz w:val="20"/>
          <w:szCs w:val="20"/>
        </w:rPr>
        <w:t xml:space="preserve">The Compliance Committee oversees how NexusGuard Technologies Ltd. ("NexusGuard"), including PayStream Analytics, meets its legal, regulatory, contractual and certification obligations. These include ISO/IEC 27001:2022, HIPAA, PCI DSS v4.0, GDPR and UK GDPR, UAE NESA and data protection law, and client contract terms.</w:t>
      </w:r>
    </w:p>
    <w:p>
      <w:pPr>
        <w:spacing w:after="120"/>
      </w:pPr>
      <w:r>
        <w:rPr>
          <w:rFonts w:ascii="Arial" w:cs="Arial" w:eastAsia="Arial" w:hAnsi="Arial"/>
          <w:sz w:val="20"/>
          <w:szCs w:val="20"/>
        </w:rPr>
        <w:t xml:space="preserve">It makes sure obligations are identified, owned, monitored and evidenced, that audit findings are closed, and that NexusGuard can show compliance to clients, auditors and regulators, starting with the first HIPAA client go-live.</w:t>
      </w:r>
    </w:p>
    <w:p>
      <w:pPr>
        <w:spacing w:after="120"/>
      </w:pPr>
      <w:r>
        <w:rPr>
          <w:rFonts w:ascii="Arial" w:cs="Arial" w:eastAsia="Arial" w:hAnsi="Arial"/>
          <w:sz w:val="20"/>
          <w:szCs w:val="20"/>
        </w:rPr>
        <w:t xml:space="preserve">The committee shall:</w:t>
      </w:r>
    </w:p>
    <w:p>
      <w:pPr>
        <w:pStyle w:val="ListParagraph"/>
        <w:numPr>
          <w:ilvl w:val="0"/>
          <w:numId w:val="2"/>
        </w:numPr>
        <w:spacing w:after="60"/>
      </w:pPr>
      <w:r>
        <w:rPr>
          <w:rFonts w:ascii="Arial" w:cs="Arial" w:eastAsia="Arial" w:hAnsi="Arial"/>
          <w:sz w:val="20"/>
          <w:szCs w:val="20"/>
        </w:rPr>
        <w:t xml:space="preserve">maintain the register of compliance obligations and the compliance monitoring plan;</w:t>
      </w:r>
    </w:p>
    <w:p>
      <w:pPr>
        <w:pStyle w:val="ListParagraph"/>
        <w:numPr>
          <w:ilvl w:val="0"/>
          <w:numId w:val="2"/>
        </w:numPr>
        <w:spacing w:after="60"/>
      </w:pPr>
      <w:r>
        <w:rPr>
          <w:rFonts w:ascii="Arial" w:cs="Arial" w:eastAsia="Arial" w:hAnsi="Arial"/>
          <w:sz w:val="20"/>
          <w:szCs w:val="20"/>
        </w:rPr>
        <w:t xml:space="preserve">review compliance status for each regime, and oversee evidence for audits and client assessments;</w:t>
      </w:r>
    </w:p>
    <w:p>
      <w:pPr>
        <w:pStyle w:val="ListParagraph"/>
        <w:numPr>
          <w:ilvl w:val="0"/>
          <w:numId w:val="2"/>
        </w:numPr>
        <w:spacing w:after="60"/>
      </w:pPr>
      <w:r>
        <w:rPr>
          <w:rFonts w:ascii="Arial" w:cs="Arial" w:eastAsia="Arial" w:hAnsi="Arial"/>
          <w:sz w:val="20"/>
          <w:szCs w:val="20"/>
        </w:rPr>
        <w:t xml:space="preserve">oversee audit and assessment findings through to closure;</w:t>
      </w:r>
    </w:p>
    <w:p>
      <w:pPr>
        <w:pStyle w:val="ListParagraph"/>
        <w:numPr>
          <w:ilvl w:val="0"/>
          <w:numId w:val="2"/>
        </w:numPr>
        <w:spacing w:after="60"/>
      </w:pPr>
      <w:r>
        <w:rPr>
          <w:rFonts w:ascii="Arial" w:cs="Arial" w:eastAsia="Arial" w:hAnsi="Arial"/>
          <w:sz w:val="20"/>
          <w:szCs w:val="20"/>
        </w:rPr>
        <w:t xml:space="preserve">monitor regulatory change and decide how NexusGuard responds;</w:t>
      </w:r>
    </w:p>
    <w:p>
      <w:pPr>
        <w:pStyle w:val="ListParagraph"/>
        <w:numPr>
          <w:ilvl w:val="0"/>
          <w:numId w:val="2"/>
        </w:numPr>
        <w:spacing w:after="60"/>
      </w:pPr>
      <w:r>
        <w:rPr>
          <w:rFonts w:ascii="Arial" w:cs="Arial" w:eastAsia="Arial" w:hAnsi="Arial"/>
          <w:sz w:val="20"/>
          <w:szCs w:val="20"/>
        </w:rPr>
        <w:t xml:space="preserve">oversee readiness for breach notification, regulator contact and client reporting;</w:t>
      </w:r>
    </w:p>
    <w:p>
      <w:pPr>
        <w:pStyle w:val="ListParagraph"/>
        <w:numPr>
          <w:ilvl w:val="0"/>
          <w:numId w:val="2"/>
        </w:numPr>
        <w:spacing w:after="60"/>
      </w:pPr>
      <w:r>
        <w:rPr>
          <w:rFonts w:ascii="Arial" w:cs="Arial" w:eastAsia="Arial" w:hAnsi="Arial"/>
          <w:sz w:val="20"/>
          <w:szCs w:val="20"/>
        </w:rPr>
        <w:t xml:space="preserve">oversee policy review, staff attestations and compliance training; and</w:t>
      </w:r>
    </w:p>
    <w:p>
      <w:pPr>
        <w:pStyle w:val="ListParagraph"/>
        <w:numPr>
          <w:ilvl w:val="0"/>
          <w:numId w:val="2"/>
        </w:numPr>
        <w:spacing w:after="60"/>
      </w:pPr>
      <w:r>
        <w:rPr>
          <w:rFonts w:ascii="Arial" w:cs="Arial" w:eastAsia="Arial" w:hAnsi="Arial"/>
          <w:sz w:val="20"/>
          <w:szCs w:val="20"/>
        </w:rPr>
        <w:t xml:space="preserve">oversee compliance integration of PayStream Analytics and of third parties.</w:t>
      </w:r>
    </w:p>
    <w:p>
      <w:pPr>
        <w:pStyle w:val="Heading1"/>
        <w:keepNext/>
      </w:pPr>
      <w:r>
        <w:rPr>
          <w:rFonts w:ascii="Arial" w:cs="Arial" w:eastAsia="Arial" w:hAnsi="Arial"/>
        </w:rPr>
        <w:t xml:space="preserve">2. Decision-Making Authority</w:t>
      </w:r>
    </w:p>
    <w:p>
      <w:pPr>
        <w:spacing w:after="120"/>
      </w:pPr>
      <w:r>
        <w:rPr>
          <w:rFonts w:ascii="Arial" w:cs="Arial" w:eastAsia="Arial" w:hAnsi="Arial"/>
          <w:sz w:val="20"/>
          <w:szCs w:val="20"/>
        </w:rPr>
        <w:t xml:space="preserve">The Compliance Committee approves the compliance program and tracks remediation. Decisions to notify a regulator or client of a breach are taken by Legal, the DPO and the CISO under the Information Security Policy (clause 5.12.4), and the committee is informed.</w:t>
      </w:r>
    </w:p>
    <w:p>
      <w:pPr>
        <w:keepNext/>
        <w:spacing w:after="80" w:before="120"/>
      </w:pPr>
      <w:r>
        <w:rPr>
          <w:rFonts w:ascii="Arial" w:cs="Arial" w:eastAsia="Arial" w:hAnsi="Arial"/>
          <w:b/>
          <w:bCs/>
          <w:color w:val="1B4F72"/>
          <w:sz w:val="18"/>
          <w:szCs w:val="18"/>
        </w:rPr>
        <w:t xml:space="preserve">Table 1: Decision Rights of the Compliance Committee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100"/>
        <w:gridCol w:w="2960"/>
      </w:tblGrid>
      <w:tr>
        <w:trPr>
          <w:cantSplit/>
          <w:tblHeader/>
        </w:trPr>
        <w:tc>
          <w:tcPr>
            <w:tcW w:type="dxa" w:w="3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Decision</w:t>
            </w:r>
          </w:p>
        </w:tc>
        <w:tc>
          <w:tcPr>
            <w:tcW w:type="dxa" w:w="31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Committee authority</w:t>
            </w:r>
          </w:p>
        </w:tc>
        <w:tc>
          <w:tcPr>
            <w:tcW w:type="dxa" w:w="29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Escalate to</w:t>
            </w:r>
          </w:p>
        </w:tc>
      </w:tr>
      <w:tr>
        <w:trPr>
          <w:cantSplit/>
        </w:trPr>
        <w:tc>
          <w:tcPr>
            <w:tcW w:type="dxa" w:w="3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Compliance obligations register and monitoring plan</w:t>
            </w:r>
          </w:p>
        </w:tc>
        <w:tc>
          <w:tcPr>
            <w:tcW w:type="dxa" w:w="3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w:t>
            </w:r>
          </w:p>
        </w:tc>
        <w:tc>
          <w:tcPr>
            <w:tcW w:type="dxa" w:w="2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Not required</w:t>
            </w:r>
          </w:p>
        </w:tc>
      </w:tr>
      <w:tr>
        <w:trPr>
          <w:cantSplit/>
        </w:trPr>
        <w:tc>
          <w:tcPr>
            <w:tcW w:type="dxa" w:w="3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Annual compliance plan and internal audit topics</w:t>
            </w:r>
          </w:p>
        </w:tc>
        <w:tc>
          <w:tcPr>
            <w:tcW w:type="dxa" w:w="3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 recommend audit topics</w:t>
            </w:r>
          </w:p>
        </w:tc>
        <w:tc>
          <w:tcPr>
            <w:tcW w:type="dxa" w:w="2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ELT for budget</w:t>
            </w:r>
          </w:p>
        </w:tc>
      </w:tr>
      <w:tr>
        <w:trPr>
          <w:cantSplit/>
        </w:trPr>
        <w:tc>
          <w:tcPr>
            <w:tcW w:type="dxa" w:w="3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Closure of Low and Medium audit findings</w:t>
            </w:r>
          </w:p>
        </w:tc>
        <w:tc>
          <w:tcPr>
            <w:tcW w:type="dxa" w:w="3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w:t>
            </w:r>
          </w:p>
        </w:tc>
        <w:tc>
          <w:tcPr>
            <w:tcW w:type="dxa" w:w="2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Not required</w:t>
            </w:r>
          </w:p>
        </w:tc>
      </w:tr>
      <w:tr>
        <w:trPr>
          <w:cantSplit/>
        </w:trPr>
        <w:tc>
          <w:tcPr>
            <w:tcW w:type="dxa" w:w="3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Extension of High or Critical finding deadlines</w:t>
            </w:r>
          </w:p>
        </w:tc>
        <w:tc>
          <w:tcPr>
            <w:tcW w:type="dxa" w:w="3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Review and recommend</w:t>
            </w:r>
          </w:p>
        </w:tc>
        <w:tc>
          <w:tcPr>
            <w:tcW w:type="dxa" w:w="2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ELT</w:t>
            </w:r>
          </w:p>
        </w:tc>
      </w:tr>
      <w:tr>
        <w:trPr>
          <w:cantSplit/>
        </w:trPr>
        <w:tc>
          <w:tcPr>
            <w:tcW w:type="dxa" w:w="3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Responses to client audits, questionnaires and BAAs</w:t>
            </w:r>
          </w:p>
        </w:tc>
        <w:tc>
          <w:tcPr>
            <w:tcW w:type="dxa" w:w="3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 standard responses; review non-standard terms</w:t>
            </w:r>
          </w:p>
        </w:tc>
        <w:tc>
          <w:tcPr>
            <w:tcW w:type="dxa" w:w="2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ELT for terms outside policy</w:t>
            </w:r>
          </w:p>
        </w:tc>
      </w:tr>
      <w:tr>
        <w:trPr>
          <w:cantSplit/>
        </w:trPr>
        <w:tc>
          <w:tcPr>
            <w:tcW w:type="dxa" w:w="3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Regulatory change response plans</w:t>
            </w:r>
          </w:p>
        </w:tc>
        <w:tc>
          <w:tcPr>
            <w:tcW w:type="dxa" w:w="3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w:t>
            </w:r>
          </w:p>
        </w:tc>
        <w:tc>
          <w:tcPr>
            <w:tcW w:type="dxa" w:w="2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ELT where cost or scope is material</w:t>
            </w:r>
          </w:p>
        </w:tc>
      </w:tr>
      <w:tr>
        <w:trPr>
          <w:cantSplit/>
        </w:trPr>
        <w:tc>
          <w:tcPr>
            <w:tcW w:type="dxa" w:w="3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Regulator inquiries, fines or notifications</w:t>
            </w:r>
          </w:p>
        </w:tc>
        <w:tc>
          <w:tcPr>
            <w:tcW w:type="dxa" w:w="3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Inform and advise</w:t>
            </w:r>
          </w:p>
        </w:tc>
        <w:tc>
          <w:tcPr>
            <w:tcW w:type="dxa" w:w="2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CEO immediately; Board informed</w:t>
            </w:r>
          </w:p>
        </w:tc>
      </w:tr>
      <w:tr>
        <w:trPr>
          <w:cantSplit/>
        </w:trPr>
        <w:tc>
          <w:tcPr>
            <w:tcW w:type="dxa" w:w="3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Loss, suspension or qualification of a certification or PCI DSS status</w:t>
            </w:r>
          </w:p>
        </w:tc>
        <w:tc>
          <w:tcPr>
            <w:tcW w:type="dxa" w:w="3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Inform and advise on recovery</w:t>
            </w:r>
          </w:p>
        </w:tc>
        <w:tc>
          <w:tcPr>
            <w:tcW w:type="dxa" w:w="2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CEO immediately; Board</w:t>
            </w:r>
          </w:p>
        </w:tc>
      </w:tr>
      <w:tr>
        <w:trPr>
          <w:cantSplit/>
        </w:trPr>
        <w:tc>
          <w:tcPr>
            <w:tcW w:type="dxa" w:w="3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Changes to this charter</w:t>
            </w:r>
          </w:p>
        </w:tc>
        <w:tc>
          <w:tcPr>
            <w:tcW w:type="dxa" w:w="3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Recommend (two-thirds vote)</w:t>
            </w:r>
          </w:p>
        </w:tc>
        <w:tc>
          <w:tcPr>
            <w:tcW w:type="dxa" w:w="2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Board</w:t>
            </w:r>
          </w:p>
        </w:tc>
      </w:tr>
    </w:tbl>
    <w:p>
      <w:pPr>
        <w:spacing w:after="160"/>
      </w:pPr>
    </w:p>
    <w:p>
      <w:pPr>
        <w:spacing w:after="120"/>
      </w:pPr>
      <w:r>
        <w:rPr>
          <w:rFonts w:ascii="Arial" w:cs="Arial" w:eastAsia="Arial" w:hAnsi="Arial"/>
          <w:i/>
          <w:iCs/>
          <w:color w:val="555555"/>
          <w:sz w:val="18"/>
          <w:szCs w:val="18"/>
        </w:rPr>
        <w:t xml:space="preserve">Delegations of financial authority follow the Delegation of Authority. Policy approval levels follow the Information Security Policy (POL-ISP-001, clause 5.2), risk acceptance follows clause 5.3.3, and exceptions follow clause 8.</w:t>
      </w:r>
    </w:p>
    <w:p>
      <w:pPr>
        <w:pStyle w:val="Heading1"/>
        <w:keepNext/>
      </w:pPr>
      <w:r>
        <w:rPr>
          <w:rFonts w:ascii="Arial" w:cs="Arial" w:eastAsia="Arial" w:hAnsi="Arial"/>
        </w:rPr>
        <w:t xml:space="preserve">3. Membership</w:t>
      </w:r>
    </w:p>
    <w:p>
      <w:pPr>
        <w:spacing w:after="120"/>
      </w:pPr>
      <w:r>
        <w:rPr>
          <w:rFonts w:ascii="Arial" w:cs="Arial" w:eastAsia="Arial" w:hAnsi="Arial"/>
          <w:sz w:val="20"/>
          <w:szCs w:val="20"/>
        </w:rPr>
        <w:t xml:space="preserve">The Compliance Committee has the following members.</w:t>
      </w:r>
    </w:p>
    <w:p>
      <w:pPr>
        <w:keepNext/>
        <w:spacing w:after="80" w:before="120"/>
      </w:pPr>
      <w:r>
        <w:rPr>
          <w:rFonts w:ascii="Arial" w:cs="Arial" w:eastAsia="Arial" w:hAnsi="Arial"/>
          <w:b/>
          <w:bCs/>
          <w:color w:val="1B4F72"/>
          <w:sz w:val="18"/>
          <w:szCs w:val="18"/>
        </w:rPr>
        <w:t xml:space="preserve">Table 2: Membership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rPr>
          <w:cantSplit/>
          <w:tblHeader/>
        </w:trPr>
        <w:tc>
          <w:tcPr>
            <w:tcW w:type="dxa" w:w="2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Seat</w:t>
            </w:r>
          </w:p>
        </w:tc>
        <w:tc>
          <w:tcPr>
            <w:tcW w:type="dxa" w:w="46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Role holder</w:t>
            </w:r>
          </w:p>
        </w:tc>
        <w:tc>
          <w:tcPr>
            <w:tcW w:type="dxa" w:w="25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Status</w:t>
            </w:r>
          </w:p>
        </w:tc>
      </w:tr>
      <w:tr>
        <w:trPr>
          <w:cantSplit/>
        </w:trPr>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Chair (voting)</w:t>
            </w:r>
          </w:p>
        </w:tc>
        <w:tc>
          <w:tcPr>
            <w:tcW w:type="dxa" w:w="4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Head of Compliance (Michael Chen)</w:t>
            </w:r>
          </w:p>
        </w:tc>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Voting</w:t>
            </w:r>
          </w:p>
        </w:tc>
      </w:tr>
      <w:tr>
        <w:trPr>
          <w:cantSplit/>
        </w:trPr>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Vice-Chair (voting)</w:t>
            </w:r>
          </w:p>
        </w:tc>
        <w:tc>
          <w:tcPr>
            <w:tcW w:type="dxa" w:w="4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Head of Legal</w:t>
            </w:r>
          </w:p>
        </w:tc>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Voting</w:t>
            </w:r>
          </w:p>
        </w:tc>
      </w:tr>
      <w:tr>
        <w:trPr>
          <w:cantSplit/>
        </w:trPr>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Member</w:t>
            </w:r>
          </w:p>
        </w:tc>
        <w:tc>
          <w:tcPr>
            <w:tcW w:type="dxa" w:w="4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Chief Information Security Officer (CISO)</w:t>
            </w:r>
          </w:p>
        </w:tc>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Voting</w:t>
            </w:r>
          </w:p>
        </w:tc>
      </w:tr>
      <w:tr>
        <w:trPr>
          <w:cantSplit/>
        </w:trPr>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Member</w:t>
            </w:r>
          </w:p>
        </w:tc>
        <w:tc>
          <w:tcPr>
            <w:tcW w:type="dxa" w:w="4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HR Director (Aisha Patel)</w:t>
            </w:r>
          </w:p>
        </w:tc>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Voting</w:t>
            </w:r>
          </w:p>
        </w:tc>
      </w:tr>
      <w:tr>
        <w:trPr>
          <w:cantSplit/>
        </w:trPr>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Member</w:t>
            </w:r>
          </w:p>
        </w:tc>
        <w:tc>
          <w:tcPr>
            <w:tcW w:type="dxa" w:w="4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Chief Technology Officer</w:t>
            </w:r>
          </w:p>
        </w:tc>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Voting</w:t>
            </w:r>
          </w:p>
        </w:tc>
      </w:tr>
      <w:tr>
        <w:trPr>
          <w:cantSplit/>
        </w:trPr>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Member</w:t>
            </w:r>
          </w:p>
        </w:tc>
        <w:tc>
          <w:tcPr>
            <w:tcW w:type="dxa" w:w="4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Chief Financial Officer</w:t>
            </w:r>
          </w:p>
        </w:tc>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Voting</w:t>
            </w:r>
          </w:p>
        </w:tc>
      </w:tr>
      <w:tr>
        <w:trPr>
          <w:cantSplit/>
        </w:trPr>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Member</w:t>
            </w:r>
          </w:p>
        </w:tc>
        <w:tc>
          <w:tcPr>
            <w:tcW w:type="dxa" w:w="4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Head of IT</w:t>
            </w:r>
          </w:p>
        </w:tc>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Voting</w:t>
            </w:r>
          </w:p>
        </w:tc>
      </w:tr>
      <w:tr>
        <w:trPr>
          <w:cantSplit/>
        </w:trPr>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Member</w:t>
            </w:r>
          </w:p>
        </w:tc>
        <w:tc>
          <w:tcPr>
            <w:tcW w:type="dxa" w:w="4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PayStream Analytics Head of Engineering (PCI DSS owner for PayStream)</w:t>
            </w:r>
          </w:p>
        </w:tc>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Voting</w:t>
            </w:r>
          </w:p>
        </w:tc>
      </w:tr>
      <w:tr>
        <w:trPr>
          <w:cantSplit/>
        </w:trPr>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Advisor</w:t>
            </w:r>
          </w:p>
        </w:tc>
        <w:tc>
          <w:tcPr>
            <w:tcW w:type="dxa" w:w="4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Data Protection Officer (DPO)</w:t>
            </w:r>
          </w:p>
        </w:tc>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Non-voting</w:t>
            </w:r>
          </w:p>
        </w:tc>
      </w:tr>
      <w:tr>
        <w:trPr>
          <w:cantSplit/>
        </w:trPr>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Advisor</w:t>
            </w:r>
          </w:p>
        </w:tc>
        <w:tc>
          <w:tcPr>
            <w:tcW w:type="dxa" w:w="4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Head of Internal Audit</w:t>
            </w:r>
          </w:p>
        </w:tc>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Non-voting</w:t>
            </w:r>
          </w:p>
        </w:tc>
      </w:tr>
      <w:tr>
        <w:trPr>
          <w:cantSplit/>
        </w:trPr>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Advisor (by invitation)</w:t>
            </w:r>
          </w:p>
        </w:tc>
        <w:tc>
          <w:tcPr>
            <w:tcW w:type="dxa" w:w="4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External auditors and assessors; Security Operations Center Manager</w:t>
            </w:r>
          </w:p>
        </w:tc>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Non-voting</w:t>
            </w:r>
          </w:p>
        </w:tc>
      </w:tr>
      <w:tr>
        <w:trPr>
          <w:cantSplit/>
        </w:trPr>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Executive sponsor</w:t>
            </w:r>
          </w:p>
        </w:tc>
        <w:tc>
          <w:tcPr>
            <w:tcW w:type="dxa" w:w="4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Chief Executive Officer (Sarah Al-Mansouri), who receives the minutes</w:t>
            </w:r>
          </w:p>
        </w:tc>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Non-voting</w:t>
            </w:r>
          </w:p>
        </w:tc>
      </w:tr>
      <w:tr>
        <w:trPr>
          <w:cantSplit/>
        </w:trPr>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Secretary</w:t>
            </w:r>
          </w:p>
        </w:tc>
        <w:tc>
          <w:tcPr>
            <w:tcW w:type="dxa" w:w="4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GRC Analyst</w:t>
            </w:r>
          </w:p>
        </w:tc>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Non-voting</w:t>
            </w:r>
          </w:p>
        </w:tc>
      </w:tr>
    </w:tbl>
    <w:p>
      <w:pPr>
        <w:spacing w:after="160"/>
      </w:pPr>
    </w:p>
    <w:p>
      <w:pPr>
        <w:spacing w:after="120"/>
      </w:pPr>
      <w:r>
        <w:rPr>
          <w:rFonts w:ascii="Arial" w:cs="Arial" w:eastAsia="Arial" w:hAnsi="Arial"/>
          <w:i/>
          <w:iCs/>
          <w:color w:val="555555"/>
          <w:sz w:val="18"/>
          <w:szCs w:val="18"/>
        </w:rPr>
        <w:t xml:space="preserve">Names are shown where the role holder is known. Other role holders shall be confirmed by the CEO when the charter is approved. Members serve by virtue of their office, and a successor in the role takes the seat.</w:t>
      </w:r>
    </w:p>
    <w:p>
      <w:pPr>
        <w:tabs>
          <w:tab w:val="left" w:pos="720"/>
        </w:tabs>
        <w:spacing w:after="100"/>
        <w:ind w:left="720" w:hanging="720"/>
      </w:pPr>
      <w:r>
        <w:rPr>
          <w:rFonts w:ascii="Arial" w:cs="Arial" w:eastAsia="Arial" w:hAnsi="Arial"/>
          <w:b/>
          <w:bCs/>
          <w:color w:val="1B4F72"/>
          <w:sz w:val="20"/>
          <w:szCs w:val="20"/>
        </w:rPr>
        <w:t xml:space="preserve">3.1</w:t>
      </w:r>
      <w:r>
        <w:rPr>
          <w:rFonts w:ascii="Arial" w:cs="Arial" w:eastAsia="Arial" w:hAnsi="Arial"/>
        </w:rPr>
        <w:t xml:space="preserve">	</w:t>
      </w:r>
      <w:r>
        <w:rPr>
          <w:rFonts w:ascii="Arial" w:cs="Arial" w:eastAsia="Arial" w:hAnsi="Arial"/>
          <w:sz w:val="20"/>
          <w:szCs w:val="20"/>
        </w:rPr>
        <w:t xml:space="preserve">The Chair shall lead meetings, keep the compliance register current, and speak for the committee to the ISSC, CEO and Board.</w:t>
      </w:r>
    </w:p>
    <w:p>
      <w:pPr>
        <w:tabs>
          <w:tab w:val="left" w:pos="720"/>
        </w:tabs>
        <w:spacing w:after="100"/>
        <w:ind w:left="720" w:hanging="720"/>
      </w:pPr>
      <w:r>
        <w:rPr>
          <w:rFonts w:ascii="Arial" w:cs="Arial" w:eastAsia="Arial" w:hAnsi="Arial"/>
          <w:b/>
          <w:bCs/>
          <w:color w:val="1B4F72"/>
          <w:sz w:val="20"/>
          <w:szCs w:val="20"/>
        </w:rPr>
        <w:t xml:space="preserve">3.2</w:t>
      </w:r>
      <w:r>
        <w:rPr>
          <w:rFonts w:ascii="Arial" w:cs="Arial" w:eastAsia="Arial" w:hAnsi="Arial"/>
        </w:rPr>
        <w:t xml:space="preserve">	</w:t>
      </w:r>
      <w:r>
        <w:rPr>
          <w:rFonts w:ascii="Arial" w:cs="Arial" w:eastAsia="Arial" w:hAnsi="Arial"/>
          <w:sz w:val="20"/>
          <w:szCs w:val="20"/>
        </w:rPr>
        <w:t xml:space="preserve">The Vice-Chair shall act as Chair when needed and shall advise on legal interpretation. The DPO advises on privacy matters and remains independent, and shall not be directed on how to perform DPO tasks.</w:t>
      </w:r>
    </w:p>
    <w:p>
      <w:pPr>
        <w:tabs>
          <w:tab w:val="left" w:pos="720"/>
        </w:tabs>
        <w:spacing w:after="100"/>
        <w:ind w:left="720" w:hanging="720"/>
      </w:pPr>
      <w:r>
        <w:rPr>
          <w:rFonts w:ascii="Arial" w:cs="Arial" w:eastAsia="Arial" w:hAnsi="Arial"/>
          <w:b/>
          <w:bCs/>
          <w:color w:val="1B4F72"/>
          <w:sz w:val="20"/>
          <w:szCs w:val="20"/>
        </w:rPr>
        <w:t xml:space="preserve">3.3</w:t>
      </w:r>
      <w:r>
        <w:rPr>
          <w:rFonts w:ascii="Arial" w:cs="Arial" w:eastAsia="Arial" w:hAnsi="Arial"/>
        </w:rPr>
        <w:t xml:space="preserve">	</w:t>
      </w:r>
      <w:r>
        <w:rPr>
          <w:rFonts w:ascii="Arial" w:cs="Arial" w:eastAsia="Arial" w:hAnsi="Arial"/>
          <w:sz w:val="20"/>
          <w:szCs w:val="20"/>
        </w:rPr>
        <w:t xml:space="preserve">Voting members may nominate a delegate at director level, with notice to the Secretary before the meeting. No more than two delegates may count towards the quorum at any one meeting.</w:t>
      </w:r>
    </w:p>
    <w:p>
      <w:pPr>
        <w:tabs>
          <w:tab w:val="left" w:pos="720"/>
        </w:tabs>
        <w:spacing w:after="100"/>
        <w:ind w:left="720" w:hanging="720"/>
      </w:pPr>
      <w:r>
        <w:rPr>
          <w:rFonts w:ascii="Arial" w:cs="Arial" w:eastAsia="Arial" w:hAnsi="Arial"/>
          <w:b/>
          <w:bCs/>
          <w:color w:val="1B4F72"/>
          <w:sz w:val="20"/>
          <w:szCs w:val="20"/>
        </w:rPr>
        <w:t xml:space="preserve">3.4</w:t>
      </w:r>
      <w:r>
        <w:rPr>
          <w:rFonts w:ascii="Arial" w:cs="Arial" w:eastAsia="Arial" w:hAnsi="Arial"/>
        </w:rPr>
        <w:t xml:space="preserve">	</w:t>
      </w:r>
      <w:r>
        <w:rPr>
          <w:rFonts w:ascii="Arial" w:cs="Arial" w:eastAsia="Arial" w:hAnsi="Arial"/>
          <w:sz w:val="20"/>
          <w:szCs w:val="20"/>
        </w:rPr>
        <w:t xml:space="preserve">The Secretary shall prepare the agenda with the Chair, issue papers, record minutes and decisions, and maintain the action tracker. The Secretary does not vote.</w:t>
      </w:r>
    </w:p>
    <w:p>
      <w:pPr>
        <w:tabs>
          <w:tab w:val="left" w:pos="720"/>
        </w:tabs>
        <w:spacing w:after="100"/>
        <w:ind w:left="720" w:hanging="720"/>
      </w:pPr>
      <w:r>
        <w:rPr>
          <w:rFonts w:ascii="Arial" w:cs="Arial" w:eastAsia="Arial" w:hAnsi="Arial"/>
          <w:b/>
          <w:bCs/>
          <w:color w:val="1B4F72"/>
          <w:sz w:val="20"/>
          <w:szCs w:val="20"/>
        </w:rPr>
        <w:t xml:space="preserve">3.5</w:t>
      </w:r>
      <w:r>
        <w:rPr>
          <w:rFonts w:ascii="Arial" w:cs="Arial" w:eastAsia="Arial" w:hAnsi="Arial"/>
        </w:rPr>
        <w:t xml:space="preserve">	</w:t>
      </w:r>
      <w:r>
        <w:rPr>
          <w:rFonts w:ascii="Arial" w:cs="Arial" w:eastAsia="Arial" w:hAnsi="Arial"/>
          <w:sz w:val="20"/>
          <w:szCs w:val="20"/>
        </w:rPr>
        <w:t xml:space="preserve">Non-voting advisors may speak and advise, and may ask for their view to be minuted. They may be asked to leave for confidential items. The Data Protection Officer and Internal Audit remain non-voting to protect their independence.</w:t>
      </w:r>
    </w:p>
    <w:p>
      <w:pPr>
        <w:tabs>
          <w:tab w:val="left" w:pos="720"/>
        </w:tabs>
        <w:spacing w:after="100"/>
        <w:ind w:left="720" w:hanging="720"/>
      </w:pPr>
      <w:r>
        <w:rPr>
          <w:rFonts w:ascii="Arial" w:cs="Arial" w:eastAsia="Arial" w:hAnsi="Arial"/>
          <w:b/>
          <w:bCs/>
          <w:color w:val="1B4F72"/>
          <w:sz w:val="20"/>
          <w:szCs w:val="20"/>
        </w:rPr>
        <w:t xml:space="preserve">3.6</w:t>
      </w:r>
      <w:r>
        <w:rPr>
          <w:rFonts w:ascii="Arial" w:cs="Arial" w:eastAsia="Arial" w:hAnsi="Arial"/>
        </w:rPr>
        <w:t xml:space="preserve">	</w:t>
      </w:r>
      <w:r>
        <w:rPr>
          <w:rFonts w:ascii="Arial" w:cs="Arial" w:eastAsia="Arial" w:hAnsi="Arial"/>
          <w:sz w:val="20"/>
          <w:szCs w:val="20"/>
        </w:rPr>
        <w:t xml:space="preserve">The Chair may invite other staff, external auditors or advisors for specific items. Invitees do not vote.</w:t>
      </w:r>
    </w:p>
    <w:p>
      <w:pPr>
        <w:pStyle w:val="Heading1"/>
        <w:keepNext/>
      </w:pPr>
      <w:r>
        <w:rPr>
          <w:rFonts w:ascii="Arial" w:cs="Arial" w:eastAsia="Arial" w:hAnsi="Arial"/>
        </w:rPr>
        <w:t xml:space="preserve">4. Quorum and Voting</w:t>
      </w:r>
    </w:p>
    <w:p>
      <w:pPr>
        <w:tabs>
          <w:tab w:val="left" w:pos="720"/>
        </w:tabs>
        <w:spacing w:after="100"/>
        <w:ind w:left="720" w:hanging="720"/>
      </w:pPr>
      <w:r>
        <w:rPr>
          <w:rFonts w:ascii="Arial" w:cs="Arial" w:eastAsia="Arial" w:hAnsi="Arial"/>
          <w:b/>
          <w:bCs/>
          <w:color w:val="1B4F72"/>
          <w:sz w:val="20"/>
          <w:szCs w:val="20"/>
        </w:rPr>
        <w:t xml:space="preserve">4.1</w:t>
      </w:r>
      <w:r>
        <w:rPr>
          <w:rFonts w:ascii="Arial" w:cs="Arial" w:eastAsia="Arial" w:hAnsi="Arial"/>
        </w:rPr>
        <w:t xml:space="preserve">	</w:t>
      </w:r>
      <w:r>
        <w:rPr>
          <w:rFonts w:ascii="Arial" w:cs="Arial" w:eastAsia="Arial" w:hAnsi="Arial"/>
          <w:sz w:val="20"/>
          <w:szCs w:val="20"/>
        </w:rPr>
        <w:t xml:space="preserve">A quorum is five of the eight voting members, including the Chair or the Vice-Chair and the CISO or a delegate.</w:t>
      </w:r>
    </w:p>
    <w:p>
      <w:pPr>
        <w:tabs>
          <w:tab w:val="left" w:pos="720"/>
        </w:tabs>
        <w:spacing w:after="100"/>
        <w:ind w:left="720" w:hanging="720"/>
      </w:pPr>
      <w:r>
        <w:rPr>
          <w:rFonts w:ascii="Arial" w:cs="Arial" w:eastAsia="Arial" w:hAnsi="Arial"/>
          <w:b/>
          <w:bCs/>
          <w:color w:val="1B4F72"/>
          <w:sz w:val="20"/>
          <w:szCs w:val="20"/>
        </w:rPr>
        <w:t xml:space="preserve">4.2</w:t>
      </w:r>
      <w:r>
        <w:rPr>
          <w:rFonts w:ascii="Arial" w:cs="Arial" w:eastAsia="Arial" w:hAnsi="Arial"/>
        </w:rPr>
        <w:t xml:space="preserve">	</w:t>
      </w:r>
      <w:r>
        <w:rPr>
          <w:rFonts w:ascii="Arial" w:cs="Arial" w:eastAsia="Arial" w:hAnsi="Arial"/>
          <w:sz w:val="20"/>
          <w:szCs w:val="20"/>
        </w:rPr>
        <w:t xml:space="preserve">A recommendation to extend a High or Critical finding deadline, or to amend this charter, needs a two-thirds majority of voting members present.</w:t>
      </w:r>
    </w:p>
    <w:p>
      <w:pPr>
        <w:tabs>
          <w:tab w:val="left" w:pos="720"/>
        </w:tabs>
        <w:spacing w:after="100"/>
        <w:ind w:left="720" w:hanging="720"/>
      </w:pPr>
      <w:r>
        <w:rPr>
          <w:rFonts w:ascii="Arial" w:cs="Arial" w:eastAsia="Arial" w:hAnsi="Arial"/>
          <w:b/>
          <w:bCs/>
          <w:color w:val="1B4F72"/>
          <w:sz w:val="20"/>
          <w:szCs w:val="20"/>
        </w:rPr>
        <w:t xml:space="preserve">4.3</w:t>
      </w:r>
      <w:r>
        <w:rPr>
          <w:rFonts w:ascii="Arial" w:cs="Arial" w:eastAsia="Arial" w:hAnsi="Arial"/>
        </w:rPr>
        <w:t xml:space="preserve">	</w:t>
      </w:r>
      <w:r>
        <w:rPr>
          <w:rFonts w:ascii="Arial" w:cs="Arial" w:eastAsia="Arial" w:hAnsi="Arial"/>
          <w:sz w:val="20"/>
          <w:szCs w:val="20"/>
        </w:rPr>
        <w:t xml:space="preserve">The committee shall aim for consensus. Where a vote is needed, each voting member has one vote, and a motion passes by a simple majority of voting members present, unless Table 1 or this section requires more. The Chair has a casting vote in a tie.</w:t>
      </w:r>
    </w:p>
    <w:p>
      <w:pPr>
        <w:tabs>
          <w:tab w:val="left" w:pos="720"/>
        </w:tabs>
        <w:spacing w:after="100"/>
        <w:ind w:left="720" w:hanging="720"/>
      </w:pPr>
      <w:r>
        <w:rPr>
          <w:rFonts w:ascii="Arial" w:cs="Arial" w:eastAsia="Arial" w:hAnsi="Arial"/>
          <w:b/>
          <w:bCs/>
          <w:color w:val="1B4F72"/>
          <w:sz w:val="20"/>
          <w:szCs w:val="20"/>
        </w:rPr>
        <w:t xml:space="preserve">4.4</w:t>
      </w:r>
      <w:r>
        <w:rPr>
          <w:rFonts w:ascii="Arial" w:cs="Arial" w:eastAsia="Arial" w:hAnsi="Arial"/>
        </w:rPr>
        <w:t xml:space="preserve">	</w:t>
      </w:r>
      <w:r>
        <w:rPr>
          <w:rFonts w:ascii="Arial" w:cs="Arial" w:eastAsia="Arial" w:hAnsi="Arial"/>
          <w:sz w:val="20"/>
          <w:szCs w:val="20"/>
        </w:rPr>
        <w:t xml:space="preserve">A member with a conflict of interest in an item shall declare it and leave the vote on that item. The Secretary shall record the declaration.</w:t>
      </w:r>
    </w:p>
    <w:p>
      <w:pPr>
        <w:tabs>
          <w:tab w:val="left" w:pos="720"/>
        </w:tabs>
        <w:spacing w:after="100"/>
        <w:ind w:left="720" w:hanging="720"/>
      </w:pPr>
      <w:r>
        <w:rPr>
          <w:rFonts w:ascii="Arial" w:cs="Arial" w:eastAsia="Arial" w:hAnsi="Arial"/>
          <w:b/>
          <w:bCs/>
          <w:color w:val="1B4F72"/>
          <w:sz w:val="20"/>
          <w:szCs w:val="20"/>
        </w:rPr>
        <w:t xml:space="preserve">4.5</w:t>
      </w:r>
      <w:r>
        <w:rPr>
          <w:rFonts w:ascii="Arial" w:cs="Arial" w:eastAsia="Arial" w:hAnsi="Arial"/>
        </w:rPr>
        <w:t xml:space="preserve">	</w:t>
      </w:r>
      <w:r>
        <w:rPr>
          <w:rFonts w:ascii="Arial" w:cs="Arial" w:eastAsia="Arial" w:hAnsi="Arial"/>
          <w:sz w:val="20"/>
          <w:szCs w:val="20"/>
        </w:rPr>
        <w:t xml:space="preserve">Urgent decisions between meetings may be taken by written resolution circulated by the Secretary with at least 48 hours to respond. The resolution passes if a majority of all voting members approve it, and it shall be recorded at the next meeting.</w:t>
      </w:r>
    </w:p>
    <w:p>
      <w:pPr>
        <w:tabs>
          <w:tab w:val="left" w:pos="720"/>
        </w:tabs>
        <w:spacing w:after="100"/>
        <w:ind w:left="720" w:hanging="720"/>
      </w:pPr>
      <w:r>
        <w:rPr>
          <w:rFonts w:ascii="Arial" w:cs="Arial" w:eastAsia="Arial" w:hAnsi="Arial"/>
          <w:b/>
          <w:bCs/>
          <w:color w:val="1B4F72"/>
          <w:sz w:val="20"/>
          <w:szCs w:val="20"/>
        </w:rPr>
        <w:t xml:space="preserve">4.6</w:t>
      </w:r>
      <w:r>
        <w:rPr>
          <w:rFonts w:ascii="Arial" w:cs="Arial" w:eastAsia="Arial" w:hAnsi="Arial"/>
        </w:rPr>
        <w:t xml:space="preserve">	</w:t>
      </w:r>
      <w:r>
        <w:rPr>
          <w:rFonts w:ascii="Arial" w:cs="Arial" w:eastAsia="Arial" w:hAnsi="Arial"/>
          <w:sz w:val="20"/>
          <w:szCs w:val="20"/>
        </w:rPr>
        <w:t xml:space="preserve">Every decision, with the vote count and any recorded dissent, shall be entered in the decision register. Minutes shall be circulated within 3 business days and approved at the next meeting.</w:t>
      </w:r>
    </w:p>
    <w:p>
      <w:pPr>
        <w:pStyle w:val="Heading1"/>
        <w:keepNext/>
      </w:pPr>
      <w:r>
        <w:rPr>
          <w:rFonts w:ascii="Arial" w:cs="Arial" w:eastAsia="Arial" w:hAnsi="Arial"/>
        </w:rPr>
        <w:t xml:space="preserve">5. Meetings</w:t>
      </w:r>
    </w:p>
    <w:p>
      <w:pPr>
        <w:tabs>
          <w:tab w:val="left" w:pos="720"/>
        </w:tabs>
        <w:spacing w:after="100"/>
        <w:ind w:left="720" w:hanging="720"/>
      </w:pPr>
      <w:r>
        <w:rPr>
          <w:rFonts w:ascii="Arial" w:cs="Arial" w:eastAsia="Arial" w:hAnsi="Arial"/>
          <w:b/>
          <w:bCs/>
          <w:color w:val="1B4F72"/>
          <w:sz w:val="20"/>
          <w:szCs w:val="20"/>
        </w:rPr>
        <w:t xml:space="preserve">5.1</w:t>
      </w:r>
      <w:r>
        <w:rPr>
          <w:rFonts w:ascii="Arial" w:cs="Arial" w:eastAsia="Arial" w:hAnsi="Arial"/>
        </w:rPr>
        <w:t xml:space="preserve">	</w:t>
      </w:r>
      <w:r>
        <w:rPr>
          <w:rFonts w:ascii="Arial" w:cs="Arial" w:eastAsia="Arial" w:hAnsi="Arial"/>
          <w:sz w:val="20"/>
          <w:szCs w:val="20"/>
        </w:rPr>
        <w:t xml:space="preserve">The Compliance Committee shall meet every two months (six times a year) for two hours, in person or by video. The first meeting shall take place after the ISSC's first meeting.</w:t>
      </w:r>
    </w:p>
    <w:p>
      <w:pPr>
        <w:tabs>
          <w:tab w:val="left" w:pos="720"/>
        </w:tabs>
        <w:spacing w:after="100"/>
        <w:ind w:left="720" w:hanging="720"/>
      </w:pPr>
      <w:r>
        <w:rPr>
          <w:rFonts w:ascii="Arial" w:cs="Arial" w:eastAsia="Arial" w:hAnsi="Arial"/>
          <w:b/>
          <w:bCs/>
          <w:color w:val="1B4F72"/>
          <w:sz w:val="20"/>
          <w:szCs w:val="20"/>
        </w:rPr>
        <w:t xml:space="preserve">5.2</w:t>
      </w:r>
      <w:r>
        <w:rPr>
          <w:rFonts w:ascii="Arial" w:cs="Arial" w:eastAsia="Arial" w:hAnsi="Arial"/>
        </w:rPr>
        <w:t xml:space="preserve">	</w:t>
      </w:r>
      <w:r>
        <w:rPr>
          <w:rFonts w:ascii="Arial" w:cs="Arial" w:eastAsia="Arial" w:hAnsi="Arial"/>
          <w:sz w:val="20"/>
          <w:szCs w:val="20"/>
        </w:rPr>
        <w:t xml:space="preserve">The Secretary shall issue the agenda and compliance pack at least 5 business days before each meeting. A short written status shall be issued in the months without a meeting, and monthly during HIPAA client onboarding and audit windows.</w:t>
      </w:r>
    </w:p>
    <w:p>
      <w:pPr>
        <w:tabs>
          <w:tab w:val="left" w:pos="720"/>
        </w:tabs>
        <w:spacing w:after="100"/>
        <w:ind w:left="720" w:hanging="720"/>
      </w:pPr>
      <w:r>
        <w:rPr>
          <w:rFonts w:ascii="Arial" w:cs="Arial" w:eastAsia="Arial" w:hAnsi="Arial"/>
          <w:b/>
          <w:bCs/>
          <w:color w:val="1B4F72"/>
          <w:sz w:val="20"/>
          <w:szCs w:val="20"/>
        </w:rPr>
        <w:t xml:space="preserve">5.3</w:t>
      </w:r>
      <w:r>
        <w:rPr>
          <w:rFonts w:ascii="Arial" w:cs="Arial" w:eastAsia="Arial" w:hAnsi="Arial"/>
        </w:rPr>
        <w:t xml:space="preserve">	</w:t>
      </w:r>
      <w:r>
        <w:rPr>
          <w:rFonts w:ascii="Arial" w:cs="Arial" w:eastAsia="Arial" w:hAnsi="Arial"/>
          <w:sz w:val="20"/>
          <w:szCs w:val="20"/>
        </w:rPr>
        <w:t xml:space="preserve">The Chair shall call an ad hoc meeting within 48 hours of any regulator contact, notifiable breach or threat to a certification, and within 5 business days of any other urgent matter.</w:t>
      </w:r>
    </w:p>
    <w:p>
      <w:pPr>
        <w:tabs>
          <w:tab w:val="left" w:pos="720"/>
        </w:tabs>
        <w:spacing w:after="100"/>
        <w:ind w:left="720" w:hanging="720"/>
      </w:pPr>
      <w:r>
        <w:rPr>
          <w:rFonts w:ascii="Arial" w:cs="Arial" w:eastAsia="Arial" w:hAnsi="Arial"/>
          <w:b/>
          <w:bCs/>
          <w:color w:val="1B4F72"/>
          <w:sz w:val="20"/>
          <w:szCs w:val="20"/>
        </w:rPr>
        <w:t xml:space="preserve">5.4</w:t>
      </w:r>
      <w:r>
        <w:rPr>
          <w:rFonts w:ascii="Arial" w:cs="Arial" w:eastAsia="Arial" w:hAnsi="Arial"/>
        </w:rPr>
        <w:t xml:space="preserve">	</w:t>
      </w:r>
      <w:r>
        <w:rPr>
          <w:rFonts w:ascii="Arial" w:cs="Arial" w:eastAsia="Arial" w:hAnsi="Arial"/>
          <w:sz w:val="20"/>
          <w:szCs w:val="20"/>
        </w:rPr>
        <w:t xml:space="preserve">The committee shall review its compliance obligations register at its first meeting each year.</w:t>
      </w:r>
    </w:p>
    <w:p>
      <w:pPr>
        <w:pStyle w:val="Heading1"/>
        <w:keepNext/>
      </w:pPr>
      <w:r>
        <w:rPr>
          <w:rFonts w:ascii="Arial" w:cs="Arial" w:eastAsia="Arial" w:hAnsi="Arial"/>
        </w:rPr>
        <w:t xml:space="preserve">6. Agenda Structure and Standing Items</w:t>
      </w:r>
    </w:p>
    <w:p>
      <w:pPr>
        <w:spacing w:after="120"/>
      </w:pPr>
      <w:r>
        <w:rPr>
          <w:rFonts w:ascii="Arial" w:cs="Arial" w:eastAsia="Arial" w:hAnsi="Arial"/>
          <w:sz w:val="20"/>
          <w:szCs w:val="20"/>
        </w:rPr>
        <w:t xml:space="preserve">Every meeting shall follow the standing agenda in Table 3. The Chair may reorder items to suit urgent business.</w:t>
      </w:r>
    </w:p>
    <w:p>
      <w:pPr>
        <w:keepNext/>
        <w:spacing w:after="80" w:before="120"/>
      </w:pPr>
      <w:r>
        <w:rPr>
          <w:rFonts w:ascii="Arial" w:cs="Arial" w:eastAsia="Arial" w:hAnsi="Arial"/>
          <w:b/>
          <w:bCs/>
          <w:color w:val="1B4F72"/>
          <w:sz w:val="18"/>
          <w:szCs w:val="18"/>
        </w:rPr>
        <w:t xml:space="preserve">Table 3: Standing 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5400"/>
        <w:gridCol w:w="2310"/>
        <w:gridCol w:w="1200"/>
      </w:tblGrid>
      <w:tr>
        <w:trPr>
          <w:cantSplit/>
          <w:tblHeader/>
        </w:trPr>
        <w:tc>
          <w:tcPr>
            <w:tcW w:type="dxa" w:w="4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w:t>
            </w:r>
          </w:p>
        </w:tc>
        <w:tc>
          <w:tcPr>
            <w:tcW w:type="dxa" w:w="54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Item</w:t>
            </w:r>
          </w:p>
        </w:tc>
        <w:tc>
          <w:tcPr>
            <w:tcW w:type="dxa" w:w="231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Lead</w:t>
            </w:r>
          </w:p>
        </w:tc>
        <w:tc>
          <w:tcPr>
            <w:tcW w:type="dxa" w:w="1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Time</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w:t>
            </w:r>
          </w:p>
        </w:tc>
        <w:tc>
          <w:tcPr>
            <w:tcW w:type="dxa" w:w="5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Opening: quorum, conflicts, minutes and actions</w:t>
            </w:r>
          </w:p>
        </w:tc>
        <w:tc>
          <w:tcPr>
            <w:tcW w:type="dxa" w:w="2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Chair and Secretary</w:t>
            </w:r>
          </w:p>
        </w:tc>
        <w:tc>
          <w:tcPr>
            <w:tcW w:type="dxa" w:w="1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10 min</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2</w:t>
            </w:r>
          </w:p>
        </w:tc>
        <w:tc>
          <w:tcPr>
            <w:tcW w:type="dxa" w:w="5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Regulatory change horizon (HIPAA, PCI DSS, GDPR, UAE and UK developments)</w:t>
            </w:r>
          </w:p>
        </w:tc>
        <w:tc>
          <w:tcPr>
            <w:tcW w:type="dxa" w:w="2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Head of Legal; DPO</w:t>
            </w:r>
          </w:p>
        </w:tc>
        <w:tc>
          <w:tcPr>
            <w:tcW w:type="dxa" w:w="1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15 min</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3</w:t>
            </w:r>
          </w:p>
        </w:tc>
        <w:tc>
          <w:tcPr>
            <w:tcW w:type="dxa" w:w="5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Compliance status by regime: ISO 27001, HIPAA, PCI DSS, GDPR, UAE NESA</w:t>
            </w:r>
          </w:p>
        </w:tc>
        <w:tc>
          <w:tcPr>
            <w:tcW w:type="dxa" w:w="2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Head of Compliance</w:t>
            </w:r>
          </w:p>
        </w:tc>
        <w:tc>
          <w:tcPr>
            <w:tcW w:type="dxa" w:w="1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25 min</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4</w:t>
            </w:r>
          </w:p>
        </w:tc>
        <w:tc>
          <w:tcPr>
            <w:tcW w:type="dxa" w:w="5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Audit and assessment findings and remediation tracker</w:t>
            </w:r>
          </w:p>
        </w:tc>
        <w:tc>
          <w:tcPr>
            <w:tcW w:type="dxa" w:w="2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 Head of Internal Audit</w:t>
            </w:r>
          </w:p>
        </w:tc>
        <w:tc>
          <w:tcPr>
            <w:tcW w:type="dxa" w:w="1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20 min</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5</w:t>
            </w:r>
          </w:p>
        </w:tc>
        <w:tc>
          <w:tcPr>
            <w:tcW w:type="dxa" w:w="5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Breach notification readiness and regulator or client contact log</w:t>
            </w:r>
          </w:p>
        </w:tc>
        <w:tc>
          <w:tcPr>
            <w:tcW w:type="dxa" w:w="2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DPO; CISO</w:t>
            </w:r>
          </w:p>
        </w:tc>
        <w:tc>
          <w:tcPr>
            <w:tcW w:type="dxa" w:w="1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10 min</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6</w:t>
            </w:r>
          </w:p>
        </w:tc>
        <w:tc>
          <w:tcPr>
            <w:tcW w:type="dxa" w:w="5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Policy reviews, attestations and compliance training</w:t>
            </w:r>
          </w:p>
        </w:tc>
        <w:tc>
          <w:tcPr>
            <w:tcW w:type="dxa" w:w="2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HR Director; Head of Compliance</w:t>
            </w:r>
          </w:p>
        </w:tc>
        <w:tc>
          <w:tcPr>
            <w:tcW w:type="dxa" w:w="1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10 min</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7</w:t>
            </w:r>
          </w:p>
        </w:tc>
        <w:tc>
          <w:tcPr>
            <w:tcW w:type="dxa" w:w="5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Third-party compliance and client requests (BAAs, DPAs, questionnaires)</w:t>
            </w:r>
          </w:p>
        </w:tc>
        <w:tc>
          <w:tcPr>
            <w:tcW w:type="dxa" w:w="2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Head of Legal</w:t>
            </w:r>
          </w:p>
        </w:tc>
        <w:tc>
          <w:tcPr>
            <w:tcW w:type="dxa" w:w="1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10 min</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8</w:t>
            </w:r>
          </w:p>
        </w:tc>
        <w:tc>
          <w:tcPr>
            <w:tcW w:type="dxa" w:w="5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PayStream Analytics compliance integration</w:t>
            </w:r>
          </w:p>
        </w:tc>
        <w:tc>
          <w:tcPr>
            <w:tcW w:type="dxa" w:w="2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PayStream Head of Engineering</w:t>
            </w:r>
          </w:p>
        </w:tc>
        <w:tc>
          <w:tcPr>
            <w:tcW w:type="dxa" w:w="1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10 min</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9</w:t>
            </w:r>
          </w:p>
        </w:tc>
        <w:tc>
          <w:tcPr>
            <w:tcW w:type="dxa" w:w="5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Decisions and items to escalate</w:t>
            </w:r>
          </w:p>
        </w:tc>
        <w:tc>
          <w:tcPr>
            <w:tcW w:type="dxa" w:w="2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Chair</w:t>
            </w:r>
          </w:p>
        </w:tc>
        <w:tc>
          <w:tcPr>
            <w:tcW w:type="dxa" w:w="1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10 min</w:t>
            </w:r>
          </w:p>
        </w:tc>
      </w:tr>
    </w:tbl>
    <w:p>
      <w:pPr>
        <w:spacing w:after="160"/>
      </w:pPr>
    </w:p>
    <w:p>
      <w:pPr>
        <w:spacing w:after="120"/>
      </w:pPr>
      <w:r>
        <w:rPr>
          <w:rFonts w:ascii="Arial" w:cs="Arial" w:eastAsia="Arial" w:hAnsi="Arial"/>
          <w:b/>
          <w:bCs/>
          <w:sz w:val="20"/>
          <w:szCs w:val="20"/>
        </w:rPr>
        <w:t xml:space="preserve">Periodic items.</w:t>
      </w:r>
      <w:r>
        <w:rPr>
          <w:rFonts w:ascii="Arial" w:cs="Arial" w:eastAsia="Arial" w:hAnsi="Arial"/>
          <w:sz w:val="20"/>
          <w:szCs w:val="20"/>
        </w:rPr>
        <w:t xml:space="preserve"> Each meeting: new and overdue findings. Twice a year: policy attestation and training completion. Annually: the compliance plan, the obligations register, internal audit topics, and this charter.</w:t>
      </w:r>
    </w:p>
    <w:p>
      <w:pPr>
        <w:pStyle w:val="Heading1"/>
        <w:keepNext/>
      </w:pPr>
      <w:r>
        <w:rPr>
          <w:rFonts w:ascii="Arial" w:cs="Arial" w:eastAsia="Arial" w:hAnsi="Arial"/>
        </w:rPr>
        <w:t xml:space="preserve">7. Reporting Obligations</w:t>
      </w:r>
    </w:p>
    <w:p>
      <w:pPr>
        <w:keepNext/>
        <w:spacing w:after="80" w:before="120"/>
      </w:pPr>
      <w:r>
        <w:rPr>
          <w:rFonts w:ascii="Arial" w:cs="Arial" w:eastAsia="Arial" w:hAnsi="Arial"/>
          <w:b/>
          <w:bCs/>
          <w:color w:val="1B4F72"/>
          <w:sz w:val="18"/>
          <w:szCs w:val="18"/>
        </w:rPr>
        <w:t xml:space="preserve">Table 4: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2200"/>
        <w:gridCol w:w="2460"/>
      </w:tblGrid>
      <w:tr>
        <w:trPr>
          <w:cantSplit/>
          <w:tblHeader/>
        </w:trPr>
        <w:tc>
          <w:tcPr>
            <w:tcW w:type="dxa" w:w="27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Report</w:t>
            </w:r>
          </w:p>
        </w:tc>
        <w:tc>
          <w:tcPr>
            <w:tcW w:type="dxa" w:w="2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Produced by</w:t>
            </w:r>
          </w:p>
        </w:tc>
        <w:tc>
          <w:tcPr>
            <w:tcW w:type="dxa" w:w="2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Audience</w:t>
            </w:r>
          </w:p>
        </w:tc>
        <w:tc>
          <w:tcPr>
            <w:tcW w:type="dxa" w:w="24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Frequency and timing</w:t>
            </w:r>
          </w:p>
        </w:tc>
      </w:tr>
      <w:tr>
        <w:trPr>
          <w:cantSplit/>
        </w:trP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Compliance section of the Monthly ISSC Report</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Head of Compliance</w:t>
            </w:r>
          </w:p>
        </w:tc>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ISSC</w:t>
            </w:r>
          </w:p>
        </w:tc>
        <w:tc>
          <w:tcPr>
            <w:tcW w:type="dxa" w:w="24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Monthly</w:t>
            </w:r>
          </w:p>
        </w:tc>
      </w:tr>
      <w:tr>
        <w:trPr>
          <w:cantSplit/>
        </w:trPr>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Quarterly Compliance Report</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Head of Compliance, reviewed by the Chair</w:t>
            </w:r>
          </w:p>
        </w:tc>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ELT and Board (as an input to the Board Security Report)</w:t>
            </w:r>
          </w:p>
        </w:tc>
        <w:tc>
          <w:tcPr>
            <w:tcW w:type="dxa" w:w="24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Quarterly</w:t>
            </w:r>
          </w:p>
        </w:tc>
      </w:tr>
      <w:tr>
        <w:trPr>
          <w:cantSplit/>
        </w:trP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Regulator and certification escalation notice</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Chair</w:t>
            </w:r>
          </w:p>
        </w:tc>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CEO and Board</w:t>
            </w:r>
          </w:p>
        </w:tc>
        <w:tc>
          <w:tcPr>
            <w:tcW w:type="dxa" w:w="24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Immediately</w:t>
            </w:r>
          </w:p>
        </w:tc>
      </w:tr>
      <w:tr>
        <w:trPr>
          <w:cantSplit/>
        </w:trPr>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Minutes and decision register</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Secretary</w:t>
            </w:r>
          </w:p>
        </w:tc>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Members; CEO</w:t>
            </w:r>
          </w:p>
        </w:tc>
        <w:tc>
          <w:tcPr>
            <w:tcW w:type="dxa" w:w="24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Within 3 business days of each meeting</w:t>
            </w:r>
          </w:p>
        </w:tc>
      </w:tr>
      <w:tr>
        <w:trPr>
          <w:cantSplit/>
        </w:trP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Annual compliance plan and effectiveness report</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Chair</w:t>
            </w:r>
          </w:p>
        </w:tc>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ELT and Board</w:t>
            </w:r>
          </w:p>
        </w:tc>
        <w:tc>
          <w:tcPr>
            <w:tcW w:type="dxa" w:w="24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Annually</w:t>
            </w:r>
          </w:p>
        </w:tc>
      </w:tr>
    </w:tbl>
    <w:p>
      <w:pPr>
        <w:spacing w:after="160"/>
      </w:pPr>
    </w:p>
    <w:p>
      <w:pPr>
        <w:tabs>
          <w:tab w:val="left" w:pos="720"/>
        </w:tabs>
        <w:spacing w:after="100"/>
        <w:ind w:left="720" w:hanging="720"/>
      </w:pPr>
      <w:r>
        <w:rPr>
          <w:rFonts w:ascii="Arial" w:cs="Arial" w:eastAsia="Arial" w:hAnsi="Arial"/>
          <w:b/>
          <w:bCs/>
          <w:color w:val="1B4F72"/>
          <w:sz w:val="20"/>
          <w:szCs w:val="20"/>
        </w:rPr>
        <w:t xml:space="preserve">7.1</w:t>
      </w:r>
      <w:r>
        <w:rPr>
          <w:rFonts w:ascii="Arial" w:cs="Arial" w:eastAsia="Arial" w:hAnsi="Arial"/>
        </w:rPr>
        <w:t xml:space="preserve">	</w:t>
      </w:r>
      <w:r>
        <w:rPr>
          <w:rFonts w:ascii="Arial" w:cs="Arial" w:eastAsia="Arial" w:hAnsi="Arial"/>
          <w:sz w:val="20"/>
          <w:szCs w:val="20"/>
        </w:rPr>
        <w:t xml:space="preserve">The Chair shall report any regulator inquiry, fine, notifiable breach or threat to a certification to the CEO immediately, and to the Board as it directs.</w:t>
      </w:r>
    </w:p>
    <w:p>
      <w:pPr>
        <w:tabs>
          <w:tab w:val="left" w:pos="720"/>
        </w:tabs>
        <w:spacing w:after="100"/>
        <w:ind w:left="720" w:hanging="720"/>
      </w:pPr>
      <w:r>
        <w:rPr>
          <w:rFonts w:ascii="Arial" w:cs="Arial" w:eastAsia="Arial" w:hAnsi="Arial"/>
          <w:b/>
          <w:bCs/>
          <w:color w:val="1B4F72"/>
          <w:sz w:val="20"/>
          <w:szCs w:val="20"/>
        </w:rPr>
        <w:t xml:space="preserve">7.2</w:t>
      </w:r>
      <w:r>
        <w:rPr>
          <w:rFonts w:ascii="Arial" w:cs="Arial" w:eastAsia="Arial" w:hAnsi="Arial"/>
        </w:rPr>
        <w:t xml:space="preserve">	</w:t>
      </w:r>
      <w:r>
        <w:rPr>
          <w:rFonts w:ascii="Arial" w:cs="Arial" w:eastAsia="Arial" w:hAnsi="Arial"/>
          <w:sz w:val="20"/>
          <w:szCs w:val="20"/>
        </w:rPr>
        <w:t xml:space="preserve">Compliance status shall be reported against evidence, not assertion, and each item shall name an owner.</w:t>
      </w:r>
    </w:p>
    <w:p>
      <w:pPr>
        <w:pStyle w:val="Heading1"/>
        <w:keepNext/>
      </w:pPr>
      <w:r>
        <w:rPr>
          <w:rFonts w:ascii="Arial" w:cs="Arial" w:eastAsia="Arial" w:hAnsi="Arial"/>
        </w:rPr>
        <w:t xml:space="preserve">8. Relationship with Other Committees</w:t>
      </w:r>
    </w:p>
    <w:p>
      <w:pPr>
        <w:spacing w:after="120"/>
      </w:pPr>
      <w:r>
        <w:rPr>
          <w:rFonts w:ascii="Arial" w:cs="Arial" w:eastAsia="Arial" w:hAnsi="Arial"/>
          <w:sz w:val="20"/>
          <w:szCs w:val="20"/>
        </w:rPr>
        <w:t xml:space="preserve">The Compliance Committee gives the ISSC the compliance picture for its monthly report, and receives security evidence from it. It gives the Risk Committee compliance-driven risks, and receives risk appetite guidance. Disagreements between the committees shall go to the CEO.</w:t>
      </w:r>
    </w:p>
    <w:p>
      <w:pPr>
        <w:pStyle w:val="Heading1"/>
        <w:keepNext/>
      </w:pPr>
      <w:r>
        <w:rPr>
          <w:rFonts w:ascii="Arial" w:cs="Arial" w:eastAsia="Arial" w:hAnsi="Arial"/>
        </w:rPr>
        <w:t xml:space="preserve">9. Conduct</w:t>
      </w:r>
    </w:p>
    <w:p>
      <w:pPr>
        <w:tabs>
          <w:tab w:val="left" w:pos="720"/>
        </w:tabs>
        <w:spacing w:after="100"/>
        <w:ind w:left="720" w:hanging="720"/>
      </w:pPr>
      <w:r>
        <w:rPr>
          <w:rFonts w:ascii="Arial" w:cs="Arial" w:eastAsia="Arial" w:hAnsi="Arial"/>
          <w:b/>
          <w:bCs/>
          <w:color w:val="1B4F72"/>
          <w:sz w:val="20"/>
          <w:szCs w:val="20"/>
        </w:rPr>
        <w:t xml:space="preserve">9.1</w:t>
      </w:r>
      <w:r>
        <w:rPr>
          <w:rFonts w:ascii="Arial" w:cs="Arial" w:eastAsia="Arial" w:hAnsi="Arial"/>
        </w:rPr>
        <w:t xml:space="preserve">	</w:t>
      </w:r>
      <w:r>
        <w:rPr>
          <w:rFonts w:ascii="Arial" w:cs="Arial" w:eastAsia="Arial" w:hAnsi="Arial"/>
          <w:sz w:val="20"/>
          <w:szCs w:val="20"/>
        </w:rPr>
        <w:t xml:space="preserve">Members shall act in the interest of NexusGuard, keep committee papers and discussions confidential in line with their classification, and disclose conflicts of interest.</w:t>
      </w:r>
    </w:p>
    <w:p>
      <w:pPr>
        <w:tabs>
          <w:tab w:val="left" w:pos="720"/>
        </w:tabs>
        <w:spacing w:after="100"/>
        <w:ind w:left="720" w:hanging="720"/>
      </w:pPr>
      <w:r>
        <w:rPr>
          <w:rFonts w:ascii="Arial" w:cs="Arial" w:eastAsia="Arial" w:hAnsi="Arial"/>
          <w:b/>
          <w:bCs/>
          <w:color w:val="1B4F72"/>
          <w:sz w:val="20"/>
          <w:szCs w:val="20"/>
        </w:rPr>
        <w:t xml:space="preserve">9.2</w:t>
      </w:r>
      <w:r>
        <w:rPr>
          <w:rFonts w:ascii="Arial" w:cs="Arial" w:eastAsia="Arial" w:hAnsi="Arial"/>
        </w:rPr>
        <w:t xml:space="preserve">	</w:t>
      </w:r>
      <w:r>
        <w:rPr>
          <w:rFonts w:ascii="Arial" w:cs="Arial" w:eastAsia="Arial" w:hAnsi="Arial"/>
          <w:sz w:val="20"/>
          <w:szCs w:val="20"/>
        </w:rPr>
        <w:t xml:space="preserve">Members shall attend at least 75% of meetings each year. The Secretary shall report attendance to the CEO annually, and poor attendance shall be raised with the member's line manager.</w:t>
      </w:r>
    </w:p>
    <w:p>
      <w:pPr>
        <w:tabs>
          <w:tab w:val="left" w:pos="720"/>
        </w:tabs>
        <w:spacing w:after="100"/>
        <w:ind w:left="720" w:hanging="720"/>
      </w:pPr>
      <w:r>
        <w:rPr>
          <w:rFonts w:ascii="Arial" w:cs="Arial" w:eastAsia="Arial" w:hAnsi="Arial"/>
          <w:b/>
          <w:bCs/>
          <w:color w:val="1B4F72"/>
          <w:sz w:val="20"/>
          <w:szCs w:val="20"/>
        </w:rPr>
        <w:t xml:space="preserve">9.3</w:t>
      </w:r>
      <w:r>
        <w:rPr>
          <w:rFonts w:ascii="Arial" w:cs="Arial" w:eastAsia="Arial" w:hAnsi="Arial"/>
        </w:rPr>
        <w:t xml:space="preserve">	</w:t>
      </w:r>
      <w:r>
        <w:rPr>
          <w:rFonts w:ascii="Arial" w:cs="Arial" w:eastAsia="Arial" w:hAnsi="Arial"/>
          <w:sz w:val="20"/>
          <w:szCs w:val="20"/>
        </w:rPr>
        <w:t xml:space="preserve">Papers shall be classified under the Data Classification and Handling Policy. Papers containing Restricted information shall be shared only through approved channels.</w:t>
      </w:r>
    </w:p>
    <w:p>
      <w:pPr>
        <w:pStyle w:val="Heading1"/>
        <w:keepNext/>
      </w:pPr>
      <w:r>
        <w:rPr>
          <w:rFonts w:ascii="Arial" w:cs="Arial" w:eastAsia="Arial" w:hAnsi="Arial"/>
        </w:rPr>
        <w:t xml:space="preserve">10. Review and Amendment</w:t>
      </w:r>
    </w:p>
    <w:p>
      <w:pPr>
        <w:tabs>
          <w:tab w:val="left" w:pos="720"/>
        </w:tabs>
        <w:spacing w:after="100"/>
        <w:ind w:left="720" w:hanging="720"/>
      </w:pPr>
      <w:r>
        <w:rPr>
          <w:rFonts w:ascii="Arial" w:cs="Arial" w:eastAsia="Arial" w:hAnsi="Arial"/>
          <w:b/>
          <w:bCs/>
          <w:color w:val="1B4F72"/>
          <w:sz w:val="20"/>
          <w:szCs w:val="20"/>
        </w:rPr>
        <w:t xml:space="preserve">10.1</w:t>
      </w:r>
      <w:r>
        <w:rPr>
          <w:rFonts w:ascii="Arial" w:cs="Arial" w:eastAsia="Arial" w:hAnsi="Arial"/>
        </w:rPr>
        <w:t xml:space="preserve">	</w:t>
      </w:r>
      <w:r>
        <w:rPr>
          <w:rFonts w:ascii="Arial" w:cs="Arial" w:eastAsia="Arial" w:hAnsi="Arial"/>
          <w:sz w:val="20"/>
          <w:szCs w:val="20"/>
        </w:rPr>
        <w:t xml:space="preserve">The Chair shall review this charter at least every 12 months, and after a significant change in structure, regulation or business (such as an acquisition). The review shall include an effectiveness self-assessment by members covering attendance, quality of papers, decisions taken, and follow-through on actions.</w:t>
      </w:r>
    </w:p>
    <w:p>
      <w:pPr>
        <w:tabs>
          <w:tab w:val="left" w:pos="720"/>
        </w:tabs>
        <w:spacing w:after="100"/>
        <w:ind w:left="720" w:hanging="720"/>
      </w:pPr>
      <w:r>
        <w:rPr>
          <w:rFonts w:ascii="Arial" w:cs="Arial" w:eastAsia="Arial" w:hAnsi="Arial"/>
          <w:b/>
          <w:bCs/>
          <w:color w:val="1B4F72"/>
          <w:sz w:val="20"/>
          <w:szCs w:val="20"/>
        </w:rPr>
        <w:t xml:space="preserve">10.2</w:t>
      </w:r>
      <w:r>
        <w:rPr>
          <w:rFonts w:ascii="Arial" w:cs="Arial" w:eastAsia="Arial" w:hAnsi="Arial"/>
        </w:rPr>
        <w:t xml:space="preserve">	</w:t>
      </w:r>
      <w:r>
        <w:rPr>
          <w:rFonts w:ascii="Arial" w:cs="Arial" w:eastAsia="Arial" w:hAnsi="Arial"/>
          <w:sz w:val="20"/>
          <w:szCs w:val="20"/>
        </w:rPr>
        <w:t xml:space="preserve">Amendments shall be proposed by the Chair or the CISO, approved by two-thirds of voting members, and ratified by the Board of Directors. Changes shall be recorded in the version history, published in the controlled document repository, and communicated to members.</w:t>
      </w:r>
    </w:p>
    <w:p>
      <w:pPr>
        <w:tabs>
          <w:tab w:val="left" w:pos="720"/>
        </w:tabs>
        <w:spacing w:after="100"/>
        <w:ind w:left="720" w:hanging="720"/>
      </w:pPr>
      <w:r>
        <w:rPr>
          <w:rFonts w:ascii="Arial" w:cs="Arial" w:eastAsia="Arial" w:hAnsi="Arial"/>
          <w:b/>
          <w:bCs/>
          <w:color w:val="1B4F72"/>
          <w:sz w:val="20"/>
          <w:szCs w:val="20"/>
        </w:rPr>
        <w:t xml:space="preserve">10.3</w:t>
      </w:r>
      <w:r>
        <w:rPr>
          <w:rFonts w:ascii="Arial" w:cs="Arial" w:eastAsia="Arial" w:hAnsi="Arial"/>
        </w:rPr>
        <w:t xml:space="preserve">	</w:t>
      </w:r>
      <w:r>
        <w:rPr>
          <w:rFonts w:ascii="Arial" w:cs="Arial" w:eastAsia="Arial" w:hAnsi="Arial"/>
          <w:sz w:val="20"/>
          <w:szCs w:val="20"/>
        </w:rPr>
        <w:t xml:space="preserve">Superseded versions of this charter, minutes and decision registers shall be retained for at least six years.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Classification: Internal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B4F72"/>
        <w:sz w:val="20"/>
        <w:szCs w:val="20"/>
      </w:rPr>
      <w:t xml:space="preserve">NexusGuard Technologies Ltd.</w:t>
    </w:r>
    <w:r>
      <w:rPr>
        <w:rFonts w:ascii="Arial" w:cs="Arial" w:eastAsia="Arial" w:hAnsi="Arial"/>
        <w:color w:val="888888"/>
        <w:sz w:val="18"/>
        <w:szCs w:val="18"/>
      </w:rPr>
      <w:t xml:space="preserve">    |    Compliance Committee Charter    |    CHR-CMP-001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Committee Charter</dc:title>
  <dc:creator>NexusGuard Technologies Ltd.</dc:creator>
  <cp:lastModifiedBy>Un-named</cp:lastModifiedBy>
  <cp:revision>1</cp:revision>
  <dcterms:created xsi:type="dcterms:W3CDTF">2026-10-16T21:18:05.229Z</dcterms:created>
  <dcterms:modified xsi:type="dcterms:W3CDTF">2026-10-16T21:18:05.229Z</dcterms:modified>
</cp:coreProperties>
</file>

<file path=docProps/custom.xml><?xml version="1.0" encoding="utf-8"?>
<Properties xmlns="http://schemas.openxmlformats.org/officeDocument/2006/custom-properties" xmlns:vt="http://schemas.openxmlformats.org/officeDocument/2006/docPropsVTypes"/>
</file>