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cantSplit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ISSC Report (template)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TPL-ISSC-001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(Confidential when it contains incident or vulnerability detail)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CISO, with the GRC Analyst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Security Steering Committee (ISSC); copy to the CEO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Reporting period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[Month and year]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Meeting date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[DD/MM/YYYY]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[Draft / Final]. Issue at least 3 business days before the meeting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How to use: replace everything in [square brackets] and delete the grey guidance notes. Keep each section to one page or less. Take figures from the sources named, so that numbers can be checked.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Overall security posture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[Green / Amber / Red] ([Up / Flat / Down] on last month)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Headline messages (up to 3)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[Most important message]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[Second message]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[Third message]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Decisions needed this month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[Number] (see Section 7)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Guidance: write for a director who reads only this page. Say what changed, why it matters, and what you need from the ISSC.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KPI Dashboard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Targets come from Table 1 of the Information Security Policy and the access control and acceptable use policies.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1250"/>
        <w:gridCol w:w="900"/>
        <w:gridCol w:w="900"/>
        <w:gridCol w:w="700"/>
        <w:gridCol w:w="650"/>
        <w:gridCol w:w="2310"/>
      </w:tblGrid>
      <w:tr>
        <w:trPr>
          <w:cantSplit/>
          <w:tblHeader/>
        </w:trPr>
        <w:tc>
          <w:tcPr>
            <w:tcW w:type="dxa" w:w="2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KPI</w:t>
            </w:r>
          </w:p>
        </w:tc>
        <w:tc>
          <w:tcPr>
            <w:tcW w:type="dxa" w:w="1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This month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Last month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Trend</w:t>
            </w:r>
          </w:p>
        </w:tc>
        <w:tc>
          <w:tcPr>
            <w:tcW w:type="dxa" w:w="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RAG</w:t>
            </w:r>
          </w:p>
        </w:tc>
        <w:tc>
          <w:tcPr>
            <w:tcW w:type="dxa" w:w="23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Comment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Confirmed breaches of PHI, card or special category data (control failure)</w:t>
            </w:r>
          </w:p>
        </w:tc>
        <w:tc>
          <w:tcPr>
            <w:tcW w:type="dxa" w:w="1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23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Client-facing service availability</w:t>
            </w:r>
          </w:p>
        </w:tc>
        <w:tc>
          <w:tcPr>
            <w:tcW w:type="dxa" w:w="1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99.9% (annual)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23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Critical vulnerabilities fixed within 7 days; High within 30</w:t>
            </w:r>
          </w:p>
        </w:tc>
        <w:tc>
          <w:tcPr>
            <w:tcW w:type="dxa" w:w="1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95% within SLA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23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Privileged and remote access protected by MFA</w:t>
            </w:r>
          </w:p>
        </w:tc>
        <w:tc>
          <w:tcPr>
            <w:tcW w:type="dxa" w:w="1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23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Leavers' access removed within 24 hours</w:t>
            </w:r>
          </w:p>
        </w:tc>
        <w:tc>
          <w:tcPr>
            <w:tcW w:type="dxa" w:w="1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23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Orphan accounts disabled within 2 business days of detection</w:t>
            </w:r>
          </w:p>
        </w:tc>
        <w:tc>
          <w:tcPr>
            <w:tcW w:type="dxa" w:w="1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23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Scheduled access reviews completed on time</w:t>
            </w:r>
          </w:p>
        </w:tc>
        <w:tc>
          <w:tcPr>
            <w:tcW w:type="dxa" w:w="1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23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Staff completing security training (annual)</w:t>
            </w:r>
          </w:p>
        </w:tc>
        <w:tc>
          <w:tcPr>
            <w:tcW w:type="dxa" w:w="1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98% or more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23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Phishing simulation click rate / report rate</w:t>
            </w:r>
          </w:p>
        </w:tc>
        <w:tc>
          <w:tcPr>
            <w:tcW w:type="dxa" w:w="1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5% or less / 70% or more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23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Severity 1 incidents triaged within 1 hour; average time to contain</w:t>
            </w:r>
          </w:p>
        </w:tc>
        <w:tc>
          <w:tcPr>
            <w:tcW w:type="dxa" w:w="1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100%; 4 hours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23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Critical suppliers assessed before onboarding and annually</w:t>
            </w:r>
          </w:p>
        </w:tc>
        <w:tc>
          <w:tcPr>
            <w:tcW w:type="dxa" w:w="1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23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Policies reviewed on schedule</w:t>
            </w:r>
          </w:p>
        </w:tc>
        <w:tc>
          <w:tcPr>
            <w:tcW w:type="dxa" w:w="1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23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Open policy exceptions (number, and number past expiry)</w:t>
            </w:r>
          </w:p>
        </w:tc>
        <w:tc>
          <w:tcPr>
            <w:tcW w:type="dxa" w:w="1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None past expiry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23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Assets with a recorded classification and owner (IAR)</w:t>
            </w:r>
          </w:p>
        </w:tc>
        <w:tc>
          <w:tcPr>
            <w:tcW w:type="dxa" w:w="1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23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RAG key: </w:t>
      </w: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Green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= on target; </w:t>
      </w: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Amber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= within 10% of target or recovering; </w:t>
      </w: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Red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= off target or outside appetite. Trend: Up, Flat or Down compared with last month. Sources: SIEM, vulnerability scanner, IAM and PAM reports, LMS, ITSM, exception register, Information Asset Register.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Open Risks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700"/>
        <w:gridCol w:w="1300"/>
        <w:gridCol w:w="1300"/>
        <w:gridCol w:w="1460"/>
      </w:tblGrid>
      <w:tr>
        <w:trPr>
          <w:cantSplit/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this month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last month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Closed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Top risks</w:t>
      </w:r>
      <w:r>
        <w:rPr>
          <w:rFonts w:ascii="Arial" w:cs="Arial" w:eastAsia="Arial" w:hAnsi="Arial"/>
          <w:sz w:val="20"/>
          <w:szCs w:val="20"/>
        </w:rPr>
        <w:t xml:space="preserve"> (Critical and High, up to 10):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400"/>
        <w:gridCol w:w="1200"/>
        <w:gridCol w:w="1500"/>
        <w:gridCol w:w="1060"/>
      </w:tblGrid>
      <w:tr>
        <w:trPr>
          <w:cantSplit/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 and trend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Treatment status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[RSK-___]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[Threat exploits vulnerability causing impact to asset]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[On track / Late]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[DD/MM]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[RSK-___]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[RSK-___]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Guidance: take ratings from the central risk register (5 x 5 scale, Low 1-4, Medium 5-9, High 10-16, Critical 17-25). Flag any risk above appetite and any action overdue.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Compliance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900"/>
        <w:gridCol w:w="3660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(RAG)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findings (overdue)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activity or next milestone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ISO/IEC 27001:2022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[Next surveillance audit, date]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HIPAA (and client BAAs)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[HIPAA client onboarding readiness]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PCI DSS v4.0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[Next assessment, date]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GDPR / UK GDPR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[DPIAs, data subject requests]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UAE NESA and UAE law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 audits and questionnaires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Guidance: take status from the Compliance Committee. Report overdue findings by name and owner.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Incident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400"/>
        <w:gridCol w:w="296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This month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Last month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Notifications made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Critical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[Regulator / client]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High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Medium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 Low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900"/>
        <w:gridCol w:w="2900"/>
        <w:gridCol w:w="1100"/>
        <w:gridCol w:w="2460"/>
      </w:tblGrid>
      <w:tr>
        <w:trPr>
          <w:cantSplit/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Incident ID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 and impact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Lessons and actions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[INC-____]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[INC-____]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Guidance: list every Severity 1 and 2 incident, and any regulator or client notification with its deadline met or missed. Remove personal or client identifying detail.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Upcoming Activities (next 90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200"/>
        <w:gridCol w:w="1200"/>
        <w:gridCol w:w="2260"/>
      </w:tblGrid>
      <w:tr>
        <w:trPr>
          <w:cantSplit/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[Access control remediation milestone]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[HIPAA client go-live readiness]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[PayStream integration milestone]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[Audit, assessment or penetration test]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[Policy review or approval due]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[Training or awareness campaign]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Decisions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300"/>
        <w:gridCol w:w="2900"/>
        <w:gridCol w:w="1200"/>
        <w:gridCol w:w="1000"/>
        <w:gridCol w:w="1510"/>
      </w:tblGrid>
      <w:tr>
        <w:trPr>
          <w:cantSplit/>
          <w:tblHeader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needed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 and recommendation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Needed by</w:t>
            </w:r>
          </w:p>
        </w:tc>
        <w:tc>
          <w:tcPr>
            <w:tcW w:type="dxa" w:w="1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Authority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[Options; recommended option and why]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[DD/MM]</w:t>
            </w:r>
          </w:p>
        </w:tc>
        <w:tc>
          <w:tcPr>
            <w:tcW w:type="dxa" w:w="1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[ISSC / ELT / Board]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Guidance: decisions outside ISSC authority are recommendations to the ELT or Board (see the ISSC charter, Table 1). State the cost, risk and deadline for each.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8. Attachments and Sign-off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[Open actions tracker]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[Risk register extract]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[Compliance findings tracker]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[Incident reports for Severity 1 and 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cantSplit/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Prepared by (CISO)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Reviewed by (ISSC Chair)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Classification: Internal |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1B4F72"/>
        <w:sz w:val="20"/>
        <w:szCs w:val="20"/>
      </w:rPr>
      <w:t xml:space="preserve">NexusGuard Technologies Ltd.</w:t>
    </w:r>
    <w:r>
      <w:rPr>
        <w:rFonts w:ascii="Arial" w:cs="Arial" w:eastAsia="Arial" w:hAnsi="Arial"/>
        <w:color w:val="888888"/>
        <w:sz w:val="18"/>
        <w:szCs w:val="18"/>
      </w:rPr>
      <w:t xml:space="preserve">    |    Monthly ISSC Report Template    |    TPL-ISSC-001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ISSC Report Template</dc:title>
  <dc:creator>NexusGuard Technologies Ltd.</dc:creator>
  <cp:lastModifiedBy>Un-named</cp:lastModifiedBy>
  <cp:revision>1</cp:revision>
  <dcterms:created xsi:type="dcterms:W3CDTF">2026-10-16T21:18:05.296Z</dcterms:created>
  <dcterms:modified xsi:type="dcterms:W3CDTF">2026-10-16T21:18:05.296Z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