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Title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Risk Committee Charter</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CHR-RSK-001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Chair of the Risk Committee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Board of Directors (approval pending); requested by Sarah Al-Mansouri, CEO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Pending (DD/MM/YYYY to be entered 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Upon approval, before the first Risk Committee meeting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12 months from approval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Regulations</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ISO/IEC 27001:2022 (Clauses 5.3, 9.3), HIPAA, PCI DSS v4.0, GDPR / UK GDPR, NIST CSF 2.0 (GV.RR, GV.OV), UAE NESA</w:t>
            </w:r>
          </w:p>
        </w:tc>
      </w:tr>
    </w:tbl>
    <w:p>
      <w:pPr>
        <w:spacing w:after="200"/>
      </w:pPr>
    </w:p>
    <w:p>
      <w:pPr>
        <w:pStyle w:val="Heading1"/>
        <w:keepNext/>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13/10/2026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Augustine Ozor, GRC Analyst</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Initial draft of the charter, requested by the CEO ahead of the first ISSC meeting next month. Follows the governance framework (G-01), which established the ISSC, Risk Committee and Compliance Committee.</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Board of Directors</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Approval and publication.</w:t>
            </w:r>
          </w:p>
        </w:tc>
      </w:tr>
    </w:tbl>
    <w:p>
      <w:pPr>
        <w:spacing w:after="160"/>
      </w:pPr>
    </w:p>
    <w:p>
      <w:r>
        <w:br w:type="page"/>
      </w:r>
    </w:p>
    <w:p>
      <w:pPr>
        <w:pStyle w:val="Heading1"/>
        <w:keepNext/>
      </w:pPr>
      <w:r>
        <w:rPr>
          <w:rFonts w:ascii="Arial" w:cs="Arial" w:eastAsia="Arial" w:hAnsi="Arial"/>
        </w:rPr>
        <w:t xml:space="preserve">1. Purpose and Mandate</w:t>
      </w:r>
    </w:p>
    <w:p>
      <w:pPr>
        <w:spacing w:after="120"/>
      </w:pPr>
      <w:r>
        <w:rPr>
          <w:rFonts w:ascii="Arial" w:cs="Arial" w:eastAsia="Arial" w:hAnsi="Arial"/>
          <w:sz w:val="20"/>
          <w:szCs w:val="20"/>
        </w:rPr>
        <w:t xml:space="preserve">The Risk Committee oversees how NexusGuard Technologies Ltd. ("NexusGuard"), including PayStream Analytics, identifies, assesses, treats and accepts information security and technology risk. It makes sure risk decisions are consistent, informed, within appetite and visible to the Board.</w:t>
      </w:r>
    </w:p>
    <w:p>
      <w:pPr>
        <w:spacing w:after="120"/>
      </w:pPr>
      <w:r>
        <w:rPr>
          <w:rFonts w:ascii="Arial" w:cs="Arial" w:eastAsia="Arial" w:hAnsi="Arial"/>
          <w:sz w:val="20"/>
          <w:szCs w:val="20"/>
        </w:rPr>
        <w:t xml:space="preserve">It owns the risk methodology, the risk register and the risk appetite statement, and gives the Board and the Executive Leadership Team (ELT) a clear view of the risks that matter most, such as those that could affect PHI, payment card data and client trust.</w:t>
      </w:r>
    </w:p>
    <w:p>
      <w:pPr>
        <w:spacing w:after="120"/>
      </w:pPr>
      <w:r>
        <w:rPr>
          <w:rFonts w:ascii="Arial" w:cs="Arial" w:eastAsia="Arial" w:hAnsi="Arial"/>
          <w:sz w:val="20"/>
          <w:szCs w:val="20"/>
        </w:rPr>
        <w:t xml:space="preserve">The committee shall:</w:t>
      </w:r>
    </w:p>
    <w:p>
      <w:pPr>
        <w:pStyle w:val="ListParagraph"/>
        <w:numPr>
          <w:ilvl w:val="0"/>
          <w:numId w:val="2"/>
        </w:numPr>
        <w:spacing w:after="60"/>
      </w:pPr>
      <w:r>
        <w:rPr>
          <w:rFonts w:ascii="Arial" w:cs="Arial" w:eastAsia="Arial" w:hAnsi="Arial"/>
          <w:sz w:val="20"/>
          <w:szCs w:val="20"/>
        </w:rPr>
        <w:t xml:space="preserve">recommend the information security risk appetite to the Board and review it at least annually;</w:t>
      </w:r>
    </w:p>
    <w:p>
      <w:pPr>
        <w:pStyle w:val="ListParagraph"/>
        <w:numPr>
          <w:ilvl w:val="0"/>
          <w:numId w:val="2"/>
        </w:numPr>
        <w:spacing w:after="60"/>
      </w:pPr>
      <w:r>
        <w:rPr>
          <w:rFonts w:ascii="Arial" w:cs="Arial" w:eastAsia="Arial" w:hAnsi="Arial"/>
          <w:sz w:val="20"/>
          <w:szCs w:val="20"/>
        </w:rPr>
        <w:t xml:space="preserve">approve the risk assessment methodology and scoring scale (5 x 5 likelihood and impact, with Low, Medium, High and Critical bands);</w:t>
      </w:r>
    </w:p>
    <w:p>
      <w:pPr>
        <w:pStyle w:val="ListParagraph"/>
        <w:numPr>
          <w:ilvl w:val="0"/>
          <w:numId w:val="2"/>
        </w:numPr>
        <w:spacing w:after="60"/>
      </w:pPr>
      <w:r>
        <w:rPr>
          <w:rFonts w:ascii="Arial" w:cs="Arial" w:eastAsia="Arial" w:hAnsi="Arial"/>
          <w:sz w:val="20"/>
          <w:szCs w:val="20"/>
        </w:rPr>
        <w:t xml:space="preserve">review the risk register, key risk indicators (KRIs) and the movement of Critical and High risks;</w:t>
      </w:r>
    </w:p>
    <w:p>
      <w:pPr>
        <w:pStyle w:val="ListParagraph"/>
        <w:numPr>
          <w:ilvl w:val="0"/>
          <w:numId w:val="2"/>
        </w:numPr>
        <w:spacing w:after="60"/>
      </w:pPr>
      <w:r>
        <w:rPr>
          <w:rFonts w:ascii="Arial" w:cs="Arial" w:eastAsia="Arial" w:hAnsi="Arial"/>
          <w:sz w:val="20"/>
          <w:szCs w:val="20"/>
        </w:rPr>
        <w:t xml:space="preserve">review risk treatment plans and challenge overdue actions;</w:t>
      </w:r>
    </w:p>
    <w:p>
      <w:pPr>
        <w:pStyle w:val="ListParagraph"/>
        <w:numPr>
          <w:ilvl w:val="0"/>
          <w:numId w:val="2"/>
        </w:numPr>
        <w:spacing w:after="60"/>
      </w:pPr>
      <w:r>
        <w:rPr>
          <w:rFonts w:ascii="Arial" w:cs="Arial" w:eastAsia="Arial" w:hAnsi="Arial"/>
          <w:sz w:val="20"/>
          <w:szCs w:val="20"/>
        </w:rPr>
        <w:t xml:space="preserve">review and recommend acceptance of High and Critical risks, in line with the Information Security Policy (clause 5.3.3);</w:t>
      </w:r>
    </w:p>
    <w:p>
      <w:pPr>
        <w:pStyle w:val="ListParagraph"/>
        <w:numPr>
          <w:ilvl w:val="0"/>
          <w:numId w:val="2"/>
        </w:numPr>
        <w:spacing w:after="60"/>
      </w:pPr>
      <w:r>
        <w:rPr>
          <w:rFonts w:ascii="Arial" w:cs="Arial" w:eastAsia="Arial" w:hAnsi="Arial"/>
          <w:sz w:val="20"/>
          <w:szCs w:val="20"/>
        </w:rPr>
        <w:t xml:space="preserve">review risks from new systems, acquisitions, third parties and changes in the threat or regulatory landscape; and</w:t>
      </w:r>
    </w:p>
    <w:p>
      <w:pPr>
        <w:pStyle w:val="ListParagraph"/>
        <w:numPr>
          <w:ilvl w:val="0"/>
          <w:numId w:val="2"/>
        </w:numPr>
        <w:spacing w:after="60"/>
      </w:pPr>
      <w:r>
        <w:rPr>
          <w:rFonts w:ascii="Arial" w:cs="Arial" w:eastAsia="Arial" w:hAnsi="Arial"/>
          <w:sz w:val="20"/>
          <w:szCs w:val="20"/>
        </w:rPr>
        <w:t xml:space="preserve">report the risk position to the ISSC and, each quarter, to the ELT and the Board.</w:t>
      </w:r>
    </w:p>
    <w:p>
      <w:pPr>
        <w:pStyle w:val="Heading1"/>
        <w:keepNext/>
      </w:pPr>
      <w:r>
        <w:rPr>
          <w:rFonts w:ascii="Arial" w:cs="Arial" w:eastAsia="Arial" w:hAnsi="Arial"/>
        </w:rPr>
        <w:t xml:space="preserve">2. Decision-Making Authority</w:t>
      </w:r>
    </w:p>
    <w:p>
      <w:pPr>
        <w:spacing w:after="120"/>
      </w:pPr>
      <w:r>
        <w:rPr>
          <w:rFonts w:ascii="Arial" w:cs="Arial" w:eastAsia="Arial" w:hAnsi="Arial"/>
          <w:sz w:val="20"/>
          <w:szCs w:val="20"/>
        </w:rPr>
        <w:t xml:space="preserve">The Risk Committee decides on methodology and challenges treatment. Acceptance of High and Critical risk rests with the ELT under the Information Security Policy, so the committee recommends and does not accept those risks itself.</w:t>
      </w:r>
    </w:p>
    <w:p>
      <w:pPr>
        <w:keepNext/>
        <w:spacing w:after="80" w:before="120"/>
      </w:pPr>
      <w:r>
        <w:rPr>
          <w:rFonts w:ascii="Arial" w:cs="Arial" w:eastAsia="Arial" w:hAnsi="Arial"/>
          <w:b/>
          <w:bCs/>
          <w:color w:val="1B4F72"/>
          <w:sz w:val="18"/>
          <w:szCs w:val="18"/>
        </w:rPr>
        <w:t xml:space="preserve">Table 1: Decision Rights of the Risk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2960"/>
      </w:tblGrid>
      <w:tr>
        <w:trPr>
          <w:cantSplit/>
          <w:tblHeader/>
        </w:trPr>
        <w:tc>
          <w:tcPr>
            <w:tcW w:type="dxa" w:w="3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Decision</w:t>
            </w:r>
          </w:p>
        </w:tc>
        <w:tc>
          <w:tcPr>
            <w:tcW w:type="dxa" w:w="3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Committee authority</w:t>
            </w:r>
          </w:p>
        </w:tc>
        <w:tc>
          <w:tcPr>
            <w:tcW w:type="dxa" w:w="29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Escalate to</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Risk assessment methodology, scoring scale and KRI thresholds</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Not required</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Risk appetite statement</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Recommend</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Board</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Acceptance of Low and Medium risk (approved by owner or CISO)</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 quarterly</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Not required</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Acceptance of High risk</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 and recommend</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ELT</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Acceptance of Critical risk, or any risk above appetite</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 and recommend</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decides; Board informed</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Risk treatment plans and deadlines</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require re-planning of overdue actions</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for actions overdue by more than 60 days</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Risk assessments for acquisitions, new services and new client types</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 and endorse</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or Board for material items</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Cyber insurance and risk transfer proposals</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Recommend</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or Board</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Changes to this charter</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Recommend (two-thirds vote)</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Board</w:t>
            </w:r>
          </w:p>
        </w:tc>
      </w:tr>
    </w:tbl>
    <w:p>
      <w:pPr>
        <w:spacing w:after="160"/>
      </w:pPr>
    </w:p>
    <w:p>
      <w:pPr>
        <w:spacing w:after="120"/>
      </w:pPr>
      <w:r>
        <w:rPr>
          <w:rFonts w:ascii="Arial" w:cs="Arial" w:eastAsia="Arial" w:hAnsi="Arial"/>
          <w:i/>
          <w:iCs/>
          <w:color w:val="555555"/>
          <w:sz w:val="18"/>
          <w:szCs w:val="18"/>
        </w:rPr>
        <w:t xml:space="preserve">Delegations of financial authority follow the Delegation of Authority. Policy approval levels follow the Information Security Policy (POL-ISP-001, clause 5.2), risk acceptance follows clause 5.3.3, and exceptions follow clause 8.</w:t>
      </w:r>
    </w:p>
    <w:p>
      <w:pPr>
        <w:pStyle w:val="Heading1"/>
        <w:keepNext/>
      </w:pPr>
      <w:r>
        <w:rPr>
          <w:rFonts w:ascii="Arial" w:cs="Arial" w:eastAsia="Arial" w:hAnsi="Arial"/>
        </w:rPr>
        <w:t xml:space="preserve">3. Membership</w:t>
      </w:r>
    </w:p>
    <w:p>
      <w:pPr>
        <w:spacing w:after="120"/>
      </w:pPr>
      <w:r>
        <w:rPr>
          <w:rFonts w:ascii="Arial" w:cs="Arial" w:eastAsia="Arial" w:hAnsi="Arial"/>
          <w:sz w:val="20"/>
          <w:szCs w:val="20"/>
        </w:rPr>
        <w:t xml:space="preserve">The Risk Committee has the following members.</w:t>
      </w:r>
    </w:p>
    <w:p>
      <w:pPr>
        <w:keepNext/>
        <w:spacing w:after="80" w:before="120"/>
      </w:pPr>
      <w:r>
        <w:rPr>
          <w:rFonts w:ascii="Arial" w:cs="Arial" w:eastAsia="Arial" w:hAnsi="Arial"/>
          <w:b/>
          <w:bCs/>
          <w:color w:val="1B4F72"/>
          <w:sz w:val="18"/>
          <w:szCs w:val="18"/>
        </w:rPr>
        <w:t xml:space="preserve">Table 2: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cantSplit/>
          <w:tblHeader/>
        </w:trPr>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Seat</w:t>
            </w:r>
          </w:p>
        </w:tc>
        <w:tc>
          <w:tcPr>
            <w:tcW w:type="dxa" w:w="46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 holder</w:t>
            </w:r>
          </w:p>
        </w:tc>
        <w:tc>
          <w:tcPr>
            <w:tcW w:type="dxa" w:w="2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Status</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Chair (voting)</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Chief Financial Officer</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Vice-Chair (voting)</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Compliance (Michael Chen)</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Chief Information Security Officer (CISO)</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Chief Technology Officer</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HR Director (Aisha Patel)</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Legal</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IT</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Advisor</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Protection Officer (DPO)</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Advisor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Internal Audit</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Advisor (by invitation)</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PayStream Analytics Head of Engineering, risk owners and Security Operations Center Manager</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Executive sponsor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Chief Executive Officer (Sarah Al-Mansouri), who receives the minutes and the quarterly risk report</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Secretary</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bl>
    <w:p>
      <w:pPr>
        <w:spacing w:after="160"/>
      </w:pPr>
    </w:p>
    <w:p>
      <w:pPr>
        <w:spacing w:after="120"/>
      </w:pPr>
      <w:r>
        <w:rPr>
          <w:rFonts w:ascii="Arial" w:cs="Arial" w:eastAsia="Arial" w:hAnsi="Arial"/>
          <w:i/>
          <w:iCs/>
          <w:color w:val="555555"/>
          <w:sz w:val="18"/>
          <w:szCs w:val="18"/>
        </w:rPr>
        <w:t xml:space="preserve">Names are shown where the role holder is known. Other role holders shall be confirmed by the CEO when the charter is approved. Members serve by virtue of their office, and a successor in the role takes the seat.</w:t>
      </w:r>
    </w:p>
    <w:p>
      <w:pPr>
        <w:tabs>
          <w:tab w:val="left" w:pos="720"/>
        </w:tabs>
        <w:spacing w:after="100"/>
        <w:ind w:left="720" w:hanging="720"/>
      </w:pPr>
      <w:r>
        <w:rPr>
          <w:rFonts w:ascii="Arial" w:cs="Arial" w:eastAsia="Arial" w:hAnsi="Arial"/>
          <w:b/>
          <w:bCs/>
          <w:color w:val="1B4F72"/>
          <w:sz w:val="20"/>
          <w:szCs w:val="20"/>
        </w:rPr>
        <w:t xml:space="preserve">3.1</w:t>
      </w:r>
      <w:r>
        <w:rPr>
          <w:rFonts w:ascii="Arial" w:cs="Arial" w:eastAsia="Arial" w:hAnsi="Arial"/>
        </w:rPr>
        <w:t xml:space="preserve">	</w:t>
      </w:r>
      <w:r>
        <w:rPr>
          <w:rFonts w:ascii="Arial" w:cs="Arial" w:eastAsia="Arial" w:hAnsi="Arial"/>
          <w:sz w:val="20"/>
          <w:szCs w:val="20"/>
        </w:rPr>
        <w:t xml:space="preserve">The Chair shall lead the committee, make sure risks are rated consistently and challenged, and present the quarterly risk position to the Board. The Chair is independent of security delivery so that risk oversight does not depend on the team that manages the risks.</w:t>
      </w:r>
    </w:p>
    <w:p>
      <w:pPr>
        <w:tabs>
          <w:tab w:val="left" w:pos="720"/>
        </w:tabs>
        <w:spacing w:after="100"/>
        <w:ind w:left="720" w:hanging="720"/>
      </w:pPr>
      <w:r>
        <w:rPr>
          <w:rFonts w:ascii="Arial" w:cs="Arial" w:eastAsia="Arial" w:hAnsi="Arial"/>
          <w:b/>
          <w:bCs/>
          <w:color w:val="1B4F72"/>
          <w:sz w:val="20"/>
          <w:szCs w:val="20"/>
        </w:rPr>
        <w:t xml:space="preserve">3.2</w:t>
      </w:r>
      <w:r>
        <w:rPr>
          <w:rFonts w:ascii="Arial" w:cs="Arial" w:eastAsia="Arial" w:hAnsi="Arial"/>
        </w:rPr>
        <w:t xml:space="preserve">	</w:t>
      </w:r>
      <w:r>
        <w:rPr>
          <w:rFonts w:ascii="Arial" w:cs="Arial" w:eastAsia="Arial" w:hAnsi="Arial"/>
          <w:sz w:val="20"/>
          <w:szCs w:val="20"/>
        </w:rPr>
        <w:t xml:space="preserve">The Vice-Chair shall act as Chair in the Chair's absence. The CISO shall maintain the risk register and present risk reports, and shall not vote on acceptance of risks that the CISO's own function owns.</w:t>
      </w:r>
    </w:p>
    <w:p>
      <w:pPr>
        <w:tabs>
          <w:tab w:val="left" w:pos="720"/>
        </w:tabs>
        <w:spacing w:after="100"/>
        <w:ind w:left="720" w:hanging="720"/>
      </w:pPr>
      <w:r>
        <w:rPr>
          <w:rFonts w:ascii="Arial" w:cs="Arial" w:eastAsia="Arial" w:hAnsi="Arial"/>
          <w:b/>
          <w:bCs/>
          <w:color w:val="1B4F72"/>
          <w:sz w:val="20"/>
          <w:szCs w:val="20"/>
        </w:rPr>
        <w:t xml:space="preserve">3.3</w:t>
      </w:r>
      <w:r>
        <w:rPr>
          <w:rFonts w:ascii="Arial" w:cs="Arial" w:eastAsia="Arial" w:hAnsi="Arial"/>
        </w:rPr>
        <w:t xml:space="preserve">	</w:t>
      </w:r>
      <w:r>
        <w:rPr>
          <w:rFonts w:ascii="Arial" w:cs="Arial" w:eastAsia="Arial" w:hAnsi="Arial"/>
          <w:sz w:val="20"/>
          <w:szCs w:val="20"/>
        </w:rPr>
        <w:t xml:space="preserve">Voting members may nominate a delegate at director level, with notice to the Secretary before the meeting. No more than two delegates may count towards the quorum at any one meeting.</w:t>
      </w:r>
    </w:p>
    <w:p>
      <w:pPr>
        <w:tabs>
          <w:tab w:val="left" w:pos="720"/>
        </w:tabs>
        <w:spacing w:after="100"/>
        <w:ind w:left="720" w:hanging="720"/>
      </w:pPr>
      <w:r>
        <w:rPr>
          <w:rFonts w:ascii="Arial" w:cs="Arial" w:eastAsia="Arial" w:hAnsi="Arial"/>
          <w:b/>
          <w:bCs/>
          <w:color w:val="1B4F72"/>
          <w:sz w:val="20"/>
          <w:szCs w:val="20"/>
        </w:rPr>
        <w:t xml:space="preserve">3.4</w:t>
      </w:r>
      <w:r>
        <w:rPr>
          <w:rFonts w:ascii="Arial" w:cs="Arial" w:eastAsia="Arial" w:hAnsi="Arial"/>
        </w:rPr>
        <w:t xml:space="preserve">	</w:t>
      </w:r>
      <w:r>
        <w:rPr>
          <w:rFonts w:ascii="Arial" w:cs="Arial" w:eastAsia="Arial" w:hAnsi="Arial"/>
          <w:sz w:val="20"/>
          <w:szCs w:val="20"/>
        </w:rPr>
        <w:t xml:space="preserve">The Secretary shall prepare the agenda with the Chair, issue papers, record minutes and decisions, and maintain the action tracker. The Secretary does not vote.</w:t>
      </w:r>
    </w:p>
    <w:p>
      <w:pPr>
        <w:tabs>
          <w:tab w:val="left" w:pos="720"/>
        </w:tabs>
        <w:spacing w:after="100"/>
        <w:ind w:left="720" w:hanging="720"/>
      </w:pPr>
      <w:r>
        <w:rPr>
          <w:rFonts w:ascii="Arial" w:cs="Arial" w:eastAsia="Arial" w:hAnsi="Arial"/>
          <w:b/>
          <w:bCs/>
          <w:color w:val="1B4F72"/>
          <w:sz w:val="20"/>
          <w:szCs w:val="20"/>
        </w:rPr>
        <w:t xml:space="preserve">3.5</w:t>
      </w:r>
      <w:r>
        <w:rPr>
          <w:rFonts w:ascii="Arial" w:cs="Arial" w:eastAsia="Arial" w:hAnsi="Arial"/>
        </w:rPr>
        <w:t xml:space="preserve">	</w:t>
      </w:r>
      <w:r>
        <w:rPr>
          <w:rFonts w:ascii="Arial" w:cs="Arial" w:eastAsia="Arial" w:hAnsi="Arial"/>
          <w:sz w:val="20"/>
          <w:szCs w:val="20"/>
        </w:rPr>
        <w:t xml:space="preserve">Non-voting advisors may speak and advise, and may ask for their view to be minuted. They may be asked to leave for confidential items. The Data Protection Officer and Internal Audit remain non-voting to protect their independence.</w:t>
      </w:r>
    </w:p>
    <w:p>
      <w:pPr>
        <w:tabs>
          <w:tab w:val="left" w:pos="720"/>
        </w:tabs>
        <w:spacing w:after="100"/>
        <w:ind w:left="720" w:hanging="720"/>
      </w:pPr>
      <w:r>
        <w:rPr>
          <w:rFonts w:ascii="Arial" w:cs="Arial" w:eastAsia="Arial" w:hAnsi="Arial"/>
          <w:b/>
          <w:bCs/>
          <w:color w:val="1B4F72"/>
          <w:sz w:val="20"/>
          <w:szCs w:val="20"/>
        </w:rPr>
        <w:t xml:space="preserve">3.6</w:t>
      </w:r>
      <w:r>
        <w:rPr>
          <w:rFonts w:ascii="Arial" w:cs="Arial" w:eastAsia="Arial" w:hAnsi="Arial"/>
        </w:rPr>
        <w:t xml:space="preserve">	</w:t>
      </w:r>
      <w:r>
        <w:rPr>
          <w:rFonts w:ascii="Arial" w:cs="Arial" w:eastAsia="Arial" w:hAnsi="Arial"/>
          <w:sz w:val="20"/>
          <w:szCs w:val="20"/>
        </w:rPr>
        <w:t xml:space="preserve">The Chair may invite other staff, external auditors or advisors for specific items. Invitees do not vote.</w:t>
      </w:r>
    </w:p>
    <w:p>
      <w:pPr>
        <w:pStyle w:val="Heading1"/>
        <w:keepNext/>
      </w:pPr>
      <w:r>
        <w:rPr>
          <w:rFonts w:ascii="Arial" w:cs="Arial" w:eastAsia="Arial" w:hAnsi="Arial"/>
        </w:rPr>
        <w:t xml:space="preserve">4. Quorum and Voting</w:t>
      </w:r>
    </w:p>
    <w:p>
      <w:pPr>
        <w:tabs>
          <w:tab w:val="left" w:pos="720"/>
        </w:tabs>
        <w:spacing w:after="100"/>
        <w:ind w:left="720" w:hanging="720"/>
      </w:pPr>
      <w:r>
        <w:rPr>
          <w:rFonts w:ascii="Arial" w:cs="Arial" w:eastAsia="Arial" w:hAnsi="Arial"/>
          <w:b/>
          <w:bCs/>
          <w:color w:val="1B4F72"/>
          <w:sz w:val="20"/>
          <w:szCs w:val="20"/>
        </w:rPr>
        <w:t xml:space="preserve">4.1</w:t>
      </w:r>
      <w:r>
        <w:rPr>
          <w:rFonts w:ascii="Arial" w:cs="Arial" w:eastAsia="Arial" w:hAnsi="Arial"/>
        </w:rPr>
        <w:t xml:space="preserve">	</w:t>
      </w:r>
      <w:r>
        <w:rPr>
          <w:rFonts w:ascii="Arial" w:cs="Arial" w:eastAsia="Arial" w:hAnsi="Arial"/>
          <w:sz w:val="20"/>
          <w:szCs w:val="20"/>
        </w:rPr>
        <w:t xml:space="preserve">A quorum is four of the seven voting members, including the Chair or the Vice-Chair and either the CISO or the Head of IT.</w:t>
      </w:r>
    </w:p>
    <w:p>
      <w:pPr>
        <w:tabs>
          <w:tab w:val="left" w:pos="720"/>
        </w:tabs>
        <w:spacing w:after="100"/>
        <w:ind w:left="720" w:hanging="720"/>
      </w:pPr>
      <w:r>
        <w:rPr>
          <w:rFonts w:ascii="Arial" w:cs="Arial" w:eastAsia="Arial" w:hAnsi="Arial"/>
          <w:b/>
          <w:bCs/>
          <w:color w:val="1B4F72"/>
          <w:sz w:val="20"/>
          <w:szCs w:val="20"/>
        </w:rPr>
        <w:t xml:space="preserve">4.2</w:t>
      </w:r>
      <w:r>
        <w:rPr>
          <w:rFonts w:ascii="Arial" w:cs="Arial" w:eastAsia="Arial" w:hAnsi="Arial"/>
        </w:rPr>
        <w:t xml:space="preserve">	</w:t>
      </w:r>
      <w:r>
        <w:rPr>
          <w:rFonts w:ascii="Arial" w:cs="Arial" w:eastAsia="Arial" w:hAnsi="Arial"/>
          <w:sz w:val="20"/>
          <w:szCs w:val="20"/>
        </w:rPr>
        <w:t xml:space="preserve">A recommendation to accept a Critical risk, any risk above appetite, or to amend this charter, needs a two-thirds majority of voting members present.</w:t>
      </w:r>
    </w:p>
    <w:p>
      <w:pPr>
        <w:tabs>
          <w:tab w:val="left" w:pos="720"/>
        </w:tabs>
        <w:spacing w:after="100"/>
        <w:ind w:left="720" w:hanging="720"/>
      </w:pPr>
      <w:r>
        <w:rPr>
          <w:rFonts w:ascii="Arial" w:cs="Arial" w:eastAsia="Arial" w:hAnsi="Arial"/>
          <w:b/>
          <w:bCs/>
          <w:color w:val="1B4F72"/>
          <w:sz w:val="20"/>
          <w:szCs w:val="20"/>
        </w:rPr>
        <w:t xml:space="preserve">4.3</w:t>
      </w:r>
      <w:r>
        <w:rPr>
          <w:rFonts w:ascii="Arial" w:cs="Arial" w:eastAsia="Arial" w:hAnsi="Arial"/>
        </w:rPr>
        <w:t xml:space="preserve">	</w:t>
      </w:r>
      <w:r>
        <w:rPr>
          <w:rFonts w:ascii="Arial" w:cs="Arial" w:eastAsia="Arial" w:hAnsi="Arial"/>
          <w:sz w:val="20"/>
          <w:szCs w:val="20"/>
        </w:rPr>
        <w:t xml:space="preserve">The committee shall aim for consensus. Where a vote is needed, each voting member has one vote, and a motion passes by a simple majority of voting members present, unless Table 1 or this section requires more. The Chair has a casting vote in a tie.</w:t>
      </w:r>
    </w:p>
    <w:p>
      <w:pPr>
        <w:tabs>
          <w:tab w:val="left" w:pos="720"/>
        </w:tabs>
        <w:spacing w:after="100"/>
        <w:ind w:left="720" w:hanging="720"/>
      </w:pPr>
      <w:r>
        <w:rPr>
          <w:rFonts w:ascii="Arial" w:cs="Arial" w:eastAsia="Arial" w:hAnsi="Arial"/>
          <w:b/>
          <w:bCs/>
          <w:color w:val="1B4F72"/>
          <w:sz w:val="20"/>
          <w:szCs w:val="20"/>
        </w:rPr>
        <w:t xml:space="preserve">4.4</w:t>
      </w:r>
      <w:r>
        <w:rPr>
          <w:rFonts w:ascii="Arial" w:cs="Arial" w:eastAsia="Arial" w:hAnsi="Arial"/>
        </w:rPr>
        <w:t xml:space="preserve">	</w:t>
      </w:r>
      <w:r>
        <w:rPr>
          <w:rFonts w:ascii="Arial" w:cs="Arial" w:eastAsia="Arial" w:hAnsi="Arial"/>
          <w:sz w:val="20"/>
          <w:szCs w:val="20"/>
        </w:rPr>
        <w:t xml:space="preserve">A member with a conflict of interest in an item shall declare it and leave the vote on that item. The Secretary shall record the declaration.</w:t>
      </w:r>
    </w:p>
    <w:p>
      <w:pPr>
        <w:tabs>
          <w:tab w:val="left" w:pos="720"/>
        </w:tabs>
        <w:spacing w:after="100"/>
        <w:ind w:left="720" w:hanging="720"/>
      </w:pPr>
      <w:r>
        <w:rPr>
          <w:rFonts w:ascii="Arial" w:cs="Arial" w:eastAsia="Arial" w:hAnsi="Arial"/>
          <w:b/>
          <w:bCs/>
          <w:color w:val="1B4F72"/>
          <w:sz w:val="20"/>
          <w:szCs w:val="20"/>
        </w:rPr>
        <w:t xml:space="preserve">4.5</w:t>
      </w:r>
      <w:r>
        <w:rPr>
          <w:rFonts w:ascii="Arial" w:cs="Arial" w:eastAsia="Arial" w:hAnsi="Arial"/>
        </w:rPr>
        <w:t xml:space="preserve">	</w:t>
      </w:r>
      <w:r>
        <w:rPr>
          <w:rFonts w:ascii="Arial" w:cs="Arial" w:eastAsia="Arial" w:hAnsi="Arial"/>
          <w:sz w:val="20"/>
          <w:szCs w:val="20"/>
        </w:rPr>
        <w:t xml:space="preserve">Urgent decisions between meetings may be taken by written resolution circulated by the Secretary with at least 48 hours to respond. The resolution passes if a majority of all voting members approve it, and it shall be recorded at the next meeting.</w:t>
      </w:r>
    </w:p>
    <w:p>
      <w:pPr>
        <w:tabs>
          <w:tab w:val="left" w:pos="720"/>
        </w:tabs>
        <w:spacing w:after="100"/>
        <w:ind w:left="720" w:hanging="720"/>
      </w:pPr>
      <w:r>
        <w:rPr>
          <w:rFonts w:ascii="Arial" w:cs="Arial" w:eastAsia="Arial" w:hAnsi="Arial"/>
          <w:b/>
          <w:bCs/>
          <w:color w:val="1B4F72"/>
          <w:sz w:val="20"/>
          <w:szCs w:val="20"/>
        </w:rPr>
        <w:t xml:space="preserve">4.6</w:t>
      </w:r>
      <w:r>
        <w:rPr>
          <w:rFonts w:ascii="Arial" w:cs="Arial" w:eastAsia="Arial" w:hAnsi="Arial"/>
        </w:rPr>
        <w:t xml:space="preserve">	</w:t>
      </w:r>
      <w:r>
        <w:rPr>
          <w:rFonts w:ascii="Arial" w:cs="Arial" w:eastAsia="Arial" w:hAnsi="Arial"/>
          <w:sz w:val="20"/>
          <w:szCs w:val="20"/>
        </w:rPr>
        <w:t xml:space="preserve">Every decision, with the vote count and any recorded dissent, shall be entered in the decision register. Minutes shall be circulated within 3 business days and approved at the next meeting.</w:t>
      </w:r>
    </w:p>
    <w:p>
      <w:pPr>
        <w:pStyle w:val="Heading1"/>
        <w:keepNext/>
      </w:pPr>
      <w:r>
        <w:rPr>
          <w:rFonts w:ascii="Arial" w:cs="Arial" w:eastAsia="Arial" w:hAnsi="Arial"/>
        </w:rPr>
        <w:t xml:space="preserve">5. Meetings</w:t>
      </w:r>
    </w:p>
    <w:p>
      <w:pPr>
        <w:tabs>
          <w:tab w:val="left" w:pos="720"/>
        </w:tabs>
        <w:spacing w:after="100"/>
        <w:ind w:left="720" w:hanging="720"/>
      </w:pPr>
      <w:r>
        <w:rPr>
          <w:rFonts w:ascii="Arial" w:cs="Arial" w:eastAsia="Arial" w:hAnsi="Arial"/>
          <w:b/>
          <w:bCs/>
          <w:color w:val="1B4F72"/>
          <w:sz w:val="20"/>
          <w:szCs w:val="20"/>
        </w:rPr>
        <w:t xml:space="preserve">5.1</w:t>
      </w:r>
      <w:r>
        <w:rPr>
          <w:rFonts w:ascii="Arial" w:cs="Arial" w:eastAsia="Arial" w:hAnsi="Arial"/>
        </w:rPr>
        <w:t xml:space="preserve">	</w:t>
      </w:r>
      <w:r>
        <w:rPr>
          <w:rFonts w:ascii="Arial" w:cs="Arial" w:eastAsia="Arial" w:hAnsi="Arial"/>
          <w:sz w:val="20"/>
          <w:szCs w:val="20"/>
        </w:rPr>
        <w:t xml:space="preserve">The Risk Committee shall meet quarterly for two hours, two to three weeks before each Board meeting, so that its report reaches the Board in time.</w:t>
      </w:r>
    </w:p>
    <w:p>
      <w:pPr>
        <w:tabs>
          <w:tab w:val="left" w:pos="720"/>
        </w:tabs>
        <w:spacing w:after="100"/>
        <w:ind w:left="720" w:hanging="720"/>
      </w:pPr>
      <w:r>
        <w:rPr>
          <w:rFonts w:ascii="Arial" w:cs="Arial" w:eastAsia="Arial" w:hAnsi="Arial"/>
          <w:b/>
          <w:bCs/>
          <w:color w:val="1B4F72"/>
          <w:sz w:val="20"/>
          <w:szCs w:val="20"/>
        </w:rPr>
        <w:t xml:space="preserve">5.2</w:t>
      </w:r>
      <w:r>
        <w:rPr>
          <w:rFonts w:ascii="Arial" w:cs="Arial" w:eastAsia="Arial" w:hAnsi="Arial"/>
        </w:rPr>
        <w:t xml:space="preserve">	</w:t>
      </w:r>
      <w:r>
        <w:rPr>
          <w:rFonts w:ascii="Arial" w:cs="Arial" w:eastAsia="Arial" w:hAnsi="Arial"/>
          <w:sz w:val="20"/>
          <w:szCs w:val="20"/>
        </w:rPr>
        <w:t xml:space="preserve">The Secretary shall issue the agenda and risk pack at least 5 business days before each meeting.</w:t>
      </w:r>
    </w:p>
    <w:p>
      <w:pPr>
        <w:tabs>
          <w:tab w:val="left" w:pos="720"/>
        </w:tabs>
        <w:spacing w:after="100"/>
        <w:ind w:left="720" w:hanging="720"/>
      </w:pPr>
      <w:r>
        <w:rPr>
          <w:rFonts w:ascii="Arial" w:cs="Arial" w:eastAsia="Arial" w:hAnsi="Arial"/>
          <w:b/>
          <w:bCs/>
          <w:color w:val="1B4F72"/>
          <w:sz w:val="20"/>
          <w:szCs w:val="20"/>
        </w:rPr>
        <w:t xml:space="preserve">5.3</w:t>
      </w:r>
      <w:r>
        <w:rPr>
          <w:rFonts w:ascii="Arial" w:cs="Arial" w:eastAsia="Arial" w:hAnsi="Arial"/>
        </w:rPr>
        <w:t xml:space="preserve">	</w:t>
      </w:r>
      <w:r>
        <w:rPr>
          <w:rFonts w:ascii="Arial" w:cs="Arial" w:eastAsia="Arial" w:hAnsi="Arial"/>
          <w:sz w:val="20"/>
          <w:szCs w:val="20"/>
        </w:rPr>
        <w:t xml:space="preserve">The Chair shall call an ad hoc meeting within 5 business days when a new Critical risk emerges, or when a KRI breaches its threshold and cannot be handled by the ISSC.</w:t>
      </w:r>
    </w:p>
    <w:p>
      <w:pPr>
        <w:tabs>
          <w:tab w:val="left" w:pos="720"/>
        </w:tabs>
        <w:spacing w:after="100"/>
        <w:ind w:left="720" w:hanging="720"/>
      </w:pPr>
      <w:r>
        <w:rPr>
          <w:rFonts w:ascii="Arial" w:cs="Arial" w:eastAsia="Arial" w:hAnsi="Arial"/>
          <w:b/>
          <w:bCs/>
          <w:color w:val="1B4F72"/>
          <w:sz w:val="20"/>
          <w:szCs w:val="20"/>
        </w:rPr>
        <w:t xml:space="preserve">5.4</w:t>
      </w:r>
      <w:r>
        <w:rPr>
          <w:rFonts w:ascii="Arial" w:cs="Arial" w:eastAsia="Arial" w:hAnsi="Arial"/>
        </w:rPr>
        <w:t xml:space="preserve">	</w:t>
      </w:r>
      <w:r>
        <w:rPr>
          <w:rFonts w:ascii="Arial" w:cs="Arial" w:eastAsia="Arial" w:hAnsi="Arial"/>
          <w:sz w:val="20"/>
          <w:szCs w:val="20"/>
        </w:rPr>
        <w:t xml:space="preserve">The committee shall review the risk appetite and the methodology at its first meeting each year.</w:t>
      </w:r>
    </w:p>
    <w:p>
      <w:pPr>
        <w:pStyle w:val="Heading1"/>
        <w:keepNext/>
      </w:pPr>
      <w:r>
        <w:rPr>
          <w:rFonts w:ascii="Arial" w:cs="Arial" w:eastAsia="Arial" w:hAnsi="Arial"/>
        </w:rPr>
        <w:t xml:space="preserve">6. Agenda Structure and Standing Items</w:t>
      </w:r>
    </w:p>
    <w:p>
      <w:pPr>
        <w:spacing w:after="120"/>
      </w:pPr>
      <w:r>
        <w:rPr>
          <w:rFonts w:ascii="Arial" w:cs="Arial" w:eastAsia="Arial" w:hAnsi="Arial"/>
          <w:sz w:val="20"/>
          <w:szCs w:val="20"/>
        </w:rPr>
        <w:t xml:space="preserve">Every meeting shall follow the standing agenda in Table 3. The Chair may reorder items to suit urgent business.</w:t>
      </w:r>
    </w:p>
    <w:p>
      <w:pPr>
        <w:keepNext/>
        <w:spacing w:after="80" w:before="120"/>
      </w:pPr>
      <w:r>
        <w:rPr>
          <w:rFonts w:ascii="Arial" w:cs="Arial" w:eastAsia="Arial" w:hAnsi="Arial"/>
          <w:b/>
          <w:bCs/>
          <w:color w:val="1B4F72"/>
          <w:sz w:val="18"/>
          <w:szCs w:val="18"/>
        </w:rPr>
        <w:t xml:space="preserve">Table 3: Standing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5400"/>
        <w:gridCol w:w="2310"/>
        <w:gridCol w:w="120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t>
            </w:r>
          </w:p>
        </w:tc>
        <w:tc>
          <w:tcPr>
            <w:tcW w:type="dxa" w:w="5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Item</w:t>
            </w:r>
          </w:p>
        </w:tc>
        <w:tc>
          <w:tcPr>
            <w:tcW w:type="dxa" w:w="23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Lead</w:t>
            </w:r>
          </w:p>
        </w:tc>
        <w:tc>
          <w:tcPr>
            <w:tcW w:type="dxa" w:w="1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Time</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Opening: quorum, conflicts, minutes and actions</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Chair and Secretary</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Risk appetite and KRIs against thresholds</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15 min</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Critical and High risks and movement since last quarter</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and risk owners</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30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4</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Risk treatment progress and overdue actions</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Risk owners</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20 min</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Risk acceptances and exception register review</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15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6</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Emerging risks: threats, regulation, third parties, PayStream integration</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Head of Legal</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15 min</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7</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Outcomes of new risk assessments and data protection impact assessments</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DPO; Head of IT</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8</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Decisions and items to escalate to the ELT or Board</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Chair</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5 min</w:t>
            </w:r>
          </w:p>
        </w:tc>
      </w:tr>
    </w:tbl>
    <w:p>
      <w:pPr>
        <w:spacing w:after="160"/>
      </w:pPr>
    </w:p>
    <w:p>
      <w:pPr>
        <w:spacing w:after="120"/>
      </w:pPr>
      <w:r>
        <w:rPr>
          <w:rFonts w:ascii="Arial" w:cs="Arial" w:eastAsia="Arial" w:hAnsi="Arial"/>
          <w:b/>
          <w:bCs/>
          <w:sz w:val="20"/>
          <w:szCs w:val="20"/>
        </w:rPr>
        <w:t xml:space="preserve">Periodic items.</w:t>
      </w:r>
      <w:r>
        <w:rPr>
          <w:rFonts w:ascii="Arial" w:cs="Arial" w:eastAsia="Arial" w:hAnsi="Arial"/>
          <w:sz w:val="20"/>
          <w:szCs w:val="20"/>
        </w:rPr>
        <w:t xml:space="preserve"> Each quarter: top 10 risks, third-party risk, and the high-risk assets in the Information Asset Register. Annually: risk appetite, methodology, and a review of the risk register structure.</w:t>
      </w:r>
    </w:p>
    <w:p>
      <w:pPr>
        <w:pStyle w:val="Heading1"/>
        <w:keepNext/>
      </w:pPr>
      <w:r>
        <w:rPr>
          <w:rFonts w:ascii="Arial" w:cs="Arial" w:eastAsia="Arial" w:hAnsi="Arial"/>
        </w:rPr>
        <w:t xml:space="preserve">7. Reporting Obligations</w:t>
      </w:r>
    </w:p>
    <w:p>
      <w:pPr>
        <w:keepNext/>
        <w:spacing w:after="80" w:before="120"/>
      </w:pPr>
      <w:r>
        <w:rPr>
          <w:rFonts w:ascii="Arial" w:cs="Arial" w:eastAsia="Arial" w:hAnsi="Arial"/>
          <w:b/>
          <w:bCs/>
          <w:color w:val="1B4F72"/>
          <w:sz w:val="18"/>
          <w:szCs w:val="18"/>
        </w:rPr>
        <w:t xml:space="preserve">Table 4: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200"/>
        <w:gridCol w:w="2460"/>
      </w:tblGrid>
      <w:tr>
        <w:trPr>
          <w:cantSplit/>
          <w:tblHeader/>
        </w:trPr>
        <w:tc>
          <w:tcPr>
            <w:tcW w:type="dxa" w:w="2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Report</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Produced by</w:t>
            </w:r>
          </w:p>
        </w:tc>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Audience</w:t>
            </w:r>
          </w:p>
        </w:tc>
        <w:tc>
          <w:tcPr>
            <w:tcW w:type="dxa" w:w="24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Frequency and timing</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Quarterly Risk Report</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reviewed by the Chair</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and Board (as an input to the Board Security Report)</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Quarterly, after each committee meeting</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Risk summary in the Monthly ISSC Report</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ISSC</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Monthly</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Critical risk escalation notice</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Chair</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CEO and ELT</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Within 2 business days of a new Critical risk</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Minutes and decision register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Secretary</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Members; CEO</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Within 3 business days of each meeting</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Annual risk assessment and appetite review</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and Chair</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Board</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Annually</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7.1</w:t>
      </w:r>
      <w:r>
        <w:rPr>
          <w:rFonts w:ascii="Arial" w:cs="Arial" w:eastAsia="Arial" w:hAnsi="Arial"/>
        </w:rPr>
        <w:t xml:space="preserve">	</w:t>
      </w:r>
      <w:r>
        <w:rPr>
          <w:rFonts w:ascii="Arial" w:cs="Arial" w:eastAsia="Arial" w:hAnsi="Arial"/>
          <w:sz w:val="20"/>
          <w:szCs w:val="20"/>
        </w:rPr>
        <w:t xml:space="preserve">The Chair shall present the quarterly risk position, including any risk above appetite and any action overdue by more than 60 days, to the Board.</w:t>
      </w:r>
    </w:p>
    <w:p>
      <w:pPr>
        <w:tabs>
          <w:tab w:val="left" w:pos="720"/>
        </w:tabs>
        <w:spacing w:after="100"/>
        <w:ind w:left="720" w:hanging="720"/>
      </w:pPr>
      <w:r>
        <w:rPr>
          <w:rFonts w:ascii="Arial" w:cs="Arial" w:eastAsia="Arial" w:hAnsi="Arial"/>
          <w:b/>
          <w:bCs/>
          <w:color w:val="1B4F72"/>
          <w:sz w:val="20"/>
          <w:szCs w:val="20"/>
        </w:rPr>
        <w:t xml:space="preserve">7.2</w:t>
      </w:r>
      <w:r>
        <w:rPr>
          <w:rFonts w:ascii="Arial" w:cs="Arial" w:eastAsia="Arial" w:hAnsi="Arial"/>
        </w:rPr>
        <w:t xml:space="preserve">	</w:t>
      </w:r>
      <w:r>
        <w:rPr>
          <w:rFonts w:ascii="Arial" w:cs="Arial" w:eastAsia="Arial" w:hAnsi="Arial"/>
          <w:sz w:val="20"/>
          <w:szCs w:val="20"/>
        </w:rPr>
        <w:t xml:space="preserve">Risk information shall be taken from the central risk register, and ratings shall follow the approved methodology.</w:t>
      </w:r>
    </w:p>
    <w:p>
      <w:pPr>
        <w:pStyle w:val="Heading1"/>
        <w:keepNext/>
      </w:pPr>
      <w:r>
        <w:rPr>
          <w:rFonts w:ascii="Arial" w:cs="Arial" w:eastAsia="Arial" w:hAnsi="Arial"/>
        </w:rPr>
        <w:t xml:space="preserve">8. Relationship with Other Committees</w:t>
      </w:r>
    </w:p>
    <w:p>
      <w:pPr>
        <w:spacing w:after="120"/>
      </w:pPr>
      <w:r>
        <w:rPr>
          <w:rFonts w:ascii="Arial" w:cs="Arial" w:eastAsia="Arial" w:hAnsi="Arial"/>
          <w:sz w:val="20"/>
          <w:szCs w:val="20"/>
        </w:rPr>
        <w:t xml:space="preserve">The Risk Committee receives security risk information from the ISSC and compliance risk information from the Compliance Committee. It gives them risk priorities and appetite guidance, and they carry out treatment. The Risk Committee does not manage security operations. Disagreements shall go to the CEO.</w:t>
      </w:r>
    </w:p>
    <w:p>
      <w:pPr>
        <w:pStyle w:val="Heading1"/>
        <w:keepNext/>
      </w:pPr>
      <w:r>
        <w:rPr>
          <w:rFonts w:ascii="Arial" w:cs="Arial" w:eastAsia="Arial" w:hAnsi="Arial"/>
        </w:rPr>
        <w:t xml:space="preserve">9. Conduct</w:t>
      </w:r>
    </w:p>
    <w:p>
      <w:pPr>
        <w:tabs>
          <w:tab w:val="left" w:pos="720"/>
        </w:tabs>
        <w:spacing w:after="100"/>
        <w:ind w:left="720" w:hanging="720"/>
      </w:pPr>
      <w:r>
        <w:rPr>
          <w:rFonts w:ascii="Arial" w:cs="Arial" w:eastAsia="Arial" w:hAnsi="Arial"/>
          <w:b/>
          <w:bCs/>
          <w:color w:val="1B4F72"/>
          <w:sz w:val="20"/>
          <w:szCs w:val="20"/>
        </w:rPr>
        <w:t xml:space="preserve">9.1</w:t>
      </w:r>
      <w:r>
        <w:rPr>
          <w:rFonts w:ascii="Arial" w:cs="Arial" w:eastAsia="Arial" w:hAnsi="Arial"/>
        </w:rPr>
        <w:t xml:space="preserve">	</w:t>
      </w:r>
      <w:r>
        <w:rPr>
          <w:rFonts w:ascii="Arial" w:cs="Arial" w:eastAsia="Arial" w:hAnsi="Arial"/>
          <w:sz w:val="20"/>
          <w:szCs w:val="20"/>
        </w:rPr>
        <w:t xml:space="preserve">Members shall act in the interest of NexusGuard, keep committee papers and discussions confidential in line with their classification, and disclose conflicts of interest.</w:t>
      </w:r>
    </w:p>
    <w:p>
      <w:pPr>
        <w:tabs>
          <w:tab w:val="left" w:pos="720"/>
        </w:tabs>
        <w:spacing w:after="100"/>
        <w:ind w:left="720" w:hanging="720"/>
      </w:pPr>
      <w:r>
        <w:rPr>
          <w:rFonts w:ascii="Arial" w:cs="Arial" w:eastAsia="Arial" w:hAnsi="Arial"/>
          <w:b/>
          <w:bCs/>
          <w:color w:val="1B4F72"/>
          <w:sz w:val="20"/>
          <w:szCs w:val="20"/>
        </w:rPr>
        <w:t xml:space="preserve">9.2</w:t>
      </w:r>
      <w:r>
        <w:rPr>
          <w:rFonts w:ascii="Arial" w:cs="Arial" w:eastAsia="Arial" w:hAnsi="Arial"/>
        </w:rPr>
        <w:t xml:space="preserve">	</w:t>
      </w:r>
      <w:r>
        <w:rPr>
          <w:rFonts w:ascii="Arial" w:cs="Arial" w:eastAsia="Arial" w:hAnsi="Arial"/>
          <w:sz w:val="20"/>
          <w:szCs w:val="20"/>
        </w:rPr>
        <w:t xml:space="preserve">Members shall attend at least 75% of meetings each year. The Secretary shall report attendance to the CEO annually, and poor attendance shall be raised with the member's line manager.</w:t>
      </w:r>
    </w:p>
    <w:p>
      <w:pPr>
        <w:tabs>
          <w:tab w:val="left" w:pos="720"/>
        </w:tabs>
        <w:spacing w:after="100"/>
        <w:ind w:left="720" w:hanging="720"/>
      </w:pPr>
      <w:r>
        <w:rPr>
          <w:rFonts w:ascii="Arial" w:cs="Arial" w:eastAsia="Arial" w:hAnsi="Arial"/>
          <w:b/>
          <w:bCs/>
          <w:color w:val="1B4F72"/>
          <w:sz w:val="20"/>
          <w:szCs w:val="20"/>
        </w:rPr>
        <w:t xml:space="preserve">9.3</w:t>
      </w:r>
      <w:r>
        <w:rPr>
          <w:rFonts w:ascii="Arial" w:cs="Arial" w:eastAsia="Arial" w:hAnsi="Arial"/>
        </w:rPr>
        <w:t xml:space="preserve">	</w:t>
      </w:r>
      <w:r>
        <w:rPr>
          <w:rFonts w:ascii="Arial" w:cs="Arial" w:eastAsia="Arial" w:hAnsi="Arial"/>
          <w:sz w:val="20"/>
          <w:szCs w:val="20"/>
        </w:rPr>
        <w:t xml:space="preserve">Papers shall be classified under the Data Classification and Handling Policy. Papers containing Restricted information shall be shared only through approved channels.</w:t>
      </w:r>
    </w:p>
    <w:p>
      <w:pPr>
        <w:pStyle w:val="Heading1"/>
        <w:keepNext/>
      </w:pPr>
      <w:r>
        <w:rPr>
          <w:rFonts w:ascii="Arial" w:cs="Arial" w:eastAsia="Arial" w:hAnsi="Arial"/>
        </w:rPr>
        <w:t xml:space="preserve">10. Review and Amendment</w:t>
      </w:r>
    </w:p>
    <w:p>
      <w:pPr>
        <w:tabs>
          <w:tab w:val="left" w:pos="720"/>
        </w:tabs>
        <w:spacing w:after="100"/>
        <w:ind w:left="720" w:hanging="720"/>
      </w:pPr>
      <w:r>
        <w:rPr>
          <w:rFonts w:ascii="Arial" w:cs="Arial" w:eastAsia="Arial" w:hAnsi="Arial"/>
          <w:b/>
          <w:bCs/>
          <w:color w:val="1B4F72"/>
          <w:sz w:val="20"/>
          <w:szCs w:val="20"/>
        </w:rPr>
        <w:t xml:space="preserve">10.1</w:t>
      </w:r>
      <w:r>
        <w:rPr>
          <w:rFonts w:ascii="Arial" w:cs="Arial" w:eastAsia="Arial" w:hAnsi="Arial"/>
        </w:rPr>
        <w:t xml:space="preserve">	</w:t>
      </w:r>
      <w:r>
        <w:rPr>
          <w:rFonts w:ascii="Arial" w:cs="Arial" w:eastAsia="Arial" w:hAnsi="Arial"/>
          <w:sz w:val="20"/>
          <w:szCs w:val="20"/>
        </w:rPr>
        <w:t xml:space="preserve">The Chair shall review this charter at least every 12 months, and after a significant change in structure, regulation or business (such as an acquisition). The review shall include an effectiveness self-assessment by members covering attendance, quality of papers, decisions taken, and follow-through on actions.</w:t>
      </w:r>
    </w:p>
    <w:p>
      <w:pPr>
        <w:tabs>
          <w:tab w:val="left" w:pos="720"/>
        </w:tabs>
        <w:spacing w:after="100"/>
        <w:ind w:left="720" w:hanging="720"/>
      </w:pPr>
      <w:r>
        <w:rPr>
          <w:rFonts w:ascii="Arial" w:cs="Arial" w:eastAsia="Arial" w:hAnsi="Arial"/>
          <w:b/>
          <w:bCs/>
          <w:color w:val="1B4F72"/>
          <w:sz w:val="20"/>
          <w:szCs w:val="20"/>
        </w:rPr>
        <w:t xml:space="preserve">10.2</w:t>
      </w:r>
      <w:r>
        <w:rPr>
          <w:rFonts w:ascii="Arial" w:cs="Arial" w:eastAsia="Arial" w:hAnsi="Arial"/>
        </w:rPr>
        <w:t xml:space="preserve">	</w:t>
      </w:r>
      <w:r>
        <w:rPr>
          <w:rFonts w:ascii="Arial" w:cs="Arial" w:eastAsia="Arial" w:hAnsi="Arial"/>
          <w:sz w:val="20"/>
          <w:szCs w:val="20"/>
        </w:rPr>
        <w:t xml:space="preserve">Amendments shall be proposed by the Chair or the CISO, approved by two-thirds of voting members, and ratified by the Board of Directors. Changes shall be recorded in the version history, published in the controlled document repository, and communicated to members.</w:t>
      </w:r>
    </w:p>
    <w:p>
      <w:pPr>
        <w:tabs>
          <w:tab w:val="left" w:pos="720"/>
        </w:tabs>
        <w:spacing w:after="100"/>
        <w:ind w:left="720" w:hanging="720"/>
      </w:pPr>
      <w:r>
        <w:rPr>
          <w:rFonts w:ascii="Arial" w:cs="Arial" w:eastAsia="Arial" w:hAnsi="Arial"/>
          <w:b/>
          <w:bCs/>
          <w:color w:val="1B4F72"/>
          <w:sz w:val="20"/>
          <w:szCs w:val="20"/>
        </w:rPr>
        <w:t xml:space="preserve">10.3</w:t>
      </w:r>
      <w:r>
        <w:rPr>
          <w:rFonts w:ascii="Arial" w:cs="Arial" w:eastAsia="Arial" w:hAnsi="Arial"/>
        </w:rPr>
        <w:t xml:space="preserve">	</w:t>
      </w:r>
      <w:r>
        <w:rPr>
          <w:rFonts w:ascii="Arial" w:cs="Arial" w:eastAsia="Arial" w:hAnsi="Arial"/>
          <w:sz w:val="20"/>
          <w:szCs w:val="20"/>
        </w:rPr>
        <w:t xml:space="preserve">Superseded versions of this charter, minutes and decision registers shall be retained for at least six years.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Risk Committee Charter    |    CHR-RSK-001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Committee Charter</dc:title>
  <dc:creator>NexusGuard Technologies Ltd.</dc:creator>
  <cp:lastModifiedBy>Un-named</cp:lastModifiedBy>
  <cp:revision>1</cp:revision>
  <dcterms:created xsi:type="dcterms:W3CDTF">2026-10-16T21:18:05.142Z</dcterms:created>
  <dcterms:modified xsi:type="dcterms:W3CDTF">2026-10-16T21:18:05.142Z</dcterms:modified>
</cp:coreProperties>
</file>

<file path=docProps/custom.xml><?xml version="1.0" encoding="utf-8"?>
<Properties xmlns="http://schemas.openxmlformats.org/officeDocument/2006/custom-properties" xmlns:vt="http://schemas.openxmlformats.org/officeDocument/2006/docPropsVTypes"/>
</file>