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Title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Security Awareness Program Plan, FY2026</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Document ID</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PLN-SAP-001</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1.0</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Classification</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Internal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Augustine Ozor, GRC Analyst</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Owner</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(CISO)</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Approved By</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Chief Information Security Officer and Executive Leadership Team (approval pending)</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Approval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Pending (DD/MM/YYYY to be entered 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Effective Date</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Upon approval</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Next Review Date</w:t>
            </w:r>
          </w:p>
        </w:tc>
        <w:tc>
          <w:tcPr>
            <w:tcW w:type="dxa" w:w="702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sz w:val="20"/>
                <w:szCs w:val="20"/>
              </w:rPr>
              <w:t xml:space="preserve">12 months from approval date (PCI DSS 12.6.2)</w:t>
            </w:r>
          </w:p>
        </w:tc>
      </w:tr>
      <w:tr>
        <w:trPr>
          <w:cantSplit/>
        </w:trPr>
        <w:tc>
          <w:tcPr>
            <w:tcW w:type="dxa" w:w="2340"/>
            <w:tcBorders>
              <w:top w:val="single" w:color="CCCCCC" w:sz="4"/>
              <w:left w:val="single" w:color="CCCCCC" w:sz="4"/>
              <w:bottom w:val="single" w:color="CCCCCC" w:sz="4"/>
              <w:right w:val="single" w:color="CCCCCC" w:sz="4"/>
            </w:tcBorders>
            <w:shd w:fill="1B4F72"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Applicable Regulations</w:t>
            </w:r>
          </w:p>
        </w:tc>
        <w:tc>
          <w:tcPr>
            <w:tcW w:type="dxa" w:w="702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sz w:val="20"/>
                <w:szCs w:val="20"/>
              </w:rPr>
              <w:t xml:space="preserve">ISO/IEC 27001:2022 (A.6.3), HIPAA Security Rule 164.308(a)(5), PCI DSS v4.0 Requirement 12.6, NCA ECC</w:t>
            </w:r>
          </w:p>
        </w:tc>
      </w:tr>
    </w:tbl>
    <w:p>
      <w:pPr>
        <w:spacing w:after="200"/>
      </w:pPr>
    </w:p>
    <w:p>
      <w:pPr>
        <w:pStyle w:val="Heading1"/>
        <w:keepNext/>
      </w:pPr>
      <w:r>
        <w:rPr>
          <w:rFonts w:ascii="Arial" w:cs="Arial" w:eastAsia="Arial" w:hAnsi="Arial"/>
        </w:rPr>
        <w:t xml:space="preserve">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300"/>
        <w:gridCol w:w="44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Version</w:t>
            </w:r>
          </w:p>
        </w:tc>
        <w:tc>
          <w:tcPr>
            <w:tcW w:type="dxa" w:w="15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Date</w:t>
            </w:r>
          </w:p>
        </w:tc>
        <w:tc>
          <w:tcPr>
            <w:tcW w:type="dxa" w:w="230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Author</w:t>
            </w:r>
          </w:p>
        </w:tc>
        <w:tc>
          <w:tcPr>
            <w:tcW w:type="dxa" w:w="4460"/>
            <w:tcBorders>
              <w:top w:val="single" w:color="CCCCCC" w:sz="4"/>
              <w:left w:val="single" w:color="CCCCCC" w:sz="4"/>
              <w:bottom w:val="single" w:color="CCCCCC" w:sz="4"/>
              <w:right w:val="single" w:color="CCCCCC" w:sz="4"/>
            </w:tcBorders>
            <w:shd w:fill="2E75B6" w:color="auto" w:val="clear"/>
            <w:tcMar>
              <w:top w:type="dxa" w:w="80"/>
              <w:left w:type="dxa" w:w="120"/>
              <w:bottom w:type="dxa" w:w="80"/>
              <w:right w:type="dxa" w:w="120"/>
            </w:tcMar>
          </w:tcPr>
          <w:p>
            <w:pPr>
              <w:spacing w:after="40"/>
            </w:pPr>
            <w:r>
              <w:rPr>
                <w:rFonts w:ascii="Arial" w:cs="Arial" w:eastAsia="Arial" w:hAnsi="Arial"/>
                <w:b/>
                <w:bCs/>
                <w:color w:val="FFFFFF"/>
                <w:sz w:val="20"/>
                <w:szCs w:val="20"/>
              </w:rPr>
              <w:t xml:space="preserve">Changes</w:t>
            </w:r>
          </w:p>
        </w:tc>
      </w:tr>
      <w:tr>
        <w:trPr>
          <w:cantSplit/>
        </w:trPr>
        <w:tc>
          <w:tcPr>
            <w:tcW w:type="dxa" w:w="11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0.1</w:t>
            </w:r>
          </w:p>
        </w:tc>
        <w:tc>
          <w:tcPr>
            <w:tcW w:type="dxa" w:w="15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19/10/2026</w:t>
            </w:r>
          </w:p>
        </w:tc>
        <w:tc>
          <w:tcPr>
            <w:tcW w:type="dxa" w:w="230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Augustine Ozor, GRC Analyst</w:t>
            </w:r>
          </w:p>
        </w:tc>
        <w:tc>
          <w:tcPr>
            <w:tcW w:type="dxa" w:w="4460"/>
            <w:tcBorders>
              <w:top w:val="single" w:color="CCCCCC" w:sz="4"/>
              <w:left w:val="single" w:color="CCCCCC" w:sz="4"/>
              <w:bottom w:val="single" w:color="CCCCCC" w:sz="4"/>
              <w:right w:val="single" w:color="CCCCCC" w:sz="4"/>
            </w:tcBorders>
            <w:tcMar>
              <w:top w:type="dxa" w:w="80"/>
              <w:left w:type="dxa" w:w="120"/>
              <w:bottom w:type="dxa" w:w="80"/>
              <w:right w:type="dxa" w:w="120"/>
            </w:tcMar>
          </w:tcPr>
          <w:p>
            <w:pPr>
              <w:spacing w:after="40"/>
            </w:pPr>
            <w:r>
              <w:rPr>
                <w:rFonts w:ascii="Arial" w:cs="Arial" w:eastAsia="Arial" w:hAnsi="Arial"/>
                <w:b w:val="false"/>
                <w:bCs w:val="false"/>
                <w:sz w:val="20"/>
                <w:szCs w:val="20"/>
              </w:rPr>
              <w:t xml:space="preserve">Initial draft, requested by the CISO after the phishing simulation results. Companion files: NexusGuard_Awareness_Calendar_2026.xlsx and the sample training module.</w:t>
            </w: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1.0</w:t>
            </w:r>
          </w:p>
        </w:tc>
        <w:tc>
          <w:tcPr>
            <w:tcW w:type="dxa" w:w="15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Pending</w:t>
            </w:r>
          </w:p>
        </w:tc>
        <w:tc>
          <w:tcPr>
            <w:tcW w:type="dxa" w:w="230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CISO</w:t>
            </w:r>
          </w:p>
        </w:tc>
        <w:tc>
          <w:tcPr>
            <w:tcW w:type="dxa" w:w="4460"/>
            <w:tcBorders>
              <w:top w:val="single" w:color="CCCCCC" w:sz="4"/>
              <w:left w:val="single" w:color="CCCCCC" w:sz="4"/>
              <w:bottom w:val="single" w:color="CCCCCC" w:sz="4"/>
              <w:right w:val="single" w:color="CCCCCC" w:sz="4"/>
            </w:tcBorders>
            <w:shd w:fill="F2F7FB" w:color="auto" w:val="clear"/>
            <w:tcMar>
              <w:top w:type="dxa" w:w="80"/>
              <w:left w:type="dxa" w:w="120"/>
              <w:bottom w:type="dxa" w:w="80"/>
              <w:right w:type="dxa" w:w="120"/>
            </w:tcMar>
          </w:tcPr>
          <w:p>
            <w:pPr>
              <w:spacing w:after="40"/>
            </w:pPr>
            <w:r>
              <w:rPr>
                <w:rFonts w:ascii="Arial" w:cs="Arial" w:eastAsia="Arial" w:hAnsi="Arial"/>
                <w:b w:val="false"/>
                <w:bCs w:val="false"/>
                <w:sz w:val="20"/>
                <w:szCs w:val="20"/>
              </w:rPr>
              <w:t xml:space="preserve">Approval and publication.</w:t>
            </w:r>
          </w:p>
        </w:tc>
      </w:tr>
    </w:tbl>
    <w:p>
      <w:pPr>
        <w:spacing w:after="160"/>
      </w:pPr>
    </w:p>
    <w:p>
      <w:r>
        <w:br w:type="page"/>
      </w:r>
    </w:p>
    <w:p>
      <w:pPr>
        <w:pStyle w:val="Heading1"/>
        <w:keepNext/>
      </w:pPr>
      <w:r>
        <w:rPr>
          <w:rFonts w:ascii="Arial" w:cs="Arial" w:eastAsia="Arial" w:hAnsi="Arial"/>
        </w:rPr>
        <w:t xml:space="preserve">1. Program Overview</w:t>
      </w:r>
    </w:p>
    <w:p>
      <w:pPr>
        <w:pStyle w:val="Heading2"/>
        <w:keepNext/>
      </w:pPr>
      <w:r>
        <w:rPr>
          <w:rFonts w:ascii="Arial" w:cs="Arial" w:eastAsia="Arial" w:hAnsi="Arial"/>
        </w:rPr>
        <w:t xml:space="preserve">1.1 Purpose</w:t>
      </w:r>
    </w:p>
    <w:p>
      <w:pPr>
        <w:spacing w:after="120"/>
      </w:pPr>
      <w:r>
        <w:rPr>
          <w:rFonts w:ascii="Arial" w:cs="Arial" w:eastAsia="Arial" w:hAnsi="Arial"/>
          <w:sz w:val="20"/>
          <w:szCs w:val="20"/>
        </w:rPr>
        <w:t xml:space="preserve">This plan sets out a role-based Security Awareness Program for NexusGuard Technologies Ltd. ("NexusGuard") for the 2026 fiscal year. Its purpose is to change what people do, not just what they know: fewer clicks on phishing, fewer stolen credentials, faster reporting, and careful handling of the PHI, payment card data and personal data that clients trust NexusGuard with.</w:t>
      </w:r>
    </w:p>
    <w:p>
      <w:pPr>
        <w:pStyle w:val="Heading2"/>
        <w:keepNext/>
      </w:pPr>
      <w:r>
        <w:rPr>
          <w:rFonts w:ascii="Arial" w:cs="Arial" w:eastAsia="Arial" w:hAnsi="Arial"/>
        </w:rPr>
        <w:t xml:space="preserve">1.2 Why Now</w:t>
      </w:r>
    </w:p>
    <w:p>
      <w:pPr>
        <w:pStyle w:val="ListParagraph"/>
        <w:numPr>
          <w:ilvl w:val="0"/>
          <w:numId w:val="2"/>
        </w:numPr>
        <w:spacing w:after="60"/>
      </w:pPr>
      <w:r>
        <w:rPr>
          <w:rFonts w:ascii="Arial" w:cs="Arial" w:eastAsia="Arial" w:hAnsi="Arial"/>
          <w:b/>
          <w:bCs/>
          <w:sz w:val="20"/>
          <w:szCs w:val="20"/>
        </w:rPr>
        <w:t xml:space="preserve">The simulation results are poor.</w:t>
      </w:r>
      <w:r>
        <w:rPr>
          <w:rFonts w:ascii="Arial" w:cs="Arial" w:eastAsia="Arial" w:hAnsi="Arial"/>
          <w:sz w:val="20"/>
          <w:szCs w:val="20"/>
        </w:rPr>
        <w:t xml:space="preserve"> In the recent internal phishing simulation, </w:t>
      </w:r>
      <w:r>
        <w:rPr>
          <w:rFonts w:ascii="Arial" w:cs="Arial" w:eastAsia="Arial" w:hAnsi="Arial"/>
          <w:b/>
          <w:bCs/>
          <w:sz w:val="20"/>
          <w:szCs w:val="20"/>
        </w:rPr>
        <w:t xml:space="preserve">34%</w:t>
      </w:r>
      <w:r>
        <w:rPr>
          <w:rFonts w:ascii="Arial" w:cs="Arial" w:eastAsia="Arial" w:hAnsi="Arial"/>
          <w:sz w:val="20"/>
          <w:szCs w:val="20"/>
        </w:rPr>
        <w:t xml:space="preserve"> of employees clicked the link and </w:t>
      </w:r>
      <w:r>
        <w:rPr>
          <w:rFonts w:ascii="Arial" w:cs="Arial" w:eastAsia="Arial" w:hAnsi="Arial"/>
          <w:b/>
          <w:bCs/>
          <w:sz w:val="20"/>
          <w:szCs w:val="20"/>
        </w:rPr>
        <w:t xml:space="preserve">18%</w:t>
      </w:r>
      <w:r>
        <w:rPr>
          <w:rFonts w:ascii="Arial" w:cs="Arial" w:eastAsia="Arial" w:hAnsi="Arial"/>
          <w:sz w:val="20"/>
          <w:szCs w:val="20"/>
        </w:rPr>
        <w:t xml:space="preserve"> went on to enter their credentials. A stolen password is often all an attacker needs.</w:t>
      </w:r>
    </w:p>
    <w:p>
      <w:pPr>
        <w:pStyle w:val="ListParagraph"/>
        <w:numPr>
          <w:ilvl w:val="0"/>
          <w:numId w:val="2"/>
        </w:numPr>
        <w:spacing w:after="60"/>
      </w:pPr>
      <w:r>
        <w:rPr>
          <w:rFonts w:ascii="Arial" w:cs="Arial" w:eastAsia="Arial" w:hAnsi="Arial"/>
          <w:b/>
          <w:bCs/>
          <w:sz w:val="20"/>
          <w:szCs w:val="20"/>
        </w:rPr>
        <w:t xml:space="preserve">Training has lapsed.</w:t>
      </w:r>
      <w:r>
        <w:rPr>
          <w:rFonts w:ascii="Arial" w:cs="Arial" w:eastAsia="Arial" w:hAnsi="Arial"/>
          <w:sz w:val="20"/>
          <w:szCs w:val="20"/>
        </w:rPr>
        <w:t xml:space="preserve"> The last awareness training was </w:t>
      </w:r>
      <w:r>
        <w:rPr>
          <w:rFonts w:ascii="Arial" w:cs="Arial" w:eastAsia="Arial" w:hAnsi="Arial"/>
          <w:b/>
          <w:bCs/>
          <w:sz w:val="20"/>
          <w:szCs w:val="20"/>
        </w:rPr>
        <w:t xml:space="preserve">22 months ago</w:t>
      </w:r>
      <w:r>
        <w:rPr>
          <w:rFonts w:ascii="Arial" w:cs="Arial" w:eastAsia="Arial" w:hAnsi="Arial"/>
          <w:sz w:val="20"/>
          <w:szCs w:val="20"/>
        </w:rPr>
        <w:t xml:space="preserve"> and used generic, outdated slides. It did not cover cloud tools, remote work, AI tools or the current phishing tricks.</w:t>
      </w:r>
    </w:p>
    <w:p>
      <w:pPr>
        <w:pStyle w:val="ListParagraph"/>
        <w:numPr>
          <w:ilvl w:val="0"/>
          <w:numId w:val="2"/>
        </w:numPr>
        <w:spacing w:after="60"/>
      </w:pPr>
      <w:r>
        <w:rPr>
          <w:rFonts w:ascii="Arial" w:cs="Arial" w:eastAsia="Arial" w:hAnsi="Arial"/>
          <w:b/>
          <w:bCs/>
          <w:sz w:val="20"/>
          <w:szCs w:val="20"/>
        </w:rPr>
        <w:t xml:space="preserve">The stakes are high.</w:t>
      </w:r>
      <w:r>
        <w:rPr>
          <w:rFonts w:ascii="Arial" w:cs="Arial" w:eastAsia="Arial" w:hAnsi="Arial"/>
          <w:sz w:val="20"/>
          <w:szCs w:val="20"/>
        </w:rPr>
        <w:t xml:space="preserve"> NexusGuard handles regulated data under HIPAA, PCI DSS and GDPR, and clients and auditors expect a documented, current program.</w:t>
      </w:r>
    </w:p>
    <w:p>
      <w:pPr>
        <w:pStyle w:val="ListParagraph"/>
        <w:numPr>
          <w:ilvl w:val="0"/>
          <w:numId w:val="2"/>
        </w:numPr>
        <w:spacing w:after="60"/>
      </w:pPr>
      <w:r>
        <w:rPr>
          <w:rFonts w:ascii="Arial" w:cs="Arial" w:eastAsia="Arial" w:hAnsi="Arial"/>
          <w:b/>
          <w:bCs/>
          <w:sz w:val="20"/>
          <w:szCs w:val="20"/>
        </w:rPr>
        <w:t xml:space="preserve">The rules have changed.</w:t>
      </w:r>
      <w:r>
        <w:rPr>
          <w:rFonts w:ascii="Arial" w:cs="Arial" w:eastAsia="Arial" w:hAnsi="Arial"/>
          <w:sz w:val="20"/>
          <w:szCs w:val="20"/>
        </w:rPr>
        <w:t xml:space="preserve"> New policies on acceptable use, access control and data classification need to be explained so that staff can follow them.</w:t>
      </w:r>
    </w:p>
    <w:p>
      <w:pPr>
        <w:pStyle w:val="Heading2"/>
        <w:keepNext/>
      </w:pPr>
      <w:r>
        <w:rPr>
          <w:rFonts w:ascii="Arial" w:cs="Arial" w:eastAsia="Arial" w:hAnsi="Arial"/>
        </w:rPr>
        <w:t xml:space="preserve">1.3 Scope and Audience</w:t>
      </w:r>
    </w:p>
    <w:p>
      <w:pPr>
        <w:spacing w:after="120"/>
      </w:pPr>
      <w:r>
        <w:rPr>
          <w:rFonts w:ascii="Arial" w:cs="Arial" w:eastAsia="Arial" w:hAnsi="Arial"/>
          <w:sz w:val="20"/>
          <w:szCs w:val="20"/>
        </w:rPr>
        <w:t xml:space="preserve">The program covers all 450 employees, plus contractors and temporary staff with access to NexusGuard systems, in four segments: General Staff (320), IT and Technical Staff (65), Management and Executives (35) and Customer-Facing Teams (30). Every employee takes the core modules, and each specialist segment adds its own track.</w:t>
      </w:r>
    </w:p>
    <w:p>
      <w:pPr>
        <w:pStyle w:val="Heading2"/>
        <w:keepNext/>
      </w:pPr>
      <w:r>
        <w:rPr>
          <w:rFonts w:ascii="Arial" w:cs="Arial" w:eastAsia="Arial" w:hAnsi="Arial"/>
        </w:rPr>
        <w:t xml:space="preserve">1.4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cantSplit/>
          <w:tblHeader/>
        </w:trPr>
        <w:tc>
          <w:tcPr>
            <w:tcW w:type="dxa" w:w="2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Role</w:t>
            </w:r>
          </w:p>
        </w:tc>
        <w:tc>
          <w:tcPr>
            <w:tcW w:type="dxa" w:w="64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Responsibility</w:t>
            </w:r>
          </w:p>
        </w:tc>
      </w:tr>
      <w:tr>
        <w:trPr>
          <w:cantSplit/>
        </w:trPr>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CISO (program sponsor)</w:t>
            </w:r>
          </w:p>
        </w:tc>
        <w:tc>
          <w:tcPr>
            <w:tcW w:type="dxa" w:w="6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Owns the program, approves the plan and budget, and reports results to the ISSC and the Board.</w:t>
            </w:r>
          </w:p>
        </w:tc>
      </w:tr>
      <w:tr>
        <w:trPr>
          <w:cantSplit/>
        </w:trPr>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GRC Analyst (program manager)</w:t>
            </w:r>
          </w:p>
        </w:tc>
        <w:tc>
          <w:tcPr>
            <w:tcW w:type="dxa" w:w="6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Runs the calendar, content, measurement and reporting; keeps evidence for audits.</w:t>
            </w:r>
          </w:p>
        </w:tc>
      </w:tr>
      <w:tr>
        <w:trPr>
          <w:cantSplit/>
        </w:trPr>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HR Department</w:t>
            </w:r>
          </w:p>
        </w:tc>
        <w:tc>
          <w:tcPr>
            <w:tcW w:type="dxa" w:w="6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Operates the learning management system (LMS), assigns courses, tracks completion and escalates non-completion.</w:t>
            </w:r>
          </w:p>
        </w:tc>
      </w:tr>
      <w:tr>
        <w:trPr>
          <w:cantSplit/>
        </w:trPr>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IT Security Manager</w:t>
            </w:r>
          </w:p>
        </w:tc>
        <w:tc>
          <w:tcPr>
            <w:tcW w:type="dxa" w:w="6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Runs phishing and vishing simulations and technical content for IT staff.</w:t>
            </w:r>
          </w:p>
        </w:tc>
      </w:tr>
      <w:tr>
        <w:trPr>
          <w:cantSplit/>
        </w:trPr>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DPO and Compliance Officer</w:t>
            </w:r>
          </w:p>
        </w:tc>
        <w:tc>
          <w:tcPr>
            <w:tcW w:type="dxa" w:w="6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Own the privacy and regulatory content and check it for accuracy.</w:t>
            </w:r>
          </w:p>
        </w:tc>
      </w:tr>
      <w:tr>
        <w:trPr>
          <w:cantSplit/>
        </w:trPr>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Line managers</w:t>
            </w:r>
          </w:p>
        </w:tc>
        <w:tc>
          <w:tcPr>
            <w:tcW w:type="dxa" w:w="6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Make time for training, follow up on late completion and reinforce the messages.</w:t>
            </w:r>
          </w:p>
        </w:tc>
      </w:tr>
      <w:tr>
        <w:trPr>
          <w:cantSplit/>
        </w:trPr>
        <w:tc>
          <w:tcPr>
            <w:tcW w:type="dxa" w:w="2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Security champions</w:t>
            </w:r>
          </w:p>
        </w:tc>
        <w:tc>
          <w:tcPr>
            <w:tcW w:type="dxa" w:w="64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One volunteer per team who promotes the program and gives feedback.</w:t>
            </w:r>
          </w:p>
        </w:tc>
      </w:tr>
      <w:tr>
        <w:trPr>
          <w:cantSplit/>
        </w:trPr>
        <w:tc>
          <w:tcPr>
            <w:tcW w:type="dxa" w:w="2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Communications</w:t>
            </w:r>
          </w:p>
        </w:tc>
        <w:tc>
          <w:tcPr>
            <w:tcW w:type="dxa" w:w="64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Designs and sends campaign materials.</w:t>
            </w:r>
          </w:p>
        </w:tc>
      </w:tr>
    </w:tbl>
    <w:p>
      <w:pPr>
        <w:spacing w:after="160"/>
      </w:pPr>
    </w:p>
    <w:p>
      <w:pPr>
        <w:pStyle w:val="Heading1"/>
        <w:keepNext/>
      </w:pPr>
      <w:r>
        <w:rPr>
          <w:rFonts w:ascii="Arial" w:cs="Arial" w:eastAsia="Arial" w:hAnsi="Arial"/>
        </w:rPr>
        <w:t xml:space="preserve">2. Program Objectives</w:t>
      </w:r>
    </w:p>
    <w:p>
      <w:pPr>
        <w:spacing w:after="120"/>
      </w:pPr>
      <w:r>
        <w:rPr>
          <w:rFonts w:ascii="Arial" w:cs="Arial" w:eastAsia="Arial" w:hAnsi="Arial"/>
          <w:sz w:val="20"/>
          <w:szCs w:val="20"/>
        </w:rPr>
        <w:t xml:space="preserve">The program has seven objectives. Each is specific and measurable, with a baseline and a year-end target.</w:t>
      </w:r>
    </w:p>
    <w:p>
      <w:pPr>
        <w:keepNext/>
        <w:spacing w:after="80" w:before="120"/>
      </w:pPr>
      <w:r>
        <w:rPr>
          <w:rFonts w:ascii="Arial" w:cs="Arial" w:eastAsia="Arial" w:hAnsi="Arial"/>
          <w:b/>
          <w:bCs/>
          <w:color w:val="1B4F72"/>
          <w:sz w:val="18"/>
          <w:szCs w:val="18"/>
        </w:rPr>
        <w:t xml:space="preserve">Table 1: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
        <w:gridCol w:w="3000"/>
        <w:gridCol w:w="1500"/>
        <w:gridCol w:w="3410"/>
        <w:gridCol w:w="1000"/>
      </w:tblGrid>
      <w:tr>
        <w:trPr>
          <w:cantSplit/>
          <w:tblHeader/>
        </w:trPr>
        <w:tc>
          <w:tcPr>
            <w:tcW w:type="dxa" w:w="4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t>
            </w:r>
          </w:p>
        </w:tc>
        <w:tc>
          <w:tcPr>
            <w:tcW w:type="dxa" w:w="3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Objective</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Baseline</w:t>
            </w:r>
          </w:p>
        </w:tc>
        <w:tc>
          <w:tcPr>
            <w:tcW w:type="dxa" w:w="341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Target</w:t>
            </w:r>
          </w:p>
        </w:tc>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By</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Reduce the phishing click rate</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34%</w:t>
            </w:r>
          </w:p>
        </w:tc>
        <w:tc>
          <w:tcPr>
            <w:tcW w:type="dxa" w:w="34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14% or less by June; 5% or less by December</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Dec 2026</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Reduce credential entry in simulations</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18%</w:t>
            </w:r>
          </w:p>
        </w:tc>
        <w:tc>
          <w:tcPr>
            <w:tcW w:type="dxa" w:w="34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5% or less by June; 1% or less by December</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Dec 2026</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Make reporting the habit</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 measured</w:t>
            </w:r>
          </w:p>
        </w:tc>
        <w:tc>
          <w:tcPr>
            <w:tcW w:type="dxa" w:w="34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Report rate 45% by June; 70% by December; median time to report 30 minutes or less</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Dec 2026</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4</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Complete assigned training on time</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 current program</w:t>
            </w:r>
          </w:p>
        </w:tc>
        <w:tc>
          <w:tcPr>
            <w:tcW w:type="dxa" w:w="34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95% each month; 98% annual completion</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Dec 2026</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5</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Build real knowledge</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Not measured</w:t>
            </w:r>
          </w:p>
        </w:tc>
        <w:tc>
          <w:tcPr>
            <w:tcW w:type="dxa" w:w="34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Average quiz score of 85% or more; annual assessment pass rate of 95%</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Oct 2026</w:t>
            </w:r>
          </w:p>
        </w:tc>
      </w:tr>
      <w:tr>
        <w:trPr>
          <w:cantSplit/>
        </w:trPr>
        <w:tc>
          <w:tcPr>
            <w:tcW w:type="dxa" w:w="4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w:t>
            </w:r>
          </w:p>
        </w:tc>
        <w:tc>
          <w:tcPr>
            <w:tcW w:type="dxa" w:w="3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Train every new joiner early</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Not measured</w:t>
            </w:r>
          </w:p>
        </w:tc>
        <w:tc>
          <w:tcPr>
            <w:tcW w:type="dxa" w:w="341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100% within 30 days and before access to Confidential or Restricted data</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From Jan 2026</w:t>
            </w:r>
          </w:p>
        </w:tc>
      </w:tr>
      <w:tr>
        <w:trPr>
          <w:cantSplit/>
        </w:trPr>
        <w:tc>
          <w:tcPr>
            <w:tcW w:type="dxa" w:w="4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7</w:t>
            </w:r>
          </w:p>
        </w:tc>
        <w:tc>
          <w:tcPr>
            <w:tcW w:type="dxa" w:w="3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Meet audit and regulatory requirements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Gaps in evidence</w:t>
            </w:r>
          </w:p>
        </w:tc>
        <w:tc>
          <w:tcPr>
            <w:tcW w:type="dxa" w:w="341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100% of required records kept; annual program review done (PCI DSS 12.6.2)</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Dec 2026</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2.1</w:t>
      </w:r>
      <w:r>
        <w:rPr>
          <w:rFonts w:ascii="Arial" w:cs="Arial" w:eastAsia="Arial" w:hAnsi="Arial"/>
        </w:rPr>
        <w:t xml:space="preserve">	</w:t>
      </w:r>
      <w:r>
        <w:rPr>
          <w:rFonts w:ascii="Arial" w:cs="Arial" w:eastAsia="Arial" w:hAnsi="Arial"/>
          <w:sz w:val="20"/>
          <w:szCs w:val="20"/>
        </w:rPr>
        <w:t xml:space="preserve">Targets are proposals for approval. They align with the security objectives in Table 1 of the Information Security Policy (click rate 5% or less, report rate 70% or more, 98% training completion).</w:t>
      </w:r>
    </w:p>
    <w:p>
      <w:pPr>
        <w:pStyle w:val="Heading1"/>
        <w:keepNext/>
      </w:pPr>
      <w:r>
        <w:rPr>
          <w:rFonts w:ascii="Arial" w:cs="Arial" w:eastAsia="Arial" w:hAnsi="Arial"/>
        </w:rPr>
        <w:t xml:space="preserve">3. Target Audience Analysis</w:t>
      </w:r>
    </w:p>
    <w:p>
      <w:pPr>
        <w:spacing w:after="120"/>
      </w:pPr>
      <w:r>
        <w:rPr>
          <w:rFonts w:ascii="Arial" w:cs="Arial" w:eastAsia="Arial" w:hAnsi="Arial"/>
          <w:sz w:val="20"/>
          <w:szCs w:val="20"/>
        </w:rPr>
        <w:t xml:space="preserve">The four segments differ in size, in the data they touch and in the attacks aimed at them, so one course cannot fit all of them. The 34% and 18% results are organization-wide. Segment-level results shall be taken from the simulation platform in the first month, to confirm the priorities below.</w:t>
      </w:r>
    </w:p>
    <w:p>
      <w:pPr>
        <w:keepNext/>
        <w:spacing w:after="80" w:before="120"/>
      </w:pPr>
      <w:r>
        <w:rPr>
          <w:rFonts w:ascii="Arial" w:cs="Arial" w:eastAsia="Arial" w:hAnsi="Arial"/>
          <w:b/>
          <w:bCs/>
          <w:color w:val="1B4F72"/>
          <w:sz w:val="18"/>
          <w:szCs w:val="18"/>
        </w:rPr>
        <w:t xml:space="preserve">Table 2: Audience Segments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800"/>
        <w:gridCol w:w="1700"/>
        <w:gridCol w:w="1850"/>
        <w:gridCol w:w="1900"/>
        <w:gridCol w:w="1760"/>
      </w:tblGrid>
      <w:tr>
        <w:trPr>
          <w:cantSplit/>
          <w:tblHeader/>
        </w:trPr>
        <w:tc>
          <w:tcPr>
            <w:tcW w:type="dxa" w:w="13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Segment</w:t>
            </w:r>
          </w:p>
        </w:tc>
        <w:tc>
          <w:tcPr>
            <w:tcW w:type="dxa" w:w="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Size</w:t>
            </w:r>
          </w:p>
        </w:tc>
        <w:tc>
          <w:tcPr>
            <w:tcW w:type="dxa" w:w="1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Data and systems touched</w:t>
            </w:r>
          </w:p>
        </w:tc>
        <w:tc>
          <w:tcPr>
            <w:tcW w:type="dxa" w:w="185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Main threats</w:t>
            </w:r>
          </w:p>
        </w:tc>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Learning needs</w:t>
            </w:r>
          </w:p>
        </w:tc>
        <w:tc>
          <w:tcPr>
            <w:tcW w:type="dxa" w:w="17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Best approach</w:t>
            </w:r>
          </w:p>
        </w:tc>
      </w:tr>
      <w:tr>
        <w:trPr>
          <w:cantSplit/>
        </w:trPr>
        <w:tc>
          <w:tcPr>
            <w:tcW w:type="dxa" w:w="1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General Staff</w:t>
            </w:r>
          </w:p>
        </w:tc>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320 (71%)</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Email, shared files, internal systems, some Confidential data</w:t>
            </w:r>
          </w:p>
        </w:tc>
        <w:tc>
          <w:tcPr>
            <w:tcW w:type="dxa" w:w="18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Phishing, credential theft, weak passwords, tailgating, unsafe remote work</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Basic habits: spot, stop, report; passwords and MFA; physical security</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Short e-learning, frequent micro-lessons, simulations, campaigns</w:t>
            </w:r>
          </w:p>
        </w:tc>
      </w:tr>
      <w:tr>
        <w:trPr>
          <w:cantSplit/>
        </w:trPr>
        <w:tc>
          <w:tcPr>
            <w:tcW w:type="dxa" w:w="1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IT and Technical Staff</w:t>
            </w:r>
          </w:p>
        </w:tc>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65 (14%)</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Source code, servers, cloud, privileged accounts, production access</w:t>
            </w:r>
          </w:p>
        </w:tc>
        <w:tc>
          <w:tcPr>
            <w:tcW w:type="dxa" w:w="18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Credential theft for admin access, secrets in code, unpatched systems, insecure configuration</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Secure coding, vulnerability management, incident response, privileged access hygiene</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Hands-on workshops, labs, tabletop exercises</w:t>
            </w:r>
          </w:p>
        </w:tc>
      </w:tr>
      <w:tr>
        <w:trPr>
          <w:cantSplit/>
        </w:trPr>
        <w:tc>
          <w:tcPr>
            <w:tcW w:type="dxa" w:w="13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Management and Executives</w:t>
            </w:r>
          </w:p>
        </w:tc>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35 (8%)</w:t>
            </w:r>
          </w:p>
        </w:tc>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Strategy, financial approvals, regulated data decisions</w:t>
            </w:r>
          </w:p>
        </w:tc>
        <w:tc>
          <w:tcPr>
            <w:tcW w:type="dxa" w:w="185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Business email compromise, whaling, impersonation, regulatory exposure</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BEC and social engineering, data governance, regulatory duties</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Short live briefings, executive tabletop, quarterly updates</w:t>
            </w:r>
          </w:p>
        </w:tc>
      </w:tr>
      <w:tr>
        <w:trPr>
          <w:cantSplit/>
        </w:trPr>
        <w:tc>
          <w:tcPr>
            <w:tcW w:type="dxa" w:w="13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Customer-Facing Teams</w:t>
            </w:r>
          </w:p>
        </w:tc>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30 (7%)</w:t>
            </w:r>
          </w:p>
        </w:tc>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Client PHI and personal data, support systems, customer contacts</w:t>
            </w:r>
          </w:p>
        </w:tc>
        <w:tc>
          <w:tcPr>
            <w:tcW w:type="dxa" w:w="185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Pretexting and vishing from callers, data requests, mishandling of PHI</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Data handling, HIPAA and GDPR, verifying who is asking</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Role-play, case studies, call-back procedure practice</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3.1</w:t>
      </w:r>
      <w:r>
        <w:rPr>
          <w:rFonts w:ascii="Arial" w:cs="Arial" w:eastAsia="Arial" w:hAnsi="Arial"/>
        </w:rPr>
        <w:t xml:space="preserve">	</w:t>
      </w:r>
      <w:r>
        <w:rPr>
          <w:rFonts w:ascii="Arial" w:cs="Arial" w:eastAsia="Arial" w:hAnsi="Arial"/>
          <w:b/>
          <w:bCs/>
          <w:sz w:val="20"/>
          <w:szCs w:val="20"/>
        </w:rPr>
        <w:t xml:space="preserve">Priority.</w:t>
      </w:r>
      <w:r>
        <w:rPr>
          <w:rFonts w:ascii="Arial" w:cs="Arial" w:eastAsia="Arial" w:hAnsi="Arial"/>
          <w:sz w:val="20"/>
          <w:szCs w:val="20"/>
        </w:rPr>
        <w:t xml:space="preserve"> General Staff are the largest group and the main source of the click rate, so they get the most frequent contact. Management and Customer-Facing Teams are small but face targeted attacks with high impact, so they get tailored sessions. IT staff hold the most powerful access, so a compromised IT account does the most damage, and they get the deepest technical training.</w:t>
      </w:r>
    </w:p>
    <w:p>
      <w:pPr>
        <w:tabs>
          <w:tab w:val="left" w:pos="720"/>
        </w:tabs>
        <w:spacing w:after="100"/>
        <w:ind w:left="720" w:hanging="720"/>
      </w:pPr>
      <w:r>
        <w:rPr>
          <w:rFonts w:ascii="Arial" w:cs="Arial" w:eastAsia="Arial" w:hAnsi="Arial"/>
          <w:b/>
          <w:bCs/>
          <w:color w:val="1B4F72"/>
          <w:sz w:val="20"/>
          <w:szCs w:val="20"/>
        </w:rPr>
        <w:t xml:space="preserve">3.2</w:t>
      </w:r>
      <w:r>
        <w:rPr>
          <w:rFonts w:ascii="Arial" w:cs="Arial" w:eastAsia="Arial" w:hAnsi="Arial"/>
        </w:rPr>
        <w:t xml:space="preserve">	</w:t>
      </w:r>
      <w:r>
        <w:rPr>
          <w:rFonts w:ascii="Arial" w:cs="Arial" w:eastAsia="Arial" w:hAnsi="Arial"/>
          <w:b/>
          <w:bCs/>
          <w:sz w:val="20"/>
          <w:szCs w:val="20"/>
        </w:rPr>
        <w:t xml:space="preserve">Constraints.</w:t>
      </w:r>
      <w:r>
        <w:rPr>
          <w:rFonts w:ascii="Arial" w:cs="Arial" w:eastAsia="Arial" w:hAnsi="Arial"/>
          <w:sz w:val="20"/>
          <w:szCs w:val="20"/>
        </w:rPr>
        <w:t xml:space="preserve"> Staff have limited time, so core modules are short (10 to 45 minutes). Hybrid and travelling staff need content that works on any device. Language versions shall be agreed with HR.</w:t>
      </w:r>
    </w:p>
    <w:p>
      <w:pPr>
        <w:pStyle w:val="Heading1"/>
        <w:keepNext/>
      </w:pPr>
      <w:r>
        <w:rPr>
          <w:rFonts w:ascii="Arial" w:cs="Arial" w:eastAsia="Arial" w:hAnsi="Arial"/>
        </w:rPr>
        <w:t xml:space="preserve">4. Training Tracks</w:t>
      </w:r>
    </w:p>
    <w:p>
      <w:pPr>
        <w:spacing w:after="120"/>
      </w:pPr>
      <w:r>
        <w:rPr>
          <w:rFonts w:ascii="Arial" w:cs="Arial" w:eastAsia="Arial" w:hAnsi="Arial"/>
          <w:sz w:val="20"/>
          <w:szCs w:val="20"/>
        </w:rPr>
        <w:t xml:space="preserve">Every employee completes the core modules (3.9 hours a year). Each specialist track adds its own modules. The pass mark for every quiz is 80%, with two retakes, then a coaching conversation.</w:t>
      </w:r>
    </w:p>
    <w:p>
      <w:pPr>
        <w:pStyle w:val="Heading2"/>
        <w:keepNext/>
      </w:pPr>
      <w:r>
        <w:rPr>
          <w:rFonts w:ascii="Arial" w:cs="Arial" w:eastAsia="Arial" w:hAnsi="Arial"/>
        </w:rPr>
        <w:t xml:space="preserve">4.1 Core Track (all 450 staff)</w:t>
      </w:r>
    </w:p>
    <w:p>
      <w:pPr>
        <w:spacing w:after="120"/>
      </w:pPr>
      <w:r>
        <w:rPr>
          <w:rFonts w:ascii="Arial" w:cs="Arial" w:eastAsia="Arial" w:hAnsi="Arial"/>
          <w:b/>
          <w:bCs/>
          <w:sz w:val="20"/>
          <w:szCs w:val="20"/>
        </w:rPr>
        <w:t xml:space="preserve">Aim:</w:t>
      </w:r>
      <w:r>
        <w:rPr>
          <w:rFonts w:ascii="Arial" w:cs="Arial" w:eastAsia="Arial" w:hAnsi="Arial"/>
          <w:sz w:val="20"/>
          <w:szCs w:val="20"/>
        </w:rPr>
        <w:t xml:space="preserve"> build everyday security habits and explain the new policies. Covers basic hygiene, phishing recognition, password management and physical security, plus data handling, remote work, reporting and safe use of tools and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2000"/>
        <w:gridCol w:w="900"/>
        <w:gridCol w:w="1360"/>
      </w:tblGrid>
      <w:tr>
        <w:trPr>
          <w:cantSplit/>
          <w:tblHeader/>
        </w:trPr>
        <w:tc>
          <w:tcPr>
            <w:tcW w:type="dxa" w:w="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Code</w:t>
            </w:r>
          </w:p>
        </w:tc>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Module</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Format</w:t>
            </w:r>
          </w:p>
        </w:tc>
        <w:tc>
          <w:tcPr>
            <w:tcW w:type="dxa" w:w="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Minutes</w:t>
            </w:r>
          </w:p>
        </w:tc>
        <w:tc>
          <w:tcPr>
            <w:tcW w:type="dxa" w:w="1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When</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GS-1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Security essentials and policies</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45</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Jan</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GS-2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Passwords, MFA and password managers</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20</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Jan</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GS-3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Phishing and social engineering</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 with simulation</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30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Feb</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GS-4</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Social engineering and impersonation</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15</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Mar</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GS-5</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Data classification and handling</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20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Apr</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GS-6</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Working securely anywhere (remote, mobile, travel)</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20</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May</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GS-7</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Physical security and clean desk</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15</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Jul</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GS-8</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Incident reporting</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10</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Aug</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GS-9</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Approved tools and safe AI use</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20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Sep</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GS-10</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Annual knowledge assessment (20 questions)</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Online assessment</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20</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Oct</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GS-11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Compliance refresher (HIPAA, PCI DSS, GDPR)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20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Nov</w:t>
            </w:r>
          </w:p>
        </w:tc>
      </w:tr>
    </w:tbl>
    <w:p>
      <w:pPr>
        <w:spacing w:after="160"/>
      </w:pPr>
    </w:p>
    <w:p>
      <w:pPr>
        <w:pStyle w:val="Heading2"/>
        <w:keepNext/>
      </w:pPr>
      <w:r>
        <w:rPr>
          <w:rFonts w:ascii="Arial" w:cs="Arial" w:eastAsia="Arial" w:hAnsi="Arial"/>
        </w:rPr>
        <w:t xml:space="preserve">4.2 IT and Technical Track (65 staff)</w:t>
      </w:r>
    </w:p>
    <w:p>
      <w:pPr>
        <w:spacing w:after="120"/>
      </w:pPr>
      <w:r>
        <w:rPr>
          <w:rFonts w:ascii="Arial" w:cs="Arial" w:eastAsia="Arial" w:hAnsi="Arial"/>
          <w:b/>
          <w:bCs/>
          <w:sz w:val="20"/>
          <w:szCs w:val="20"/>
        </w:rPr>
        <w:t xml:space="preserve">Aim:</w:t>
      </w:r>
      <w:r>
        <w:rPr>
          <w:rFonts w:ascii="Arial" w:cs="Arial" w:eastAsia="Arial" w:hAnsi="Arial"/>
          <w:sz w:val="20"/>
          <w:szCs w:val="20"/>
        </w:rPr>
        <w:t xml:space="preserve"> reduce technical risk in code, systems and privileged access. </w:t>
      </w:r>
      <w:r>
        <w:rPr>
          <w:rFonts w:ascii="Arial" w:cs="Arial" w:eastAsia="Arial" w:hAnsi="Arial"/>
          <w:b/>
          <w:bCs/>
          <w:sz w:val="20"/>
          <w:szCs w:val="20"/>
        </w:rPr>
        <w:t xml:space="preserve">Specialist time:</w:t>
      </w:r>
      <w:r>
        <w:rPr>
          <w:rFonts w:ascii="Arial" w:cs="Arial" w:eastAsia="Arial" w:hAnsi="Arial"/>
          <w:sz w:val="20"/>
          <w:szCs w:val="20"/>
        </w:rPr>
        <w:t xml:space="preserve"> 12.5 hours a year (including one optional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2000"/>
        <w:gridCol w:w="900"/>
        <w:gridCol w:w="1360"/>
      </w:tblGrid>
      <w:tr>
        <w:trPr>
          <w:cantSplit/>
          <w:tblHeader/>
        </w:trPr>
        <w:tc>
          <w:tcPr>
            <w:tcW w:type="dxa" w:w="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Code</w:t>
            </w:r>
          </w:p>
        </w:tc>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Module</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Format</w:t>
            </w:r>
          </w:p>
        </w:tc>
        <w:tc>
          <w:tcPr>
            <w:tcW w:type="dxa" w:w="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Minutes</w:t>
            </w:r>
          </w:p>
        </w:tc>
        <w:tc>
          <w:tcPr>
            <w:tcW w:type="dxa" w:w="1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When</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IT-1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Secure coding workshop (OWASP Top 10, secrets, dependencies)</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Classroom and labs</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240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Jun</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IT-2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Vulnerability management and patch SLAs</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Classroom</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90</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Jun</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IT-3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Privileged access security</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Classroom or e-learning</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90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Jan</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IT-4</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Incident response tabletop</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Tabletop exercise</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120</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Aug</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IT-5</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Cloud security configuration</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Classroom</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90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Sep</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IT-6</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Capture-the-flag challenge (optional)</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Hands-on lab</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120</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Oct</w:t>
            </w:r>
          </w:p>
        </w:tc>
      </w:tr>
    </w:tbl>
    <w:p>
      <w:pPr>
        <w:spacing w:after="160"/>
      </w:pPr>
    </w:p>
    <w:p>
      <w:pPr>
        <w:pStyle w:val="Heading2"/>
        <w:keepNext/>
      </w:pPr>
      <w:r>
        <w:rPr>
          <w:rFonts w:ascii="Arial" w:cs="Arial" w:eastAsia="Arial" w:hAnsi="Arial"/>
        </w:rPr>
        <w:t xml:space="preserve">4.3 Management and Executive Track (35 staff)</w:t>
      </w:r>
    </w:p>
    <w:p>
      <w:pPr>
        <w:spacing w:after="120"/>
      </w:pPr>
      <w:r>
        <w:rPr>
          <w:rFonts w:ascii="Arial" w:cs="Arial" w:eastAsia="Arial" w:hAnsi="Arial"/>
          <w:b/>
          <w:bCs/>
          <w:sz w:val="20"/>
          <w:szCs w:val="20"/>
        </w:rPr>
        <w:t xml:space="preserve">Aim:</w:t>
      </w:r>
      <w:r>
        <w:rPr>
          <w:rFonts w:ascii="Arial" w:cs="Arial" w:eastAsia="Arial" w:hAnsi="Arial"/>
          <w:sz w:val="20"/>
          <w:szCs w:val="20"/>
        </w:rPr>
        <w:t xml:space="preserve"> resist impersonation and payment fraud, govern data well, and understand personal regulatory duties. </w:t>
      </w:r>
      <w:r>
        <w:rPr>
          <w:rFonts w:ascii="Arial" w:cs="Arial" w:eastAsia="Arial" w:hAnsi="Arial"/>
          <w:b/>
          <w:bCs/>
          <w:sz w:val="20"/>
          <w:szCs w:val="20"/>
        </w:rPr>
        <w:t xml:space="preserve">Specialist time:</w:t>
      </w:r>
      <w:r>
        <w:rPr>
          <w:rFonts w:ascii="Arial" w:cs="Arial" w:eastAsia="Arial" w:hAnsi="Arial"/>
          <w:sz w:val="20"/>
          <w:szCs w:val="20"/>
        </w:rPr>
        <w:t xml:space="preserve"> 6.1 hours a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2000"/>
        <w:gridCol w:w="900"/>
        <w:gridCol w:w="1360"/>
      </w:tblGrid>
      <w:tr>
        <w:trPr>
          <w:cantSplit/>
          <w:tblHeader/>
        </w:trPr>
        <w:tc>
          <w:tcPr>
            <w:tcW w:type="dxa" w:w="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Code</w:t>
            </w:r>
          </w:p>
        </w:tc>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Module</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Format</w:t>
            </w:r>
          </w:p>
        </w:tc>
        <w:tc>
          <w:tcPr>
            <w:tcW w:type="dxa" w:w="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Minutes</w:t>
            </w:r>
          </w:p>
        </w:tc>
        <w:tc>
          <w:tcPr>
            <w:tcW w:type="dxa" w:w="1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When</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MG-1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Business email compromise and executive impersonation</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Live workshop</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60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Mar</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MG-2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Data governance and classification</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Briefing</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45</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Apr</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MG-3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Executive breach tabletop</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Tabletop exercise</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120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Aug</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MG-4</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Regulatory obligations (HIPAA, PCI DSS, GDPR, NCA ECC)</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Live briefing</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60</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Nov</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MG-5</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Quarterly security briefing (4 sessions of 20 min)</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Briefing</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80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Jan, Apr, Jul, Oct</w:t>
            </w:r>
          </w:p>
        </w:tc>
      </w:tr>
    </w:tbl>
    <w:p>
      <w:pPr>
        <w:spacing w:after="160"/>
      </w:pPr>
    </w:p>
    <w:p>
      <w:pPr>
        <w:pStyle w:val="Heading2"/>
        <w:keepNext/>
      </w:pPr>
      <w:r>
        <w:rPr>
          <w:rFonts w:ascii="Arial" w:cs="Arial" w:eastAsia="Arial" w:hAnsi="Arial"/>
        </w:rPr>
        <w:t xml:space="preserve">4.4 Customer-Facing Track (30 staff)</w:t>
      </w:r>
    </w:p>
    <w:p>
      <w:pPr>
        <w:spacing w:after="120"/>
      </w:pPr>
      <w:r>
        <w:rPr>
          <w:rFonts w:ascii="Arial" w:cs="Arial" w:eastAsia="Arial" w:hAnsi="Arial"/>
          <w:b/>
          <w:bCs/>
          <w:sz w:val="20"/>
          <w:szCs w:val="20"/>
        </w:rPr>
        <w:t xml:space="preserve">Aim:</w:t>
      </w:r>
      <w:r>
        <w:rPr>
          <w:rFonts w:ascii="Arial" w:cs="Arial" w:eastAsia="Arial" w:hAnsi="Arial"/>
          <w:sz w:val="20"/>
          <w:szCs w:val="20"/>
        </w:rPr>
        <w:t xml:space="preserve"> handle client and patient data correctly, apply HIPAA and GDPR rules, and resist social engineering from callers. </w:t>
      </w:r>
      <w:r>
        <w:rPr>
          <w:rFonts w:ascii="Arial" w:cs="Arial" w:eastAsia="Arial" w:hAnsi="Arial"/>
          <w:b/>
          <w:bCs/>
          <w:sz w:val="20"/>
          <w:szCs w:val="20"/>
        </w:rPr>
        <w:t xml:space="preserve">Specialist time:</w:t>
      </w:r>
      <w:r>
        <w:rPr>
          <w:rFonts w:ascii="Arial" w:cs="Arial" w:eastAsia="Arial" w:hAnsi="Arial"/>
          <w:sz w:val="20"/>
          <w:szCs w:val="20"/>
        </w:rPr>
        <w:t xml:space="preserve"> 2.7 hours a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300"/>
        <w:gridCol w:w="2000"/>
        <w:gridCol w:w="900"/>
        <w:gridCol w:w="1360"/>
      </w:tblGrid>
      <w:tr>
        <w:trPr>
          <w:cantSplit/>
          <w:tblHeader/>
        </w:trPr>
        <w:tc>
          <w:tcPr>
            <w:tcW w:type="dxa" w:w="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Code</w:t>
            </w:r>
          </w:p>
        </w:tc>
        <w:tc>
          <w:tcPr>
            <w:tcW w:type="dxa" w:w="4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Module</w:t>
            </w:r>
          </w:p>
        </w:tc>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Format</w:t>
            </w:r>
          </w:p>
        </w:tc>
        <w:tc>
          <w:tcPr>
            <w:tcW w:type="dxa" w:w="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Minutes</w:t>
            </w:r>
          </w:p>
        </w:tc>
        <w:tc>
          <w:tcPr>
            <w:tcW w:type="dxa" w:w="13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When</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CF-1</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Handling PHI and personal data (HIPAA, GDPR)</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Classroom with case studies</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60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Apr</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CF-2</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Social engineering from customers (vishing role-play)</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Role-play workshop</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45</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Mar</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CF-3</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Secure communications and verification procedures</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20</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Jun</w:t>
            </w:r>
          </w:p>
        </w:tc>
      </w:tr>
      <w:tr>
        <w:trPr>
          <w:cantSplit/>
        </w:trPr>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CF-4</w:t>
            </w:r>
          </w:p>
        </w:tc>
        <w:tc>
          <w:tcPr>
            <w:tcW w:type="dxa" w:w="4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Vishing test and refresher</w:t>
            </w:r>
          </w:p>
        </w:tc>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Simulation and coaching</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20</w:t>
            </w:r>
          </w:p>
        </w:tc>
        <w:tc>
          <w:tcPr>
            <w:tcW w:type="dxa" w:w="13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Sep</w:t>
            </w:r>
          </w:p>
        </w:tc>
      </w:tr>
      <w:tr>
        <w:trPr>
          <w:cantSplit/>
        </w:trPr>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CF-5</w:t>
            </w:r>
          </w:p>
        </w:tc>
        <w:tc>
          <w:tcPr>
            <w:tcW w:type="dxa" w:w="4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Incident reporting for customer data</w:t>
            </w:r>
          </w:p>
        </w:tc>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15</w:t>
            </w:r>
          </w:p>
        </w:tc>
        <w:tc>
          <w:tcPr>
            <w:tcW w:type="dxa" w:w="13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Aug</w:t>
            </w:r>
          </w:p>
        </w:tc>
      </w:tr>
    </w:tbl>
    <w:p>
      <w:pPr>
        <w:spacing w:after="160"/>
      </w:pPr>
    </w:p>
    <w:p>
      <w:pPr>
        <w:keepNext/>
        <w:spacing w:after="80" w:before="120"/>
      </w:pPr>
      <w:r>
        <w:rPr>
          <w:rFonts w:ascii="Arial" w:cs="Arial" w:eastAsia="Arial" w:hAnsi="Arial"/>
          <w:b/>
          <w:bCs/>
          <w:color w:val="1B4F72"/>
          <w:sz w:val="18"/>
          <w:szCs w:val="18"/>
        </w:rPr>
        <w:t xml:space="preserve">Table 3: Learning Time per Person per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900"/>
        <w:gridCol w:w="2200"/>
        <w:gridCol w:w="2060"/>
      </w:tblGrid>
      <w:tr>
        <w:trPr>
          <w:cantSplit/>
          <w:tblHeader/>
        </w:trPr>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Segment</w:t>
            </w:r>
          </w:p>
        </w:tc>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Core hours</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Specialist hours</w:t>
            </w:r>
          </w:p>
        </w:tc>
        <w:tc>
          <w:tcPr>
            <w:tcW w:type="dxa" w:w="2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Total hours</w:t>
            </w:r>
          </w:p>
        </w:tc>
      </w:tr>
      <w:tr>
        <w:trPr>
          <w:cantSplit/>
        </w:trPr>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General Staff</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3.9</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0.0</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3.9</w:t>
            </w:r>
          </w:p>
        </w:tc>
      </w:tr>
      <w:tr>
        <w:trPr>
          <w:cantSplit/>
        </w:trPr>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IT and Technical Staff</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3.9</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12.5</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16.4</w:t>
            </w:r>
          </w:p>
        </w:tc>
      </w:tr>
      <w:tr>
        <w:trPr>
          <w:cantSplit/>
        </w:trPr>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Management and Executives</w:t>
            </w:r>
          </w:p>
        </w:tc>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3.9</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6.1</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10.0</w:t>
            </w:r>
          </w:p>
        </w:tc>
      </w:tr>
      <w:tr>
        <w:trPr>
          <w:cantSplit/>
        </w:trPr>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Customer-Facing Teams</w:t>
            </w:r>
          </w:p>
        </w:tc>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3.9</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2.7</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6.6</w:t>
            </w:r>
          </w:p>
        </w:tc>
      </w:tr>
    </w:tbl>
    <w:p>
      <w:pPr>
        <w:spacing w:after="160"/>
      </w:pPr>
    </w:p>
    <w:p>
      <w:pPr>
        <w:spacing w:after="120"/>
      </w:pPr>
      <w:r>
        <w:rPr>
          <w:rFonts w:ascii="Arial" w:cs="Arial" w:eastAsia="Arial" w:hAnsi="Arial"/>
          <w:i/>
          <w:iCs/>
          <w:color w:val="555555"/>
          <w:sz w:val="18"/>
          <w:szCs w:val="18"/>
        </w:rPr>
        <w:t xml:space="preserve">Phishing and vishing simulations (every second month) are in addition to these hours. The sample training module for the General Staff track, "Spot it. Stop it. Report it.", is supplied as a separate presentation.</w:t>
      </w:r>
    </w:p>
    <w:p>
      <w:pPr>
        <w:pStyle w:val="Heading1"/>
        <w:keepNext/>
      </w:pPr>
      <w:r>
        <w:rPr>
          <w:rFonts w:ascii="Arial" w:cs="Arial" w:eastAsia="Arial" w:hAnsi="Arial"/>
        </w:rPr>
        <w:t xml:space="preserve">5. Delivery Methods</w:t>
      </w:r>
    </w:p>
    <w:p>
      <w:pPr>
        <w:keepNext/>
        <w:spacing w:after="80" w:before="120"/>
      </w:pPr>
      <w:r>
        <w:rPr>
          <w:rFonts w:ascii="Arial" w:cs="Arial" w:eastAsia="Arial" w:hAnsi="Arial"/>
          <w:b/>
          <w:bCs/>
          <w:color w:val="1B4F72"/>
          <w:sz w:val="18"/>
          <w:szCs w:val="18"/>
        </w:rPr>
        <w:t xml:space="preserve">Table 4: Delivery Methods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500"/>
        <w:gridCol w:w="2660"/>
      </w:tblGrid>
      <w:tr>
        <w:trPr>
          <w:cantSplit/>
          <w:tblHeader/>
        </w:trPr>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Method</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Used for</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Tracks</w:t>
            </w:r>
          </w:p>
        </w:tc>
        <w:tc>
          <w:tcPr>
            <w:tcW w:type="dxa" w:w="26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Why</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E-learning (LMS)</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Core modules of 10 to 45 minutes with quizzes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All</w:t>
            </w:r>
          </w:p>
        </w:tc>
        <w:tc>
          <w:tcPr>
            <w:tcW w:type="dxa" w:w="2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Scales to 450 people, works on any device, gives tracked evidence</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Classroom and live workshops</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Secure coding, BEC, regulatory duties</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IT, Management</w:t>
            </w:r>
          </w:p>
        </w:tc>
        <w:tc>
          <w:tcPr>
            <w:tcW w:type="dxa" w:w="2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Discussion and hands-on practice fit complex topics</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Phishing simulations</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Every second month for all staff, with a teaching page for clickers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All</w:t>
            </w:r>
          </w:p>
        </w:tc>
        <w:tc>
          <w:tcPr>
            <w:tcW w:type="dxa" w:w="2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Measures real behavior and trains at the moment of error</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Vishing and role-play</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Verification calls, pretexting practice</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Customer-facing</w:t>
            </w:r>
          </w:p>
        </w:tc>
        <w:tc>
          <w:tcPr>
            <w:tcW w:type="dxa" w:w="2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Builds a habit under realistic pressure</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Tabletop exercises</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Incident response and executive breach decisions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IT, Management</w:t>
            </w:r>
          </w:p>
        </w:tc>
        <w:tc>
          <w:tcPr>
            <w:tcW w:type="dxa" w:w="2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Tests plans and decisions without real damage</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Microlearning and tips</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Weekly 2-minute tips, "phish of the week"</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All</w:t>
            </w:r>
          </w:p>
        </w:tc>
        <w:tc>
          <w:tcPr>
            <w:tcW w:type="dxa" w:w="2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Keeps messages fresh between modules</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Campaigns and communication</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Monthly themes, posters, signage, newsletters, Cybersecurity Awareness Month</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All</w:t>
            </w:r>
          </w:p>
        </w:tc>
        <w:tc>
          <w:tcPr>
            <w:tcW w:type="dxa" w:w="2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Builds culture and reinforces habits</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7"/>
                <w:szCs w:val="17"/>
              </w:rPr>
              <w:t xml:space="preserve">Security champions</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Peer promoters, one per team</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All</w:t>
            </w:r>
          </w:p>
        </w:tc>
        <w:tc>
          <w:tcPr>
            <w:tcW w:type="dxa" w:w="26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Trusted local voices improve engagement</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Gamification</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Capture-the-flag, recognition for top reporters</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IT, All</w:t>
            </w:r>
          </w:p>
        </w:tc>
        <w:tc>
          <w:tcPr>
            <w:tcW w:type="dxa" w:w="26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Motivates and rewards good behavior</w:t>
            </w:r>
          </w:p>
        </w:tc>
      </w:tr>
    </w:tbl>
    <w:p>
      <w:pPr>
        <w:spacing w:after="160"/>
      </w:pPr>
    </w:p>
    <w:p>
      <w:pPr>
        <w:pStyle w:val="Heading2"/>
        <w:keepNext/>
      </w:pPr>
      <w:r>
        <w:rPr>
          <w:rFonts w:ascii="Arial" w:cs="Arial" w:eastAsia="Arial" w:hAnsi="Arial"/>
        </w:rPr>
        <w:t xml:space="preserve">5.1 Phishing and Vishing Simulation Program</w:t>
      </w:r>
    </w:p>
    <w:p>
      <w:pPr>
        <w:tabs>
          <w:tab w:val="left" w:pos="720"/>
        </w:tabs>
        <w:spacing w:after="100"/>
        <w:ind w:left="720" w:hanging="720"/>
      </w:pPr>
      <w:r>
        <w:rPr>
          <w:rFonts w:ascii="Arial" w:cs="Arial" w:eastAsia="Arial" w:hAnsi="Arial"/>
          <w:b/>
          <w:bCs/>
          <w:color w:val="1B4F72"/>
          <w:sz w:val="20"/>
          <w:szCs w:val="20"/>
        </w:rPr>
        <w:t xml:space="preserve">5.1.1</w:t>
      </w:r>
      <w:r>
        <w:rPr>
          <w:rFonts w:ascii="Arial" w:cs="Arial" w:eastAsia="Arial" w:hAnsi="Arial"/>
        </w:rPr>
        <w:t xml:space="preserve">	</w:t>
      </w:r>
      <w:r>
        <w:rPr>
          <w:rFonts w:ascii="Arial" w:cs="Arial" w:eastAsia="Arial" w:hAnsi="Arial"/>
          <w:sz w:val="20"/>
          <w:szCs w:val="20"/>
        </w:rPr>
        <w:t xml:space="preserve">Simulations shall run every second month (February, April, June, August, October and December) for all staff, which exceeds the quarterly minimum in the Information Security Policy. Difficulty rises in three levels, from obvious to well-crafted, and themes follow real threats: credential harvesting, business email compromise, MFA fatigue, QR codes, and delivery and invoice scams.</w:t>
      </w:r>
    </w:p>
    <w:p>
      <w:pPr>
        <w:tabs>
          <w:tab w:val="left" w:pos="720"/>
        </w:tabs>
        <w:spacing w:after="100"/>
        <w:ind w:left="720" w:hanging="720"/>
      </w:pPr>
      <w:r>
        <w:rPr>
          <w:rFonts w:ascii="Arial" w:cs="Arial" w:eastAsia="Arial" w:hAnsi="Arial"/>
          <w:b/>
          <w:bCs/>
          <w:color w:val="1B4F72"/>
          <w:sz w:val="20"/>
          <w:szCs w:val="20"/>
        </w:rPr>
        <w:t xml:space="preserve">5.1.2</w:t>
      </w:r>
      <w:r>
        <w:rPr>
          <w:rFonts w:ascii="Arial" w:cs="Arial" w:eastAsia="Arial" w:hAnsi="Arial"/>
        </w:rPr>
        <w:t xml:space="preserve">	</w:t>
      </w:r>
      <w:r>
        <w:rPr>
          <w:rFonts w:ascii="Arial" w:cs="Arial" w:eastAsia="Arial" w:hAnsi="Arial"/>
          <w:sz w:val="20"/>
          <w:szCs w:val="20"/>
        </w:rPr>
        <w:t xml:space="preserve">Anyone who clicks sees a short teaching page and a 5-minute lesson. The response is supportive, not punitive. Staff who click in two or more rounds receive one-to-one coaching, and their manager is told. Staff who click in three or more rounds complete extra training and are reviewed for added technical safeguards.</w:t>
      </w:r>
    </w:p>
    <w:p>
      <w:pPr>
        <w:tabs>
          <w:tab w:val="left" w:pos="720"/>
        </w:tabs>
        <w:spacing w:after="100"/>
        <w:ind w:left="720" w:hanging="720"/>
      </w:pPr>
      <w:r>
        <w:rPr>
          <w:rFonts w:ascii="Arial" w:cs="Arial" w:eastAsia="Arial" w:hAnsi="Arial"/>
          <w:b/>
          <w:bCs/>
          <w:color w:val="1B4F72"/>
          <w:sz w:val="20"/>
          <w:szCs w:val="20"/>
        </w:rPr>
        <w:t xml:space="preserve">5.1.3</w:t>
      </w:r>
      <w:r>
        <w:rPr>
          <w:rFonts w:ascii="Arial" w:cs="Arial" w:eastAsia="Arial" w:hAnsi="Arial"/>
        </w:rPr>
        <w:t xml:space="preserve">	</w:t>
      </w:r>
      <w:r>
        <w:rPr>
          <w:rFonts w:ascii="Arial" w:cs="Arial" w:eastAsia="Arial" w:hAnsi="Arial"/>
          <w:sz w:val="20"/>
          <w:szCs w:val="20"/>
        </w:rPr>
        <w:t xml:space="preserve">Simulations shall be approved in advance by HR and Legal, shall not use sensitive pretexts (pay, redundancy, health or bereavement), and results shall be used only for training and program measurement, not for individual performance rating.</w:t>
      </w:r>
    </w:p>
    <w:p>
      <w:pPr>
        <w:tabs>
          <w:tab w:val="left" w:pos="720"/>
        </w:tabs>
        <w:spacing w:after="100"/>
        <w:ind w:left="720" w:hanging="720"/>
      </w:pPr>
      <w:r>
        <w:rPr>
          <w:rFonts w:ascii="Arial" w:cs="Arial" w:eastAsia="Arial" w:hAnsi="Arial"/>
          <w:b/>
          <w:bCs/>
          <w:color w:val="1B4F72"/>
          <w:sz w:val="20"/>
          <w:szCs w:val="20"/>
        </w:rPr>
        <w:t xml:space="preserve">5.1.4</w:t>
      </w:r>
      <w:r>
        <w:rPr>
          <w:rFonts w:ascii="Arial" w:cs="Arial" w:eastAsia="Arial" w:hAnsi="Arial"/>
        </w:rPr>
        <w:t xml:space="preserve">	</w:t>
      </w:r>
      <w:r>
        <w:rPr>
          <w:rFonts w:ascii="Arial" w:cs="Arial" w:eastAsia="Arial" w:hAnsi="Arial"/>
          <w:sz w:val="20"/>
          <w:szCs w:val="20"/>
        </w:rPr>
        <w:t xml:space="preserve">The customer-facing track includes a vishing test each year in which a trusted tester tries to extract information from staff, with immediate coaching.</w:t>
      </w:r>
    </w:p>
    <w:p>
      <w:pPr>
        <w:pStyle w:val="Heading1"/>
        <w:keepNext/>
      </w:pPr>
      <w:r>
        <w:rPr>
          <w:rFonts w:ascii="Arial" w:cs="Arial" w:eastAsia="Arial" w:hAnsi="Arial"/>
        </w:rPr>
        <w:t xml:space="preserve">6. Completion Tracking and Enforcement</w:t>
      </w:r>
    </w:p>
    <w:p>
      <w:pPr>
        <w:tabs>
          <w:tab w:val="left" w:pos="720"/>
        </w:tabs>
        <w:spacing w:after="100"/>
        <w:ind w:left="720" w:hanging="720"/>
      </w:pPr>
      <w:r>
        <w:rPr>
          <w:rFonts w:ascii="Arial" w:cs="Arial" w:eastAsia="Arial" w:hAnsi="Arial"/>
          <w:b/>
          <w:bCs/>
          <w:color w:val="1B4F72"/>
          <w:sz w:val="20"/>
          <w:szCs w:val="20"/>
        </w:rPr>
        <w:t xml:space="preserve">6.1</w:t>
      </w:r>
      <w:r>
        <w:rPr>
          <w:rFonts w:ascii="Arial" w:cs="Arial" w:eastAsia="Arial" w:hAnsi="Arial"/>
        </w:rPr>
        <w:t xml:space="preserve">	</w:t>
      </w:r>
      <w:r>
        <w:rPr>
          <w:rFonts w:ascii="Arial" w:cs="Arial" w:eastAsia="Arial" w:hAnsi="Arial"/>
          <w:sz w:val="20"/>
          <w:szCs w:val="20"/>
        </w:rPr>
        <w:t xml:space="preserve">HR shall assign every module in the LMS with a due date, and the LMS shall record completion, quiz scores and attempt history for each person. Records shall be kept for six years.</w:t>
      </w:r>
    </w:p>
    <w:p>
      <w:pPr>
        <w:tabs>
          <w:tab w:val="left" w:pos="720"/>
        </w:tabs>
        <w:spacing w:after="100"/>
        <w:ind w:left="720" w:hanging="720"/>
      </w:pPr>
      <w:r>
        <w:rPr>
          <w:rFonts w:ascii="Arial" w:cs="Arial" w:eastAsia="Arial" w:hAnsi="Arial"/>
          <w:b/>
          <w:bCs/>
          <w:color w:val="1B4F72"/>
          <w:sz w:val="20"/>
          <w:szCs w:val="20"/>
        </w:rPr>
        <w:t xml:space="preserve">6.2</w:t>
      </w:r>
      <w:r>
        <w:rPr>
          <w:rFonts w:ascii="Arial" w:cs="Arial" w:eastAsia="Arial" w:hAnsi="Arial"/>
        </w:rPr>
        <w:t xml:space="preserve">	</w:t>
      </w:r>
      <w:r>
        <w:rPr>
          <w:rFonts w:ascii="Arial" w:cs="Arial" w:eastAsia="Arial" w:hAnsi="Arial"/>
          <w:sz w:val="20"/>
          <w:szCs w:val="20"/>
        </w:rPr>
        <w:t xml:space="preserve">New joiners shall complete the core security essentials within 30 days of starting, and before they are given access to Confidential or Restricted systems.</w:t>
      </w:r>
    </w:p>
    <w:p>
      <w:pPr>
        <w:keepNext/>
        <w:spacing w:after="80" w:before="120"/>
      </w:pPr>
      <w:r>
        <w:rPr>
          <w:rFonts w:ascii="Arial" w:cs="Arial" w:eastAsia="Arial" w:hAnsi="Arial"/>
          <w:b/>
          <w:bCs/>
          <w:color w:val="1B4F72"/>
          <w:sz w:val="18"/>
          <w:szCs w:val="18"/>
        </w:rPr>
        <w:t xml:space="preserve">Table 5: Reminders and Escalation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300"/>
        <w:gridCol w:w="2060"/>
      </w:tblGrid>
      <w:tr>
        <w:trPr>
          <w:cantSplit/>
          <w:tblHeader/>
        </w:trPr>
        <w:tc>
          <w:tcPr>
            <w:tcW w:type="dxa" w:w="2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When</w:t>
            </w:r>
          </w:p>
        </w:tc>
        <w:tc>
          <w:tcPr>
            <w:tcW w:type="dxa" w:w="5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Action</w:t>
            </w:r>
          </w:p>
        </w:tc>
        <w:tc>
          <w:tcPr>
            <w:tcW w:type="dxa" w:w="2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Who</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Assignment</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Course assigned with a due date; announcement sent</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HR; GRC Analyst</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7 days before due</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Reminder to the learner</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LMS (automatic)</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Due date</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Overdue notice to the learner</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LMS (automatic)</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7 days late</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Manager notified with a list of late staff</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HR</w:t>
            </w:r>
          </w:p>
        </w:tc>
      </w:tr>
      <w:tr>
        <w:trPr>
          <w:cantSplit/>
        </w:trPr>
        <w:tc>
          <w:tcPr>
            <w:tcW w:type="dxa" w:w="2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14 days late</w:t>
            </w:r>
          </w:p>
        </w:tc>
        <w:tc>
          <w:tcPr>
            <w:tcW w:type="dxa" w:w="5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Department head and CISO notified</w:t>
            </w:r>
          </w:p>
        </w:tc>
        <w:tc>
          <w:tcPr>
            <w:tcW w:type="dxa" w:w="2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HR; GRC Analyst</w:t>
            </w:r>
          </w:p>
        </w:tc>
      </w:tr>
      <w:tr>
        <w:trPr>
          <w:cantSplit/>
        </w:trPr>
        <w:tc>
          <w:tcPr>
            <w:tcW w:type="dxa" w:w="2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30 days late</w:t>
            </w:r>
          </w:p>
        </w:tc>
        <w:tc>
          <w:tcPr>
            <w:tcW w:type="dxa" w:w="5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Review of access to Confidential and Restricted systems, which may be suspended under the Information Security Policy</w:t>
            </w:r>
          </w:p>
        </w:tc>
        <w:tc>
          <w:tcPr>
            <w:tcW w:type="dxa" w:w="2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CISO; HR</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6.3</w:t>
      </w:r>
      <w:r>
        <w:rPr>
          <w:rFonts w:ascii="Arial" w:cs="Arial" w:eastAsia="Arial" w:hAnsi="Arial"/>
        </w:rPr>
        <w:t xml:space="preserve">	</w:t>
      </w:r>
      <w:r>
        <w:rPr>
          <w:rFonts w:ascii="Arial" w:cs="Arial" w:eastAsia="Arial" w:hAnsi="Arial"/>
          <w:sz w:val="20"/>
          <w:szCs w:val="20"/>
        </w:rPr>
        <w:t xml:space="preserve">The GRC Analyst shall report completion by segment to the ISSC each month, and results against the objectives in Table 1 to the Board each quarter, using the Monthly ISSC Report and the Quarterly Board Security Report.</w:t>
      </w:r>
    </w:p>
    <w:p>
      <w:pPr>
        <w:tabs>
          <w:tab w:val="left" w:pos="720"/>
        </w:tabs>
        <w:spacing w:after="100"/>
        <w:ind w:left="720" w:hanging="720"/>
      </w:pPr>
      <w:r>
        <w:rPr>
          <w:rFonts w:ascii="Arial" w:cs="Arial" w:eastAsia="Arial" w:hAnsi="Arial"/>
          <w:b/>
          <w:bCs/>
          <w:color w:val="1B4F72"/>
          <w:sz w:val="20"/>
          <w:szCs w:val="20"/>
        </w:rPr>
        <w:t xml:space="preserve">6.4</w:t>
      </w:r>
      <w:r>
        <w:rPr>
          <w:rFonts w:ascii="Arial" w:cs="Arial" w:eastAsia="Arial" w:hAnsi="Arial"/>
        </w:rPr>
        <w:t xml:space="preserve">	</w:t>
      </w:r>
      <w:r>
        <w:rPr>
          <w:rFonts w:ascii="Arial" w:cs="Arial" w:eastAsia="Arial" w:hAnsi="Arial"/>
          <w:sz w:val="20"/>
          <w:szCs w:val="20"/>
        </w:rPr>
        <w:t xml:space="preserve">The program manager shall keep evidence for auditors: the plan, content, attendance, completion records, quiz results, simulation results, communications and the annual review.</w:t>
      </w:r>
    </w:p>
    <w:p>
      <w:pPr>
        <w:pStyle w:val="Heading1"/>
        <w:keepNext/>
      </w:pPr>
      <w:r>
        <w:rPr>
          <w:rFonts w:ascii="Arial" w:cs="Arial" w:eastAsia="Arial" w:hAnsi="Arial"/>
        </w:rPr>
        <w:t xml:space="preserve">7. KPIs and Measurement Framework</w:t>
      </w:r>
    </w:p>
    <w:p>
      <w:pPr>
        <w:spacing w:after="120"/>
      </w:pPr>
      <w:r>
        <w:rPr>
          <w:rFonts w:ascii="Arial" w:cs="Arial" w:eastAsia="Arial" w:hAnsi="Arial"/>
          <w:sz w:val="20"/>
          <w:szCs w:val="20"/>
        </w:rPr>
        <w:t xml:space="preserve">Measurement works at four levels: reach (did people take part), learning (did they learn), behavior (did they act differently) and outcomes (did risk fall). The behavior measures matter most.</w:t>
      </w:r>
    </w:p>
    <w:p>
      <w:pPr>
        <w:keepNext/>
        <w:spacing w:after="80" w:before="120"/>
      </w:pPr>
      <w:r>
        <w:rPr>
          <w:rFonts w:ascii="Arial" w:cs="Arial" w:eastAsia="Arial" w:hAnsi="Arial"/>
          <w:b/>
          <w:bCs/>
          <w:color w:val="1B4F72"/>
          <w:sz w:val="18"/>
          <w:szCs w:val="18"/>
        </w:rPr>
        <w:t xml:space="preserve">Table 6: Program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500"/>
        <w:gridCol w:w="1000"/>
        <w:gridCol w:w="900"/>
        <w:gridCol w:w="800"/>
        <w:gridCol w:w="1260"/>
      </w:tblGrid>
      <w:tr>
        <w:trPr>
          <w:cantSplit/>
          <w:tblHeader/>
        </w:trPr>
        <w:tc>
          <w:tcPr>
            <w:tcW w:type="dxa" w:w="1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KPI</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Formula</w:t>
            </w:r>
          </w:p>
        </w:tc>
        <w:tc>
          <w:tcPr>
            <w:tcW w:type="dxa" w:w="1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Source</w:t>
            </w:r>
          </w:p>
        </w:tc>
        <w:tc>
          <w:tcPr>
            <w:tcW w:type="dxa" w:w="10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Frequency</w:t>
            </w:r>
          </w:p>
        </w:tc>
        <w:tc>
          <w:tcPr>
            <w:tcW w:type="dxa" w:w="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Baseline</w:t>
            </w:r>
          </w:p>
        </w:tc>
        <w:tc>
          <w:tcPr>
            <w:tcW w:type="dxa" w:w="8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June</w:t>
            </w:r>
          </w:p>
        </w:tc>
        <w:tc>
          <w:tcPr>
            <w:tcW w:type="dxa" w:w="12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December</w:t>
            </w:r>
          </w:p>
        </w:tc>
      </w:tr>
      <w:tr>
        <w:trPr>
          <w:cantSplit/>
        </w:trPr>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Phishing click rate</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Staff who clicked / staff who received</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Simulation platform</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Every 2 months</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34%</w:t>
            </w:r>
          </w:p>
        </w:tc>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14%</w:t>
            </w:r>
          </w:p>
        </w:tc>
        <w:tc>
          <w:tcPr>
            <w:tcW w:type="dxa" w:w="1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5%</w:t>
            </w:r>
          </w:p>
        </w:tc>
      </w:tr>
      <w:tr>
        <w:trPr>
          <w:cantSplit/>
        </w:trPr>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Credential entry rate</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Staff who entered credentials / staff who received</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Simulation platform</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Every 2 months</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18%</w:t>
            </w:r>
          </w:p>
        </w:tc>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5%</w:t>
            </w:r>
          </w:p>
        </w:tc>
        <w:tc>
          <w:tcPr>
            <w:tcW w:type="dxa" w:w="1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w:t>
            </w:r>
          </w:p>
        </w:tc>
      </w:tr>
      <w:tr>
        <w:trPr>
          <w:cantSplit/>
        </w:trPr>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Phishing report rate</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Staff who reported / staff who received</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Simulation platform; SOC</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Every 2 months</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Not measured</w:t>
            </w:r>
          </w:p>
        </w:tc>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45%</w:t>
            </w:r>
          </w:p>
        </w:tc>
        <w:tc>
          <w:tcPr>
            <w:tcW w:type="dxa" w:w="1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70%</w:t>
            </w:r>
          </w:p>
        </w:tc>
      </w:tr>
      <w:tr>
        <w:trPr>
          <w:cantSplit/>
        </w:trPr>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Median time to report</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Median minutes from delivery to report</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Simulation platform</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Every 2 months</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Not measured</w:t>
            </w:r>
          </w:p>
        </w:tc>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60 min</w:t>
            </w:r>
          </w:p>
        </w:tc>
        <w:tc>
          <w:tcPr>
            <w:tcW w:type="dxa" w:w="1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30 min</w:t>
            </w:r>
          </w:p>
        </w:tc>
      </w:tr>
      <w:tr>
        <w:trPr>
          <w:cantSplit/>
        </w:trPr>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Repeat clickers</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Staff who clicked in 2 or more rounds / all staff</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Simulation platform</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Every 2 months</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Not measured</w:t>
            </w:r>
          </w:p>
        </w:tc>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7%</w:t>
            </w:r>
          </w:p>
        </w:tc>
        <w:tc>
          <w:tcPr>
            <w:tcW w:type="dxa" w:w="1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2%</w:t>
            </w:r>
          </w:p>
        </w:tc>
      </w:tr>
      <w:tr>
        <w:trPr>
          <w:cantSplit/>
        </w:trPr>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Training completed on time</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Assigned modules done by due date / assigned</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LMS</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No program</w:t>
            </w:r>
          </w:p>
        </w:tc>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95%</w:t>
            </w:r>
          </w:p>
        </w:tc>
        <w:tc>
          <w:tcPr>
            <w:tcW w:type="dxa" w:w="1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98%</w:t>
            </w:r>
          </w:p>
        </w:tc>
      </w:tr>
      <w:tr>
        <w:trPr>
          <w:cantSplit/>
        </w:trPr>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Average quiz score</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Mean score of quizzes taken in the period</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LMS</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Not measured</w:t>
            </w:r>
          </w:p>
        </w:tc>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85%</w:t>
            </w:r>
          </w:p>
        </w:tc>
        <w:tc>
          <w:tcPr>
            <w:tcW w:type="dxa" w:w="1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85%</w:t>
            </w:r>
          </w:p>
        </w:tc>
      </w:tr>
      <w:tr>
        <w:trPr>
          <w:cantSplit/>
        </w:trPr>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New joiners trained in 30 days</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Joiners trained in 30 days / joiners</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LMS; HR</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Not measured</w:t>
            </w:r>
          </w:p>
        </w:tc>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c>
          <w:tcPr>
            <w:tcW w:type="dxa" w:w="1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100%</w:t>
            </w:r>
          </w:p>
        </w:tc>
      </w:tr>
      <w:tr>
        <w:trPr>
          <w:cantSplit/>
        </w:trPr>
        <w:tc>
          <w:tcPr>
            <w:tcW w:type="dxa" w:w="1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Security culture score</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Positive answers in the staff survey</w:t>
            </w:r>
          </w:p>
        </w:tc>
        <w:tc>
          <w:tcPr>
            <w:tcW w:type="dxa" w:w="1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Survey (January and December)</w:t>
            </w:r>
          </w:p>
        </w:tc>
        <w:tc>
          <w:tcPr>
            <w:tcW w:type="dxa" w:w="10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Twice a year</w:t>
            </w:r>
          </w:p>
        </w:tc>
        <w:tc>
          <w:tcPr>
            <w:tcW w:type="dxa" w:w="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Set in January</w:t>
            </w:r>
          </w:p>
        </w:tc>
        <w:tc>
          <w:tcPr>
            <w:tcW w:type="dxa" w:w="8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n/a</w:t>
            </w:r>
          </w:p>
        </w:tc>
        <w:tc>
          <w:tcPr>
            <w:tcW w:type="dxa" w:w="12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+20 points</w:t>
            </w:r>
          </w:p>
        </w:tc>
      </w:tr>
      <w:tr>
        <w:trPr>
          <w:cantSplit/>
        </w:trPr>
        <w:tc>
          <w:tcPr>
            <w:tcW w:type="dxa" w:w="1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Human-error incidents</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Incidents with human error as cause</w:t>
            </w:r>
          </w:p>
        </w:tc>
        <w:tc>
          <w:tcPr>
            <w:tcW w:type="dxa" w:w="1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Incident register</w:t>
            </w:r>
          </w:p>
        </w:tc>
        <w:tc>
          <w:tcPr>
            <w:tcW w:type="dxa" w:w="10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Quarterly</w:t>
            </w:r>
          </w:p>
        </w:tc>
        <w:tc>
          <w:tcPr>
            <w:tcW w:type="dxa" w:w="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To extract</w:t>
            </w:r>
          </w:p>
        </w:tc>
        <w:tc>
          <w:tcPr>
            <w:tcW w:type="dxa" w:w="8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Falling</w:t>
            </w:r>
          </w:p>
        </w:tc>
        <w:tc>
          <w:tcPr>
            <w:tcW w:type="dxa" w:w="12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30% fewer than prior year</w:t>
            </w:r>
          </w:p>
        </w:tc>
      </w:tr>
    </w:tbl>
    <w:p>
      <w:pPr>
        <w:spacing w:after="160"/>
      </w:pPr>
    </w:p>
    <w:p>
      <w:pPr>
        <w:tabs>
          <w:tab w:val="left" w:pos="720"/>
        </w:tabs>
        <w:spacing w:after="100"/>
        <w:ind w:left="720" w:hanging="720"/>
      </w:pPr>
      <w:r>
        <w:rPr>
          <w:rFonts w:ascii="Arial" w:cs="Arial" w:eastAsia="Arial" w:hAnsi="Arial"/>
          <w:b/>
          <w:bCs/>
          <w:color w:val="1B4F72"/>
          <w:sz w:val="20"/>
          <w:szCs w:val="20"/>
        </w:rPr>
        <w:t xml:space="preserve">7.1</w:t>
      </w:r>
      <w:r>
        <w:rPr>
          <w:rFonts w:ascii="Arial" w:cs="Arial" w:eastAsia="Arial" w:hAnsi="Arial"/>
        </w:rPr>
        <w:t xml:space="preserve">	</w:t>
      </w:r>
      <w:r>
        <w:rPr>
          <w:rFonts w:ascii="Arial" w:cs="Arial" w:eastAsia="Arial" w:hAnsi="Arial"/>
          <w:sz w:val="20"/>
          <w:szCs w:val="20"/>
        </w:rPr>
        <w:t xml:space="preserve">Status uses red, amber and green. For measures where lower is better, green is at or below target, amber up to 25% above and red above that. Where higher is better, green is at or above target, amber down to 90% of target and red below. The KPI Tracker in the calendar workbook applies these rules.</w:t>
      </w:r>
    </w:p>
    <w:p>
      <w:pPr>
        <w:tabs>
          <w:tab w:val="left" w:pos="720"/>
        </w:tabs>
        <w:spacing w:after="100"/>
        <w:ind w:left="720" w:hanging="720"/>
      </w:pPr>
      <w:r>
        <w:rPr>
          <w:rFonts w:ascii="Arial" w:cs="Arial" w:eastAsia="Arial" w:hAnsi="Arial"/>
          <w:b/>
          <w:bCs/>
          <w:color w:val="1B4F72"/>
          <w:sz w:val="20"/>
          <w:szCs w:val="20"/>
        </w:rPr>
        <w:t xml:space="preserve">7.2</w:t>
      </w:r>
      <w:r>
        <w:rPr>
          <w:rFonts w:ascii="Arial" w:cs="Arial" w:eastAsia="Arial" w:hAnsi="Arial"/>
        </w:rPr>
        <w:t xml:space="preserve">	</w:t>
      </w:r>
      <w:r>
        <w:rPr>
          <w:rFonts w:ascii="Arial" w:cs="Arial" w:eastAsia="Arial" w:hAnsi="Arial"/>
          <w:sz w:val="20"/>
          <w:szCs w:val="20"/>
        </w:rPr>
        <w:t xml:space="preserve">The program shall be reviewed after each simulation round and each quarter. Content shall be updated when incidents, simulation results or new threats show a gap, and the annual review shall record the changes (PCI DSS 12.6.2).</w:t>
      </w:r>
    </w:p>
    <w:p>
      <w:pPr>
        <w:tabs>
          <w:tab w:val="left" w:pos="720"/>
        </w:tabs>
        <w:spacing w:after="100"/>
        <w:ind w:left="720" w:hanging="720"/>
      </w:pPr>
      <w:r>
        <w:rPr>
          <w:rFonts w:ascii="Arial" w:cs="Arial" w:eastAsia="Arial" w:hAnsi="Arial"/>
          <w:b/>
          <w:bCs/>
          <w:color w:val="1B4F72"/>
          <w:sz w:val="20"/>
          <w:szCs w:val="20"/>
        </w:rPr>
        <w:t xml:space="preserve">7.3</w:t>
      </w:r>
      <w:r>
        <w:rPr>
          <w:rFonts w:ascii="Arial" w:cs="Arial" w:eastAsia="Arial" w:hAnsi="Arial"/>
        </w:rPr>
        <w:t xml:space="preserve">	</w:t>
      </w:r>
      <w:r>
        <w:rPr>
          <w:rFonts w:ascii="Arial" w:cs="Arial" w:eastAsia="Arial" w:hAnsi="Arial"/>
          <w:sz w:val="20"/>
          <w:szCs w:val="20"/>
        </w:rPr>
        <w:t xml:space="preserve">Awareness metrics feed the GRC KPI and Metrics Framework, including MFA coverage, privileged access and incident reporting, so that training results are read alongside control results.</w:t>
      </w:r>
    </w:p>
    <w:p>
      <w:pPr>
        <w:pStyle w:val="Heading1"/>
        <w:keepNext/>
      </w:pPr>
      <w:r>
        <w:rPr>
          <w:rFonts w:ascii="Arial" w:cs="Arial" w:eastAsia="Arial" w:hAnsi="Arial"/>
        </w:rPr>
        <w:t xml:space="preserve">8. 12-Month Calendar</w:t>
      </w:r>
    </w:p>
    <w:p>
      <w:pPr>
        <w:spacing w:after="120"/>
      </w:pPr>
      <w:r>
        <w:rPr>
          <w:rFonts w:ascii="Arial" w:cs="Arial" w:eastAsia="Arial" w:hAnsi="Arial"/>
          <w:sz w:val="20"/>
          <w:szCs w:val="20"/>
        </w:rPr>
        <w:t xml:space="preserve">One theme runs each month. The full calendar, with objectives, activities, groups, channels, owners and metrics, is in NexusGuard_Awareness_Calendar_2026.xlsx.</w:t>
      </w:r>
    </w:p>
    <w:p>
      <w:pPr>
        <w:keepNext/>
        <w:spacing w:after="80" w:before="120"/>
      </w:pPr>
      <w:r>
        <w:rPr>
          <w:rFonts w:ascii="Arial" w:cs="Arial" w:eastAsia="Arial" w:hAnsi="Arial"/>
          <w:b/>
          <w:bCs/>
          <w:color w:val="1B4F72"/>
          <w:sz w:val="18"/>
          <w:szCs w:val="18"/>
        </w:rPr>
        <w:t xml:space="preserve">Table 7: Monthly Themes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300"/>
        <w:gridCol w:w="4900"/>
        <w:gridCol w:w="1060"/>
      </w:tblGrid>
      <w:tr>
        <w:trPr>
          <w:cantSplit/>
          <w:tblHeader/>
        </w:trPr>
        <w:tc>
          <w:tcPr>
            <w:tcW w:type="dxa" w:w="1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Month</w:t>
            </w:r>
          </w:p>
        </w:tc>
        <w:tc>
          <w:tcPr>
            <w:tcW w:type="dxa" w:w="23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Theme</w:t>
            </w:r>
          </w:p>
        </w:tc>
        <w:tc>
          <w:tcPr>
            <w:tcW w:type="dxa" w:w="4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Main activities</w:t>
            </w:r>
          </w:p>
        </w:tc>
        <w:tc>
          <w:tcPr>
            <w:tcW w:type="dxa" w:w="10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Simulation</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January</w:t>
            </w:r>
          </w:p>
        </w:tc>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Password security and MFA</w:t>
            </w:r>
          </w:p>
        </w:tc>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Program launch message from the CEO and CISO; assign GS-2 Passwords, MFA and password managers (20 min) to all staff</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February</w:t>
            </w:r>
          </w:p>
        </w:tc>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Phishing Awareness Month</w:t>
            </w:r>
          </w:p>
        </w:tc>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Safer Internet Day launch; assign GS-3 Phishing and social engineering (30 min) to all staff</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Round 1</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March</w:t>
            </w:r>
          </w:p>
        </w:tc>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Social engineering and business email compromise</w:t>
            </w:r>
          </w:p>
        </w:tc>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MG-1 Executive BEC workshop (60 min, live); finance payment-verification drill (call-back rule)</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April</w:t>
            </w:r>
          </w:p>
        </w:tc>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Data handling, classification and privacy</w:t>
            </w:r>
          </w:p>
        </w:tc>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CF-1 Handling PHI and personal data under HIPAA and GDPR (60 min) for customer-facing teams; GS-5 Data classification and handling (20 min) for all staff, using the quick reference guide</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Round 2</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May</w:t>
            </w:r>
          </w:p>
        </w:tc>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Secure remote work, mobile and travel</w:t>
            </w:r>
          </w:p>
        </w:tc>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GS-6 Working securely anywhere (20 min); home-working security self-assessment (per the Acceptable Use Policy)</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June</w:t>
            </w:r>
          </w:p>
        </w:tc>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Secure coding and vulnerability management</w:t>
            </w:r>
          </w:p>
        </w:tc>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IT-1 Secure coding workshop on OWASP Top 10, secrets and dependencies (4 hours) with hands-on labs; IT-2 Vulnerability management and patch SLAs (90 min)</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Round 3</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July</w:t>
            </w:r>
          </w:p>
        </w:tc>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Physical security and insider risk</w:t>
            </w:r>
          </w:p>
        </w:tc>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GS-7 Physical security and clean desk (15 min); clean desk and screen lock walk-through audits at each office</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August</w:t>
            </w:r>
          </w:p>
        </w:tc>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Incident reporting and response readiness</w:t>
            </w:r>
          </w:p>
        </w:tc>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"See it, report it" campaign on the 1-hour reporting rule; GS-8 Incident reporting (10 min)</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Round 4</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September</w:t>
            </w:r>
          </w:p>
        </w:tc>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Cloud, SaaS and AI safe use</w:t>
            </w:r>
          </w:p>
        </w:tc>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GS-9 Approved tools and safe AI use (20 min) tied to the Acceptable Use Policy; publish the approved services register</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October</w:t>
            </w:r>
          </w:p>
        </w:tc>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Cybersecurity Awareness Month</w:t>
            </w:r>
          </w:p>
        </w:tc>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Month-long campaign with weekly themes (passwords and MFA, phishing, updates, reporting); live webinar with the CISO</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Round 5</w:t>
            </w:r>
          </w:p>
        </w:tc>
      </w:tr>
      <w:tr>
        <w:trPr>
          <w:cantSplit/>
        </w:trPr>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November</w:t>
            </w:r>
          </w:p>
        </w:tc>
        <w:tc>
          <w:tcPr>
            <w:tcW w:type="dxa" w:w="23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Regulatory obligations and third-party risk</w:t>
            </w:r>
          </w:p>
        </w:tc>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MG-4 Regulatory obligations briefing for executives (60 min); GS-11 Compliance refresher for all staff (20 min)</w:t>
            </w:r>
          </w:p>
        </w:tc>
        <w:tc>
          <w:tcPr>
            <w:tcW w:type="dxa" w:w="10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r>
      <w:tr>
        <w:trPr>
          <w:cantSplit/>
        </w:trPr>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December</w:t>
            </w:r>
          </w:p>
        </w:tc>
        <w:tc>
          <w:tcPr>
            <w:tcW w:type="dxa" w:w="23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Review, recognition and planning</w:t>
            </w:r>
          </w:p>
        </w:tc>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Phishing simulation round 6 (year-end); annual review of the program's effectiveness (PCI DSS 12.6.2)</w:t>
            </w:r>
          </w:p>
        </w:tc>
        <w:tc>
          <w:tcPr>
            <w:tcW w:type="dxa" w:w="10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Round 6</w:t>
            </w:r>
          </w:p>
        </w:tc>
      </w:tr>
    </w:tbl>
    <w:p>
      <w:pPr>
        <w:spacing w:after="160"/>
      </w:pPr>
    </w:p>
    <w:p>
      <w:pPr>
        <w:spacing w:after="120"/>
      </w:pPr>
      <w:r>
        <w:rPr>
          <w:rFonts w:ascii="Arial" w:cs="Arial" w:eastAsia="Arial" w:hAnsi="Arial"/>
          <w:i/>
          <w:iCs/>
          <w:color w:val="555555"/>
          <w:sz w:val="18"/>
          <w:szCs w:val="18"/>
        </w:rPr>
        <w:t xml:space="preserve">The calendar follows the brief (January to December 2026). If the program starts later, keep the sequence and shift the months, moving seasonal items such as Safer Internet Day and Cybersecurity Awareness Month to their real dates.</w:t>
      </w:r>
    </w:p>
    <w:p>
      <w:pPr>
        <w:pStyle w:val="Heading1"/>
        <w:keepNext/>
      </w:pPr>
      <w:r>
        <w:rPr>
          <w:rFonts w:ascii="Arial" w:cs="Arial" w:eastAsia="Arial" w:hAnsi="Arial"/>
        </w:rPr>
        <w:t xml:space="preserve">9. Regulatory Mapping</w:t>
      </w:r>
    </w:p>
    <w:p>
      <w:pPr>
        <w:keepNext/>
        <w:spacing w:after="80" w:before="120"/>
      </w:pPr>
      <w:r>
        <w:rPr>
          <w:rFonts w:ascii="Arial" w:cs="Arial" w:eastAsia="Arial" w:hAnsi="Arial"/>
          <w:b/>
          <w:bCs/>
          <w:color w:val="1B4F72"/>
          <w:sz w:val="18"/>
          <w:szCs w:val="18"/>
        </w:rPr>
        <w:t xml:space="preserve">Table 8: Requirements and How the Program Meets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500"/>
        <w:gridCol w:w="3200"/>
        <w:gridCol w:w="1760"/>
      </w:tblGrid>
      <w:tr>
        <w:trPr>
          <w:cantSplit/>
          <w:tblHeader/>
        </w:trPr>
        <w:tc>
          <w:tcPr>
            <w:tcW w:type="dxa" w:w="1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Requirement</w:t>
            </w:r>
          </w:p>
        </w:tc>
        <w:tc>
          <w:tcPr>
            <w:tcW w:type="dxa" w:w="2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What it asks</w:t>
            </w:r>
          </w:p>
        </w:tc>
        <w:tc>
          <w:tcPr>
            <w:tcW w:type="dxa" w:w="3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How this program meets it</w:t>
            </w:r>
          </w:p>
        </w:tc>
        <w:tc>
          <w:tcPr>
            <w:tcW w:type="dxa" w:w="17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6"/>
                <w:szCs w:val="16"/>
              </w:rPr>
              <w:t xml:space="preserve">Evidence</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ISO/IEC 27001:2022 A.6.3 (and Clause 7.3)</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Personnel receive appropriate information security awareness, education and training, and regular updates of policies and procedures</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Role-based tracks, annual cycle, monthly campaigns, policy updates built into modules</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Plan, calendar, LMS records, annual review</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HIPAA 164.308(a)(5)(i)</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Security awareness and training program for all workforce members, including management</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All 450 staff and managers are in scope; customer-facing track covers PHI handling</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Completion records kept for six years</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HIPAA 164.308(a)(5)(ii)(A) to (D)</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Security reminders; protection from malicious software; log-in monitoring; password management</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Monthly reminders and tips; phishing and malware lessons; password and MFA module; log-in alert awareness</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Campaign records; module content</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PCI DSS v4.0 12.6.1</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 formal security awareness program is in place</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This plan and its governance</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Approved plan</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PCI DSS v4.0 12.6.2</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program is reviewed at least every 12 months and updated</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December effectiveness review; content refresh after each round</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Review record</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PCI DSS v4.0 12.6.3, 12.6.3.1, 12.6.3.2</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Training on hire and at least yearly; includes phishing and social engineering; covers acceptable use of end-user technologies</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New joiner training within 30 days; annual cycle; phishing and social engineering modules; acceptable use and safe AI module</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LMS records; module content</w:t>
            </w:r>
          </w:p>
        </w:tc>
      </w:tr>
      <w:tr>
        <w:trPr>
          <w:cantSplit/>
        </w:trPr>
        <w:tc>
          <w:tcPr>
            <w:tcW w:type="dxa" w:w="1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6"/>
                <w:szCs w:val="16"/>
              </w:rPr>
              <w:t xml:space="preserve">NCA ECC cybersecurity awareness and training (see note)</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 cybersecurity awareness program is developed, approved and implemented, covers current threats, and specialist roles receive specialist training</w:t>
            </w:r>
          </w:p>
        </w:tc>
        <w:tc>
          <w:tcPr>
            <w:tcW w:type="dxa" w:w="3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Approved plan, monthly themes tied to current threats, IT and executive tracks</w:t>
            </w:r>
          </w:p>
        </w:tc>
        <w:tc>
          <w:tcPr>
            <w:tcW w:type="dxa" w:w="17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6"/>
                <w:szCs w:val="16"/>
              </w:rPr>
              <w:t xml:space="preserve">Plan, calendar, attendance records</w:t>
            </w:r>
          </w:p>
        </w:tc>
      </w:tr>
      <w:tr>
        <w:trPr>
          <w:cantSplit/>
        </w:trPr>
        <w:tc>
          <w:tcPr>
            <w:tcW w:type="dxa" w:w="1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6"/>
                <w:szCs w:val="16"/>
              </w:rPr>
              <w:t xml:space="preserve">GDPR Art. 39(1)(b)</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The DPO's tasks include awareness raising and training of staff who process personal data</w:t>
            </w:r>
          </w:p>
        </w:tc>
        <w:tc>
          <w:tcPr>
            <w:tcW w:type="dxa" w:w="3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DPO co-owns privacy content; customer-facing and core data handling modules</w:t>
            </w:r>
          </w:p>
        </w:tc>
        <w:tc>
          <w:tcPr>
            <w:tcW w:type="dxa" w:w="17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6"/>
                <w:szCs w:val="16"/>
              </w:rPr>
              <w:t xml:space="preserve">Content sign-off; attendance</w:t>
            </w:r>
          </w:p>
        </w:tc>
      </w:tr>
    </w:tbl>
    <w:p>
      <w:pPr>
        <w:spacing w:after="160"/>
      </w:pPr>
    </w:p>
    <w:p>
      <w:pPr>
        <w:spacing w:after="120"/>
      </w:pPr>
      <w:r>
        <w:rPr>
          <w:rFonts w:ascii="Arial" w:cs="Arial" w:eastAsia="Arial" w:hAnsi="Arial"/>
          <w:i/>
          <w:iCs/>
          <w:color w:val="555555"/>
          <w:sz w:val="18"/>
          <w:szCs w:val="18"/>
        </w:rPr>
        <w:t xml:space="preserve">Note on NCA ECC: the brief cites ECC-1-4-3. To the best of my knowledge, ECC subdomain 1-10 (Cybersecurity Awareness and Training Program) holds the awareness and training requirements, and 1-4 concerns roles and responsibilities. Please check the control number against your copy of the ECC. References are paraphrased pointers; verify them against the source text.</w:t>
      </w:r>
    </w:p>
    <w:p>
      <w:pPr>
        <w:pStyle w:val="Heading1"/>
        <w:keepNext/>
      </w:pPr>
      <w:r>
        <w:rPr>
          <w:rFonts w:ascii="Arial" w:cs="Arial" w:eastAsia="Arial" w:hAnsi="Arial"/>
        </w:rPr>
        <w:t xml:space="preserve">10. Budget Considerations</w:t>
      </w:r>
    </w:p>
    <w:p>
      <w:pPr>
        <w:spacing w:after="120"/>
      </w:pPr>
      <w:r>
        <w:rPr>
          <w:rFonts w:ascii="Arial" w:cs="Arial" w:eastAsia="Arial" w:hAnsi="Arial"/>
          <w:sz w:val="20"/>
          <w:szCs w:val="20"/>
        </w:rPr>
        <w:t xml:space="preserve">The figures below are planning estimates, shown as a low and a high case, to be replaced with vendor quotes. They assume an existing LMS and no new full-time staff.</w:t>
      </w:r>
    </w:p>
    <w:p>
      <w:pPr>
        <w:keepNext/>
        <w:spacing w:after="80" w:before="120"/>
      </w:pPr>
      <w:r>
        <w:rPr>
          <w:rFonts w:ascii="Arial" w:cs="Arial" w:eastAsia="Arial" w:hAnsi="Arial"/>
          <w:b/>
          <w:bCs/>
          <w:color w:val="1B4F72"/>
          <w:sz w:val="18"/>
          <w:szCs w:val="18"/>
        </w:rPr>
        <w:t xml:space="preserve">Table 9: Estimated Annual Cost (USD)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900"/>
        <w:gridCol w:w="2200"/>
        <w:gridCol w:w="1100"/>
        <w:gridCol w:w="1160"/>
      </w:tblGrid>
      <w:tr>
        <w:trPr>
          <w:cantSplit/>
          <w:tblHeader/>
        </w:trPr>
        <w:tc>
          <w:tcPr>
            <w:tcW w:type="dxa" w:w="49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Item</w:t>
            </w:r>
          </w:p>
        </w:tc>
        <w:tc>
          <w:tcPr>
            <w:tcW w:type="dxa" w:w="22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Basis</w:t>
            </w:r>
          </w:p>
        </w:tc>
        <w:tc>
          <w:tcPr>
            <w:tcW w:type="dxa" w:w="11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Low</w:t>
            </w:r>
          </w:p>
        </w:tc>
        <w:tc>
          <w:tcPr>
            <w:tcW w:type="dxa" w:w="11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7"/>
                <w:szCs w:val="17"/>
              </w:rPr>
              <w:t xml:space="preserve">High</w:t>
            </w:r>
          </w:p>
        </w:tc>
      </w:tr>
      <w:tr>
        <w:trPr>
          <w:cantSplit/>
        </w:trPr>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E-learning content library and LMS licences (450 users, existing LMS)</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12 to 20 USD per user</w:t>
            </w:r>
          </w:p>
        </w:tc>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5,400</w:t>
            </w:r>
          </w:p>
        </w:tc>
        <w:tc>
          <w:tcPr>
            <w:tcW w:type="dxa" w:w="1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9,000</w:t>
            </w:r>
          </w:p>
        </w:tc>
      </w:tr>
      <w:tr>
        <w:trPr>
          <w:cantSplit/>
        </w:trPr>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Phishing and vishing simulation platform (450 users)</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12 to 25 USD per user</w:t>
            </w:r>
          </w:p>
        </w:tc>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5,400</w:t>
            </w:r>
          </w:p>
        </w:tc>
        <w:tc>
          <w:tcPr>
            <w:tcW w:type="dxa" w:w="1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11,250</w:t>
            </w:r>
          </w:p>
        </w:tc>
      </w:tr>
      <w:tr>
        <w:trPr>
          <w:cantSplit/>
        </w:trPr>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Secure coding platform and labs (65 technical staff)</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350 to 600 USD per person</w:t>
            </w:r>
          </w:p>
        </w:tc>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22,750</w:t>
            </w:r>
          </w:p>
        </w:tc>
        <w:tc>
          <w:tcPr>
            <w:tcW w:type="dxa" w:w="1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39,000</w:t>
            </w:r>
          </w:p>
        </w:tc>
      </w:tr>
      <w:tr>
        <w:trPr>
          <w:cantSplit/>
        </w:trPr>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Executive BEC workshop and breach tabletop facilitation (2 sessions)</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3,000 to 6,000 USD per session</w:t>
            </w:r>
          </w:p>
        </w:tc>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6,000</w:t>
            </w:r>
          </w:p>
        </w:tc>
        <w:tc>
          <w:tcPr>
            <w:tcW w:type="dxa" w:w="1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12,000</w:t>
            </w:r>
          </w:p>
        </w:tc>
      </w:tr>
      <w:tr>
        <w:trPr>
          <w:cantSplit/>
        </w:trPr>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Customer-facing privacy and vishing role-play facilitation</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Lump sum</w:t>
            </w:r>
          </w:p>
        </w:tc>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4,000</w:t>
            </w:r>
          </w:p>
        </w:tc>
        <w:tc>
          <w:tcPr>
            <w:tcW w:type="dxa" w:w="1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8,000</w:t>
            </w:r>
          </w:p>
        </w:tc>
      </w:tr>
      <w:tr>
        <w:trPr>
          <w:cantSplit/>
        </w:trPr>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Content design and tailoring (branding, local examples, quick references)</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Lump sum</w:t>
            </w:r>
          </w:p>
        </w:tc>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6,000</w:t>
            </w:r>
          </w:p>
        </w:tc>
        <w:tc>
          <w:tcPr>
            <w:tcW w:type="dxa" w:w="1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10,000</w:t>
            </w:r>
          </w:p>
        </w:tc>
      </w:tr>
      <w:tr>
        <w:trPr>
          <w:cantSplit/>
        </w:trPr>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Awareness materials (posters, signage, newsletters, champion rewards)</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Lump sum</w:t>
            </w:r>
          </w:p>
        </w:tc>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5,000</w:t>
            </w:r>
          </w:p>
        </w:tc>
        <w:tc>
          <w:tcPr>
            <w:tcW w:type="dxa" w:w="1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7"/>
                <w:szCs w:val="17"/>
              </w:rPr>
              <w:t xml:space="preserve">9,000</w:t>
            </w:r>
          </w:p>
        </w:tc>
      </w:tr>
      <w:tr>
        <w:trPr>
          <w:cantSplit/>
        </w:trPr>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Measurement (survey tool, analytics, annual assessment)</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Lump sum</w:t>
            </w:r>
          </w:p>
        </w:tc>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1,500</w:t>
            </w:r>
          </w:p>
        </w:tc>
        <w:tc>
          <w:tcPr>
            <w:tcW w:type="dxa" w:w="1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3,000</w:t>
            </w:r>
          </w:p>
        </w:tc>
      </w:tr>
      <w:tr>
        <w:trPr>
          <w:cantSplit/>
        </w:trPr>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Subtotal</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56,050</w:t>
            </w:r>
          </w:p>
        </w:tc>
        <w:tc>
          <w:tcPr>
            <w:tcW w:type="dxa" w:w="1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101,250</w:t>
            </w:r>
          </w:p>
        </w:tc>
      </w:tr>
      <w:tr>
        <w:trPr>
          <w:cantSplit/>
        </w:trPr>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Contingency (10%)</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p>
        </w:tc>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5,605</w:t>
            </w:r>
          </w:p>
        </w:tc>
        <w:tc>
          <w:tcPr>
            <w:tcW w:type="dxa" w:w="1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10,125</w:t>
            </w:r>
          </w:p>
        </w:tc>
      </w:tr>
      <w:tr>
        <w:trPr>
          <w:cantSplit/>
        </w:trPr>
        <w:tc>
          <w:tcPr>
            <w:tcW w:type="dxa" w:w="49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Total</w:t>
            </w:r>
          </w:p>
        </w:tc>
        <w:tc>
          <w:tcPr>
            <w:tcW w:type="dxa" w:w="22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p>
        </w:tc>
        <w:tc>
          <w:tcPr>
            <w:tcW w:type="dxa" w:w="11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61,655</w:t>
            </w:r>
          </w:p>
        </w:tc>
        <w:tc>
          <w:tcPr>
            <w:tcW w:type="dxa" w:w="1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7"/>
                <w:szCs w:val="17"/>
              </w:rPr>
              <w:t xml:space="preserve">111,375</w:t>
            </w:r>
          </w:p>
        </w:tc>
      </w:tr>
      <w:tr>
        <w:trPr>
          <w:cantSplit/>
        </w:trPr>
        <w:tc>
          <w:tcPr>
            <w:tcW w:type="dxa" w:w="49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Cost per employee (450)</w:t>
            </w:r>
          </w:p>
        </w:tc>
        <w:tc>
          <w:tcPr>
            <w:tcW w:type="dxa" w:w="22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p>
        </w:tc>
        <w:tc>
          <w:tcPr>
            <w:tcW w:type="dxa" w:w="11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137</w:t>
            </w:r>
          </w:p>
        </w:tc>
        <w:tc>
          <w:tcPr>
            <w:tcW w:type="dxa" w:w="1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7"/>
                <w:szCs w:val="17"/>
              </w:rPr>
              <w:t xml:space="preserve">248</w:t>
            </w:r>
          </w:p>
        </w:tc>
      </w:tr>
    </w:tbl>
    <w:p>
      <w:pPr>
        <w:spacing w:after="160"/>
      </w:pPr>
    </w:p>
    <w:p>
      <w:pPr>
        <w:pStyle w:val="ListParagraph"/>
        <w:numPr>
          <w:ilvl w:val="0"/>
          <w:numId w:val="2"/>
        </w:numPr>
        <w:spacing w:after="60"/>
      </w:pPr>
      <w:r>
        <w:rPr>
          <w:rFonts w:ascii="Arial" w:cs="Arial" w:eastAsia="Arial" w:hAnsi="Arial"/>
          <w:b/>
          <w:bCs/>
          <w:sz w:val="20"/>
          <w:szCs w:val="20"/>
        </w:rPr>
        <w:t xml:space="preserve">Internal effort (not in the table):</w:t>
      </w:r>
      <w:r>
        <w:rPr>
          <w:rFonts w:ascii="Arial" w:cs="Arial" w:eastAsia="Arial" w:hAnsi="Arial"/>
          <w:sz w:val="20"/>
          <w:szCs w:val="20"/>
        </w:rPr>
        <w:t xml:space="preserve"> about half a full-time equivalent from the GRC Analyst, a small share of HR time for the LMS, and about 2 hours a month from each security champion.</w:t>
      </w:r>
    </w:p>
    <w:p>
      <w:pPr>
        <w:pStyle w:val="ListParagraph"/>
        <w:numPr>
          <w:ilvl w:val="0"/>
          <w:numId w:val="2"/>
        </w:numPr>
        <w:spacing w:after="60"/>
      </w:pPr>
      <w:r>
        <w:rPr>
          <w:rFonts w:ascii="Arial" w:cs="Arial" w:eastAsia="Arial" w:hAnsi="Arial"/>
          <w:b/>
          <w:bCs/>
          <w:sz w:val="20"/>
          <w:szCs w:val="20"/>
        </w:rPr>
        <w:t xml:space="preserve">Biggest cost drivers:</w:t>
      </w:r>
      <w:r>
        <w:rPr>
          <w:rFonts w:ascii="Arial" w:cs="Arial" w:eastAsia="Arial" w:hAnsi="Arial"/>
          <w:sz w:val="20"/>
          <w:szCs w:val="20"/>
        </w:rPr>
        <w:t xml:space="preserve"> the technical training platform for 65 staff and the simulation platform. These can be cut by choosing a single supplier or by phasing the labs.</w:t>
      </w:r>
    </w:p>
    <w:p>
      <w:pPr>
        <w:pStyle w:val="ListParagraph"/>
        <w:numPr>
          <w:ilvl w:val="0"/>
          <w:numId w:val="2"/>
        </w:numPr>
        <w:spacing w:after="60"/>
      </w:pPr>
      <w:r>
        <w:rPr>
          <w:rFonts w:ascii="Arial" w:cs="Arial" w:eastAsia="Arial" w:hAnsi="Arial"/>
          <w:b/>
          <w:bCs/>
          <w:sz w:val="20"/>
          <w:szCs w:val="20"/>
        </w:rPr>
        <w:t xml:space="preserve">Where to save without losing impact:</w:t>
      </w:r>
      <w:r>
        <w:rPr>
          <w:rFonts w:ascii="Arial" w:cs="Arial" w:eastAsia="Arial" w:hAnsi="Arial"/>
          <w:sz w:val="20"/>
          <w:szCs w:val="20"/>
        </w:rPr>
        <w:t xml:space="preserve"> build the executive and customer-facing sessions in-house with the DPO and Legal, and reuse the sample module as a template for the others.</w:t>
      </w:r>
    </w:p>
    <w:p>
      <w:pPr>
        <w:pStyle w:val="ListParagraph"/>
        <w:numPr>
          <w:ilvl w:val="0"/>
          <w:numId w:val="2"/>
        </w:numPr>
        <w:spacing w:after="60"/>
      </w:pPr>
      <w:r>
        <w:rPr>
          <w:rFonts w:ascii="Arial" w:cs="Arial" w:eastAsia="Arial" w:hAnsi="Arial"/>
          <w:b/>
          <w:bCs/>
          <w:sz w:val="20"/>
          <w:szCs w:val="20"/>
        </w:rPr>
        <w:t xml:space="preserve">Funding:</w:t>
      </w:r>
      <w:r>
        <w:rPr>
          <w:rFonts w:ascii="Arial" w:cs="Arial" w:eastAsia="Arial" w:hAnsi="Arial"/>
          <w:sz w:val="20"/>
          <w:szCs w:val="20"/>
        </w:rPr>
        <w:t xml:space="preserve"> the cost sits under the security and compliance budget. A year of this program costs far less than responding to one breach of PHI or card data, and it is evidence for HIPAA, PCI DSS and ISO audits.</w:t>
      </w:r>
    </w:p>
    <w:p>
      <w:pPr>
        <w:pStyle w:val="Heading1"/>
        <w:keepNext/>
      </w:pPr>
      <w:r>
        <w:rPr>
          <w:rFonts w:ascii="Arial" w:cs="Arial" w:eastAsia="Arial" w:hAnsi="Arial"/>
        </w:rPr>
        <w:t xml:space="preserve">11. Risks and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2500"/>
        <w:gridCol w:w="4160"/>
      </w:tblGrid>
      <w:tr>
        <w:trPr>
          <w:cantSplit/>
          <w:tblHeader/>
        </w:trPr>
        <w:tc>
          <w:tcPr>
            <w:tcW w:type="dxa" w:w="27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Risk or dependency</w:t>
            </w:r>
          </w:p>
        </w:tc>
        <w:tc>
          <w:tcPr>
            <w:tcW w:type="dxa" w:w="250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Effect</w:t>
            </w:r>
          </w:p>
        </w:tc>
        <w:tc>
          <w:tcPr>
            <w:tcW w:type="dxa" w:w="4160"/>
            <w:tcBorders>
              <w:top w:val="single" w:color="CCCCCC" w:sz="4"/>
              <w:left w:val="single" w:color="CCCCCC" w:sz="4"/>
              <w:bottom w:val="single" w:color="CCCCCC" w:sz="4"/>
              <w:right w:val="single" w:color="CCCCCC" w:sz="4"/>
            </w:tcBorders>
            <w:shd w:fill="2E75B6" w:color="auto" w:val="clear"/>
            <w:tcMar>
              <w:top w:type="dxa" w:w="50"/>
              <w:left w:type="dxa" w:w="100"/>
              <w:bottom w:type="dxa" w:w="50"/>
              <w:right w:type="dxa" w:w="100"/>
            </w:tcMar>
          </w:tcPr>
          <w:p>
            <w:pPr>
              <w:spacing w:after="20"/>
            </w:pPr>
            <w:r>
              <w:rPr>
                <w:rFonts w:ascii="Arial" w:cs="Arial" w:eastAsia="Arial" w:hAnsi="Arial"/>
                <w:b/>
                <w:bCs/>
                <w:color w:val="FFFFFF"/>
                <w:sz w:val="18"/>
                <w:szCs w:val="18"/>
              </w:rPr>
              <w:t xml:space="preserve">Mitigation</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Low engagement or training fatigue</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Completion and learning fall short</w:t>
            </w:r>
          </w:p>
        </w:tc>
        <w:tc>
          <w:tcPr>
            <w:tcW w:type="dxa" w:w="4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Keep modules short, vary formats, use champions and recognition</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Simulations seen as a trap</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Distrust; less reporting</w:t>
            </w:r>
          </w:p>
        </w:tc>
        <w:tc>
          <w:tcPr>
            <w:tcW w:type="dxa" w:w="4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Explain the purpose; supportive response; no sensitive pretexts; HR and Legal approval</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LMS or platform delays</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Launch slips</w:t>
            </w:r>
          </w:p>
        </w:tc>
        <w:tc>
          <w:tcPr>
            <w:tcW w:type="dxa" w:w="4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Confirm LMS capacity and order the simulation platform in the first month</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Content goes stale</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Training loses relevance</w:t>
            </w:r>
          </w:p>
        </w:tc>
        <w:tc>
          <w:tcPr>
            <w:tcW w:type="dxa" w:w="4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Refresh after each round and on new threats; annual review</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Managers do not release staff</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Late completion</w:t>
            </w:r>
          </w:p>
        </w:tc>
        <w:tc>
          <w:tcPr>
            <w:tcW w:type="dxa" w:w="4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Escalation in Table 5; manager reporting; CISO support</w:t>
            </w:r>
          </w:p>
        </w:tc>
      </w:tr>
      <w:tr>
        <w:trPr>
          <w:cantSplit/>
        </w:trPr>
        <w:tc>
          <w:tcPr>
            <w:tcW w:type="dxa" w:w="27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bCs/>
                <w:sz w:val="18"/>
                <w:szCs w:val="18"/>
              </w:rPr>
              <w:t xml:space="preserve">Segment data not available</w:t>
            </w:r>
          </w:p>
        </w:tc>
        <w:tc>
          <w:tcPr>
            <w:tcW w:type="dxa" w:w="250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Targets set blindly</w:t>
            </w:r>
          </w:p>
        </w:tc>
        <w:tc>
          <w:tcPr>
            <w:tcW w:type="dxa" w:w="4160"/>
            <w:tcBorders>
              <w:top w:val="single" w:color="CCCCCC" w:sz="4"/>
              <w:left w:val="single" w:color="CCCCCC" w:sz="4"/>
              <w:bottom w:val="single" w:color="CCCCCC" w:sz="4"/>
              <w:right w:val="single" w:color="CCCCCC" w:sz="4"/>
            </w:tcBorders>
            <w:shd w:fill="F2F7FB" w:color="auto" w:val="clear"/>
            <w:tcMar>
              <w:top w:type="dxa" w:w="50"/>
              <w:left w:type="dxa" w:w="100"/>
              <w:bottom w:type="dxa" w:w="50"/>
              <w:right w:type="dxa" w:w="100"/>
            </w:tcMar>
          </w:tcPr>
          <w:p>
            <w:pPr>
              <w:spacing w:after="20"/>
            </w:pPr>
            <w:r>
              <w:rPr>
                <w:rFonts w:ascii="Arial" w:cs="Arial" w:eastAsia="Arial" w:hAnsi="Arial"/>
                <w:b w:val="false"/>
                <w:bCs w:val="false"/>
                <w:sz w:val="18"/>
                <w:szCs w:val="18"/>
              </w:rPr>
              <w:t xml:space="preserve">Pull segment results from the platform in month one</w:t>
            </w:r>
          </w:p>
        </w:tc>
      </w:tr>
      <w:tr>
        <w:trPr>
          <w:cantSplit/>
        </w:trPr>
        <w:tc>
          <w:tcPr>
            <w:tcW w:type="dxa" w:w="27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bCs/>
                <w:sz w:val="18"/>
                <w:szCs w:val="18"/>
              </w:rPr>
              <w:t xml:space="preserve">Weak baseline for several KPIs</w:t>
            </w:r>
          </w:p>
        </w:tc>
        <w:tc>
          <w:tcPr>
            <w:tcW w:type="dxa" w:w="250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Targets not anchored</w:t>
            </w:r>
          </w:p>
        </w:tc>
        <w:tc>
          <w:tcPr>
            <w:tcW w:type="dxa" w:w="4160"/>
            <w:tcBorders>
              <w:top w:val="single" w:color="CCCCCC" w:sz="4"/>
              <w:left w:val="single" w:color="CCCCCC" w:sz="4"/>
              <w:bottom w:val="single" w:color="CCCCCC" w:sz="4"/>
              <w:right w:val="single" w:color="CCCCCC" w:sz="4"/>
            </w:tcBorders>
            <w:tcMar>
              <w:top w:type="dxa" w:w="50"/>
              <w:left w:type="dxa" w:w="100"/>
              <w:bottom w:type="dxa" w:w="50"/>
              <w:right w:type="dxa" w:w="100"/>
            </w:tcMar>
          </w:tcPr>
          <w:p>
            <w:pPr>
              <w:spacing w:after="20"/>
            </w:pPr>
            <w:r>
              <w:rPr>
                <w:rFonts w:ascii="Arial" w:cs="Arial" w:eastAsia="Arial" w:hAnsi="Arial"/>
                <w:b w:val="false"/>
                <w:bCs w:val="false"/>
                <w:sz w:val="18"/>
                <w:szCs w:val="18"/>
              </w:rPr>
              <w:t xml:space="preserve">Measure in the first two rounds, then reset targets once</w:t>
            </w:r>
          </w:p>
        </w:tc>
      </w:tr>
    </w:tbl>
    <w:p>
      <w:pPr>
        <w:spacing w:after="160"/>
      </w:pPr>
    </w:p>
    <w:p>
      <w:pPr>
        <w:pStyle w:val="Heading1"/>
        <w:keepNext/>
      </w:pPr>
      <w:r>
        <w:rPr>
          <w:rFonts w:ascii="Arial" w:cs="Arial" w:eastAsia="Arial" w:hAnsi="Arial"/>
        </w:rPr>
        <w:t xml:space="preserve">12. Review and Next Steps</w:t>
      </w:r>
    </w:p>
    <w:p>
      <w:pPr>
        <w:tabs>
          <w:tab w:val="left" w:pos="720"/>
        </w:tabs>
        <w:spacing w:after="100"/>
        <w:ind w:left="720" w:hanging="720"/>
      </w:pPr>
      <w:r>
        <w:rPr>
          <w:rFonts w:ascii="Arial" w:cs="Arial" w:eastAsia="Arial" w:hAnsi="Arial"/>
          <w:b/>
          <w:bCs/>
          <w:color w:val="1B4F72"/>
          <w:sz w:val="20"/>
          <w:szCs w:val="20"/>
        </w:rPr>
        <w:t xml:space="preserve">12.1</w:t>
      </w:r>
      <w:r>
        <w:rPr>
          <w:rFonts w:ascii="Arial" w:cs="Arial" w:eastAsia="Arial" w:hAnsi="Arial"/>
        </w:rPr>
        <w:t xml:space="preserve">	</w:t>
      </w:r>
      <w:r>
        <w:rPr>
          <w:rFonts w:ascii="Arial" w:cs="Arial" w:eastAsia="Arial" w:hAnsi="Arial"/>
          <w:sz w:val="20"/>
          <w:szCs w:val="20"/>
        </w:rPr>
        <w:t xml:space="preserve">The CISO shall review this plan at least every 12 months, and sooner after a serious incident, a major policy change or a significant change in the threat landscape.</w:t>
      </w:r>
    </w:p>
    <w:p>
      <w:pPr>
        <w:spacing w:after="120"/>
      </w:pPr>
      <w:r>
        <w:rPr>
          <w:rFonts w:ascii="Arial" w:cs="Arial" w:eastAsia="Arial" w:hAnsi="Arial"/>
          <w:b/>
          <w:bCs/>
          <w:sz w:val="20"/>
          <w:szCs w:val="20"/>
        </w:rPr>
        <w:t xml:space="preserve">First 30 days after approval:</w:t>
      </w:r>
      <w:r>
        <w:rPr>
          <w:rFonts w:ascii="Arial" w:cs="Arial" w:eastAsia="Arial" w:hAnsi="Arial"/>
          <w:sz w:val="20"/>
          <w:szCs w:val="20"/>
        </w:rPr>
        <w:t xml:space="preserve"> approve the plan and budget; confirm the LMS and order the simulation platform; extract segment-level results from the baseline simulation; run the baseline security culture survey; recruit security champions; and publish the first campaign.</w:t>
      </w:r>
    </w:p>
    <w:p>
      <w:pPr>
        <w:spacing w:after="120"/>
      </w:pPr>
      <w:r>
        <w:rPr>
          <w:rFonts w:ascii="Arial" w:cs="Arial" w:eastAsia="Arial" w:hAnsi="Arial"/>
          <w:sz w:val="20"/>
          <w:szCs w:val="20"/>
        </w:rPr>
        <w:t xml:space="preserve">Related documents: Information Security Policy (POL-ISP-001), Acceptable Use Policy (POL-AUP-001), Data Classification and Handling Policy (POL-DCH-001), GRC KPI and Metrics Framework (FWK-GRC-001). Document IDs are proposed identifiers.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Classification: Internal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b/>
        <w:bCs/>
        <w:color w:val="1B4F72"/>
        <w:sz w:val="20"/>
        <w:szCs w:val="20"/>
      </w:rPr>
      <w:t xml:space="preserve">NexusGuard Technologies Ltd.</w:t>
    </w:r>
    <w:r>
      <w:rPr>
        <w:rFonts w:ascii="Arial" w:cs="Arial" w:eastAsia="Arial" w:hAnsi="Arial"/>
        <w:color w:val="888888"/>
        <w:sz w:val="18"/>
        <w:szCs w:val="18"/>
      </w:rPr>
      <w:t xml:space="preserve">    |    Security Awareness Program Plan FY2026    |    PLN-SAP-001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B4F72"/>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Awareness Program Plan FY2026</dc:title>
  <dc:creator>NexusGuard Technologies Ltd.</dc:creator>
  <cp:lastModifiedBy>Un-named</cp:lastModifiedBy>
  <cp:revision>1</cp:revision>
  <dcterms:created xsi:type="dcterms:W3CDTF">2026-10-19T19:30:41.852Z</dcterms:created>
  <dcterms:modified xsi:type="dcterms:W3CDTF">2026-10-19T19:30:41.852Z</dcterms:modified>
</cp:coreProperties>
</file>

<file path=docProps/custom.xml><?xml version="1.0" encoding="utf-8"?>
<Properties xmlns="http://schemas.openxmlformats.org/officeDocument/2006/custom-properties" xmlns:vt="http://schemas.openxmlformats.org/officeDocument/2006/docPropsVTypes"/>
</file>